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  <w:rPr>
          <w:b/>
        </w:rPr>
      </w:pPr>
    </w:p>
    <w:p w:rsidR="00C34897" w:rsidRDefault="00C34897" w:rsidP="00C34897">
      <w:pPr>
        <w:ind w:right="113"/>
        <w:jc w:val="center"/>
      </w:pPr>
      <w:bookmarkStart w:id="0" w:name="_GoBack"/>
      <w:bookmarkEnd w:id="0"/>
      <w:r>
        <w:rPr>
          <w:b/>
        </w:rPr>
        <w:t>B. PŘÍBALOVÁ INFORMACE</w:t>
      </w:r>
    </w:p>
    <w:p w:rsidR="00C34897" w:rsidRDefault="00C34897" w:rsidP="00C3489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br w:type="page"/>
      </w: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lastRenderedPageBreak/>
        <w:t>PŘÍBALOVÁ INFORMACE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szCs w:val="22"/>
          <w:lang w:eastAsia="cs-CZ"/>
        </w:rPr>
      </w:pPr>
      <w:proofErr w:type="spellStart"/>
      <w:r>
        <w:rPr>
          <w:rFonts w:ascii="TimesNewRomanPSMT" w:hAnsi="TimesNewRomanPSMT" w:cs="TimesNewRomanPSMT"/>
          <w:szCs w:val="22"/>
          <w:lang w:eastAsia="cs-CZ"/>
        </w:rPr>
        <w:t>BioBos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IBR 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marker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inact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>., injekční suspenze pro skot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1. JMÉNO A ADRESA DRŽITELE ROZHODNUTÍ O REGISTRACI A DRŽITELE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POVOLENÍ K VÝROBĚ ODPOVĚDNÉHO ZA UVOLNĚNÍ ŠARŽE, POKUD SE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NESHODUJE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proofErr w:type="spellStart"/>
      <w:r>
        <w:rPr>
          <w:rFonts w:ascii="TimesNewRomanPSMT" w:hAnsi="TimesNewRomanPSMT" w:cs="TimesNewRomanPSMT"/>
          <w:szCs w:val="22"/>
          <w:lang w:eastAsia="cs-CZ"/>
        </w:rPr>
        <w:t>Bioveta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>, a. s., Komenského 212, 683 23 Ivanovice na Hané, Česká republika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2. NÁZEV VETERINÁRNÍHO LÉČIVÉHO PŘÍPRAVKU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proofErr w:type="spellStart"/>
      <w:r>
        <w:rPr>
          <w:rFonts w:ascii="TimesNewRomanPSMT" w:hAnsi="TimesNewRomanPSMT" w:cs="TimesNewRomanPSMT"/>
          <w:szCs w:val="22"/>
          <w:lang w:eastAsia="cs-CZ"/>
        </w:rPr>
        <w:t>BioBos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IBR 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marker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inact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>., injekční suspenze pro skot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3. OBSAH LÉČIVÝCH A OSTATNÍCH LÁTEK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Jedna vakcinační dávka (2 ml) obsahuje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Léčivá látka: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 xml:space="preserve">Bovinní 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herpesvirus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typ 1 (BHV-1) inaktivovaný, kmen Bio-27: IBR 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gE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-</w:t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  <w:t>RP ≥1*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*) RP = Relativní účinnost (ELISA test) ve srovnání s referenčním sérem získaném po vakcinaci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 xml:space="preserve">morčat šarží vakcíny, která vyhověla v 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čelenžním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testu na cílovém druhu zvířat.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Adjuvans: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Hydroxid hlinitý hydratovaný pro adsorpci</w:t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  <w:t>6 mg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proofErr w:type="spellStart"/>
      <w:r>
        <w:rPr>
          <w:rFonts w:ascii="TimesNewRomanPSMT" w:hAnsi="TimesNewRomanPSMT" w:cs="TimesNewRomanPSMT"/>
          <w:szCs w:val="22"/>
          <w:lang w:eastAsia="cs-CZ"/>
        </w:rPr>
        <w:t>Kvilajový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saponin (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Quil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A)</w:t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  <w:t>0,4 mg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proofErr w:type="spellStart"/>
      <w:r>
        <w:rPr>
          <w:rFonts w:ascii="TimesNewRomanPSMT" w:hAnsi="TimesNewRomanPSMT" w:cs="TimesNewRomanPSMT"/>
          <w:szCs w:val="22"/>
          <w:lang w:eastAsia="cs-CZ"/>
        </w:rPr>
        <w:t>Excipiens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>: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proofErr w:type="spellStart"/>
      <w:r>
        <w:rPr>
          <w:rFonts w:ascii="TimesNewRomanPSMT" w:hAnsi="TimesNewRomanPSMT" w:cs="TimesNewRomanPSMT"/>
          <w:szCs w:val="22"/>
          <w:lang w:eastAsia="cs-CZ"/>
        </w:rPr>
        <w:t>Thiomersal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rFonts w:ascii="TimesNewRomanPSMT" w:hAnsi="TimesNewRomanPSMT" w:cs="TimesNewRomanPSMT"/>
          <w:szCs w:val="22"/>
          <w:lang w:eastAsia="cs-CZ"/>
        </w:rPr>
        <w:tab/>
      </w:r>
      <w:r>
        <w:rPr>
          <w:szCs w:val="22"/>
          <w:lang w:eastAsia="cs-CZ"/>
        </w:rPr>
        <w:t>0,17 – 0,23</w:t>
      </w:r>
      <w:r>
        <w:rPr>
          <w:sz w:val="20"/>
          <w:lang w:eastAsia="cs-CZ"/>
        </w:rPr>
        <w:t xml:space="preserve"> </w:t>
      </w:r>
      <w:r>
        <w:rPr>
          <w:rFonts w:ascii="TimesNewRomanPSMT" w:hAnsi="TimesNewRomanPSMT" w:cs="TimesNewRomanPSMT"/>
          <w:szCs w:val="22"/>
          <w:lang w:eastAsia="cs-CZ"/>
        </w:rPr>
        <w:t>mg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4. INDIKACE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K aktivní imunizaci skotu ke snížení intenzity a délky trvání klinických příznaků vyvolaných infekcí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virem BHV-1 (virus IBR) a ke snížení vylučování terénního viru.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Nástup imunity: imunita je plně vyvinuta 3 týdny po základní vakcinaci.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Délka trvání imunity: 6 měsíců po základní vakcinaci.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5. KONTRAINDIKACE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Nejsou.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6. NEŽÁDOUCÍ ÚČINKY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V souvislosti s provedenou vakcinací se mohou vyskytnout hypersenzitivní reakce. V takových případech je třeba aplikovat patřičnou symptomatickou léčbu. Vakcína obsahuje adjuvans, které může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 xml:space="preserve">být příčinou přechodného místního zduření o velikosti do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NewRomanPSMT" w:hAnsi="TimesNewRomanPSMT" w:cs="TimesNewRomanPSMT"/>
            <w:szCs w:val="22"/>
            <w:lang w:eastAsia="cs-CZ"/>
          </w:rPr>
          <w:t>2 cm</w:t>
        </w:r>
      </w:smartTag>
      <w:r>
        <w:rPr>
          <w:rFonts w:ascii="TimesNewRomanPSMT" w:hAnsi="TimesNewRomanPSMT" w:cs="TimesNewRomanPSMT"/>
          <w:szCs w:val="22"/>
          <w:lang w:eastAsia="cs-CZ"/>
        </w:rPr>
        <w:t xml:space="preserve"> v průměru. Toto zduření vymizí během 4 dnů po vakcinaci.</w:t>
      </w:r>
    </w:p>
    <w:p w:rsidR="00C34897" w:rsidRDefault="00C34897" w:rsidP="00C34897">
      <w:pPr>
        <w:ind w:left="0" w:firstLine="0"/>
        <w:rPr>
          <w:color w:val="000000"/>
          <w:sz w:val="20"/>
          <w:lang w:eastAsia="cs-CZ"/>
        </w:rPr>
      </w:pPr>
    </w:p>
    <w:p w:rsidR="00C34897" w:rsidRDefault="00C34897" w:rsidP="00C34897">
      <w:pPr>
        <w:ind w:left="0" w:firstLine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Jestliže zaznamenáte jakýkoliv vážný nežádoucí účinek nebo jiný účinek, který není uveden v této </w:t>
      </w:r>
    </w:p>
    <w:p w:rsidR="00C34897" w:rsidRDefault="00C34897" w:rsidP="00C34897">
      <w:pPr>
        <w:ind w:left="0" w:firstLine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příbalové informaci, oznamte to prosím vašemu veterinárnímu lékaři.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7. CÍLOVÝ DRUH ZVÍŘAT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Cs/>
          <w:szCs w:val="22"/>
          <w:lang w:eastAsia="cs-CZ"/>
        </w:rPr>
        <w:t>Skot.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 xml:space="preserve">8. DÁVKOVÁNÍ PRO KAŽDÝ DRUH, </w:t>
      </w:r>
      <w:proofErr w:type="gramStart"/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CESTA(Y) A ZPŮSOB</w:t>
      </w:r>
      <w:proofErr w:type="gramEnd"/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 xml:space="preserve"> PODÁNÍ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Intramuskulární injekce, 2 ml na zvíře (bez ohledu na stáří, hmotnost či plemeno).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Všechen skot lze vakcinovat od stáří 3 měsíců.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Základní vakcinace: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Dvě aplikace v intervalu 3 týdnů.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Revakcinace: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lastRenderedPageBreak/>
        <w:t>Jedna aplikace každých 6 měsíců.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9. POKYNY PRO SPRÁVNÉ PODÁNÍ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 xml:space="preserve">Před upotřebením je nutno vakcínu ohřát na teplotu 15 – </w:t>
      </w:r>
      <w:smartTag w:uri="urn:schemas-microsoft-com:office:smarttags" w:element="metricconverter">
        <w:smartTagPr>
          <w:attr w:name="ProductID" w:val="25 ﾰC"/>
        </w:smartTagPr>
        <w:r>
          <w:rPr>
            <w:rFonts w:ascii="TimesNewRomanPSMT" w:hAnsi="TimesNewRomanPSMT" w:cs="TimesNewRomanPSMT"/>
            <w:szCs w:val="22"/>
            <w:lang w:eastAsia="cs-CZ"/>
          </w:rPr>
          <w:t>25 °C</w:t>
        </w:r>
      </w:smartTag>
      <w:r>
        <w:rPr>
          <w:rFonts w:ascii="TimesNewRomanPSMT" w:hAnsi="TimesNewRomanPSMT" w:cs="TimesNewRomanPSMT"/>
          <w:szCs w:val="22"/>
          <w:lang w:eastAsia="cs-CZ"/>
        </w:rPr>
        <w:t xml:space="preserve"> a obsah lékovky protřepat.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10. OCHRANNÁ LHŮTA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Bez ochranných lhůt.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11. ZVLÁŠTNÍ OPATŘENÍ PRO UCHOVÁVÁNÍ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Uchovávat mimo dosah dětí.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Uchovávejte v chladničce (</w:t>
      </w:r>
      <w:smartTag w:uri="urn:schemas-microsoft-com:office:smarttags" w:element="metricconverter">
        <w:r>
          <w:rPr>
            <w:rFonts w:ascii="TimesNewRomanPSMT" w:hAnsi="TimesNewRomanPSMT" w:cs="TimesNewRomanPSMT"/>
            <w:szCs w:val="22"/>
            <w:lang w:eastAsia="cs-CZ"/>
          </w:rPr>
          <w:t>2</w:t>
        </w:r>
        <w:r>
          <w:rPr>
            <w:rFonts w:ascii="Arial" w:hAnsi="Arial" w:cs="Arial"/>
            <w:szCs w:val="22"/>
            <w:lang w:eastAsia="cs-CZ"/>
          </w:rPr>
          <w:t>°C</w:t>
        </w:r>
      </w:smartTag>
      <w:r>
        <w:rPr>
          <w:rFonts w:ascii="TimesNewRomanPSMT" w:hAnsi="TimesNewRomanPSMT" w:cs="TimesNewRomanPSMT"/>
          <w:szCs w:val="22"/>
          <w:lang w:eastAsia="cs-CZ"/>
        </w:rPr>
        <w:t xml:space="preserve"> – </w:t>
      </w:r>
      <w:smartTag w:uri="urn:schemas-microsoft-com:office:smarttags" w:element="metricconverter">
        <w:smartTagPr>
          <w:attr w:name="ProductID" w:val="8ﾰC"/>
        </w:smartTagPr>
        <w:r>
          <w:rPr>
            <w:rFonts w:ascii="TimesNewRomanPSMT" w:hAnsi="TimesNewRomanPSMT" w:cs="TimesNewRomanPSMT"/>
            <w:szCs w:val="22"/>
            <w:lang w:eastAsia="cs-CZ"/>
          </w:rPr>
          <w:t>8°C</w:t>
        </w:r>
      </w:smartTag>
      <w:r>
        <w:rPr>
          <w:rFonts w:ascii="TimesNewRomanPSMT" w:hAnsi="TimesNewRomanPSMT" w:cs="TimesNewRomanPSMT"/>
          <w:szCs w:val="22"/>
          <w:lang w:eastAsia="cs-CZ"/>
        </w:rPr>
        <w:t>). Chraňte před mrazem.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ind w:left="0" w:firstLine="0"/>
        <w:rPr>
          <w:szCs w:val="22"/>
          <w:lang w:eastAsia="cs-CZ"/>
        </w:rPr>
      </w:pPr>
      <w:r>
        <w:rPr>
          <w:szCs w:val="22"/>
          <w:lang w:eastAsia="cs-CZ"/>
        </w:rPr>
        <w:t>Nepoužívejte po uplynutí doby použitelnosti uvedené na obalu.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Doba použitelnosti po prvním otevření vnitřního obalu: 10 hodin.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12. ZVLÁŠTNÍ UPOZORNĚNÍ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ItalicMT" w:hAnsi="TimesNewRomanPS-BoldItalicMT" w:cs="TimesNewRomanPS-BoldItalicMT"/>
          <w:b/>
          <w:bCs/>
          <w:iCs/>
          <w:szCs w:val="22"/>
          <w:lang w:eastAsia="cs-CZ"/>
        </w:rPr>
      </w:pPr>
      <w:r>
        <w:rPr>
          <w:rFonts w:ascii="TimesNewRomanPS-BoldItalicMT" w:hAnsi="TimesNewRomanPS-BoldItalicMT" w:cs="TimesNewRomanPS-BoldItalicMT"/>
          <w:b/>
          <w:bCs/>
          <w:iCs/>
          <w:szCs w:val="22"/>
          <w:lang w:eastAsia="cs-CZ"/>
        </w:rPr>
        <w:t>Zvláštní opatření pro použití u zvířat: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Vakcinujte pouze zdravá zvířata.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ItalicMT" w:hAnsi="TimesNewRomanPS-BoldItalicMT" w:cs="TimesNewRomanPS-BoldItalicMT"/>
          <w:b/>
          <w:bCs/>
          <w:iCs/>
          <w:szCs w:val="22"/>
          <w:lang w:eastAsia="cs-CZ"/>
        </w:rPr>
      </w:pPr>
      <w:r>
        <w:rPr>
          <w:rFonts w:ascii="TimesNewRomanPS-BoldItalicMT" w:hAnsi="TimesNewRomanPS-BoldItalicMT" w:cs="TimesNewRomanPS-BoldItalicMT"/>
          <w:b/>
          <w:bCs/>
          <w:iCs/>
          <w:szCs w:val="22"/>
          <w:lang w:eastAsia="cs-CZ"/>
        </w:rPr>
        <w:t>Zvláštní opatření určené osobám, které podávají veterinární léčivý přípravek zvířatům: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V případě náhodného sebepoškození injekčně aplikovaným přípravkem, vyhledejte ihned lékařskou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pomoc a ukažte příbalovou informaci nebo etiketu praktickému lékaři.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Nejsou dostupné informace o bezpečnosti a účinnosti této vakcíny, pokud je podávána zároveň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s jiným veterinárním léčivým přípravkem. Rozhodnutí o použití této vakcíny před nebo po jakémkoliv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 xml:space="preserve">jiném veterinárním </w:t>
      </w:r>
      <w:proofErr w:type="gramStart"/>
      <w:r>
        <w:rPr>
          <w:rFonts w:ascii="TimesNewRomanPSMT" w:hAnsi="TimesNewRomanPSMT" w:cs="TimesNewRomanPSMT"/>
          <w:szCs w:val="22"/>
          <w:lang w:eastAsia="cs-CZ"/>
        </w:rPr>
        <w:t>léčivém</w:t>
      </w:r>
      <w:proofErr w:type="gramEnd"/>
      <w:r>
        <w:rPr>
          <w:rFonts w:ascii="TimesNewRomanPSMT" w:hAnsi="TimesNewRomanPSMT" w:cs="TimesNewRomanPSMT"/>
          <w:szCs w:val="22"/>
          <w:lang w:eastAsia="cs-CZ"/>
        </w:rPr>
        <w:t xml:space="preserve"> přípravku musí být provedeno na základě zvážení jednotlivých případů.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Nemísit s jiným veterinárním léčivým přípravkem.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Lze použít během březosti a laktace.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Účinnost nebyla prokázána za přítomnosti mateřských protilátek.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13. ZVLÁŠTNÍ OPATŘENÍ PRO ZNEŠKODŇOVÁNÍ NEPOUŽITÝCH PŘÍPRAVKŮ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NEBO ODPADU, POKUD JE JICH TŘEBA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Všechen nepoužitý veterinární léčivý přípravek nebo odpad, který pochází z tohoto přípravku, musí být likvidován podle místních právních předpisů.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14. DATUM POSLEDNÍ REVIZE PŘÍBALOVÉ INFORMACE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Leden 2014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Cs w:val="22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2"/>
          <w:lang w:eastAsia="cs-CZ"/>
        </w:rPr>
        <w:t>15. DALŠÍ INFORMACE</w:t>
      </w:r>
    </w:p>
    <w:p w:rsidR="00C34897" w:rsidRDefault="00C34897" w:rsidP="00C34897">
      <w:pPr>
        <w:ind w:left="0" w:firstLine="0"/>
        <w:rPr>
          <w:szCs w:val="22"/>
          <w:lang w:eastAsia="cs-CZ"/>
        </w:rPr>
      </w:pPr>
      <w:r>
        <w:rPr>
          <w:szCs w:val="22"/>
          <w:lang w:eastAsia="cs-CZ"/>
        </w:rPr>
        <w:t xml:space="preserve">Velikosti balení: </w:t>
      </w:r>
    </w:p>
    <w:p w:rsidR="00C34897" w:rsidRDefault="00C34897" w:rsidP="00C34897">
      <w:pPr>
        <w:ind w:left="0" w:firstLine="0"/>
        <w:rPr>
          <w:szCs w:val="22"/>
          <w:lang w:eastAsia="cs-CZ"/>
        </w:rPr>
      </w:pPr>
      <w:r>
        <w:rPr>
          <w:szCs w:val="22"/>
          <w:lang w:eastAsia="cs-CZ"/>
        </w:rPr>
        <w:t>Plastové krabičky: 10 x 5 dávek (10 x 10 ml)</w:t>
      </w:r>
    </w:p>
    <w:p w:rsidR="00C34897" w:rsidRDefault="00C34897" w:rsidP="00C34897">
      <w:pPr>
        <w:ind w:left="0" w:firstLine="0"/>
        <w:rPr>
          <w:szCs w:val="22"/>
          <w:lang w:eastAsia="cs-CZ"/>
        </w:rPr>
      </w:pPr>
      <w:r>
        <w:rPr>
          <w:szCs w:val="22"/>
          <w:lang w:eastAsia="cs-CZ"/>
        </w:rPr>
        <w:t xml:space="preserve">Kartónové krabičky: 1 x 5 dávek (1 x 10 ml), 1 x 25 dávek (1 x 50 ml), 1 x 50 </w:t>
      </w:r>
      <w:proofErr w:type="gramStart"/>
      <w:r>
        <w:rPr>
          <w:szCs w:val="22"/>
          <w:lang w:eastAsia="cs-CZ"/>
        </w:rPr>
        <w:t>dávek  (1 x 100</w:t>
      </w:r>
      <w:proofErr w:type="gramEnd"/>
      <w:r>
        <w:rPr>
          <w:szCs w:val="22"/>
          <w:lang w:eastAsia="cs-CZ"/>
        </w:rPr>
        <w:t xml:space="preserve"> ml)</w:t>
      </w: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</w:p>
    <w:p w:rsidR="00C34897" w:rsidRDefault="00C34897" w:rsidP="00C34897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Na trhu nemusí být všechny velikosti balení.</w:t>
      </w:r>
    </w:p>
    <w:p w:rsidR="00C34897" w:rsidRDefault="00C34897" w:rsidP="00C34897">
      <w:pPr>
        <w:ind w:left="0" w:firstLine="0"/>
        <w:rPr>
          <w:sz w:val="20"/>
          <w:lang w:eastAsia="cs-CZ"/>
        </w:rPr>
      </w:pPr>
    </w:p>
    <w:p w:rsidR="00C34897" w:rsidRDefault="00C34897" w:rsidP="00C34897">
      <w:pPr>
        <w:ind w:left="0" w:firstLine="0"/>
        <w:rPr>
          <w:szCs w:val="22"/>
          <w:lang w:eastAsia="cs-CZ"/>
        </w:rPr>
      </w:pPr>
      <w:r>
        <w:rPr>
          <w:szCs w:val="22"/>
          <w:lang w:eastAsia="cs-CZ"/>
        </w:rPr>
        <w:t>Veterinární léčivý přípravek je vydáván pouze na předpis.</w:t>
      </w:r>
    </w:p>
    <w:p w:rsidR="000B789B" w:rsidRDefault="000B789B"/>
    <w:sectPr w:rsidR="000B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A"/>
    <w:rsid w:val="000B789B"/>
    <w:rsid w:val="00B3353A"/>
    <w:rsid w:val="00C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89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89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3287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2014-02-20T12:51:00Z</dcterms:created>
  <dcterms:modified xsi:type="dcterms:W3CDTF">2014-02-20T12:52:00Z</dcterms:modified>
</cp:coreProperties>
</file>