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Default="009902A5" w:rsidP="009902A5">
      <w:pPr>
        <w:jc w:val="center"/>
        <w:rPr>
          <w:b/>
        </w:rPr>
      </w:pPr>
    </w:p>
    <w:p w:rsidR="009902A5" w:rsidRPr="00F75554" w:rsidRDefault="009902A5" w:rsidP="009902A5">
      <w:pPr>
        <w:jc w:val="center"/>
        <w:rPr>
          <w:b/>
        </w:rPr>
      </w:pPr>
      <w:bookmarkStart w:id="0" w:name="_GoBack"/>
      <w:bookmarkEnd w:id="0"/>
      <w:r w:rsidRPr="00F75554">
        <w:rPr>
          <w:b/>
        </w:rPr>
        <w:t>PŘÍLOHA III</w:t>
      </w:r>
    </w:p>
    <w:p w:rsidR="009902A5" w:rsidRPr="00F75554" w:rsidRDefault="009902A5" w:rsidP="009902A5">
      <w:pPr>
        <w:jc w:val="center"/>
        <w:rPr>
          <w:b/>
        </w:rPr>
      </w:pPr>
    </w:p>
    <w:p w:rsidR="009902A5" w:rsidRPr="00F75554" w:rsidRDefault="009902A5" w:rsidP="009902A5">
      <w:pPr>
        <w:jc w:val="center"/>
        <w:rPr>
          <w:b/>
        </w:rPr>
      </w:pPr>
      <w:r w:rsidRPr="00F75554">
        <w:rPr>
          <w:b/>
        </w:rPr>
        <w:t xml:space="preserve">OZNAČENÍ NA OBALU </w:t>
      </w:r>
    </w:p>
    <w:p w:rsidR="009902A5" w:rsidRPr="00F75554" w:rsidRDefault="009902A5" w:rsidP="009902A5">
      <w:r w:rsidRPr="00F75554">
        <w:rPr>
          <w:b/>
        </w:rPr>
        <w:br w:type="page"/>
      </w:r>
    </w:p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/>
    <w:p w:rsidR="009902A5" w:rsidRPr="00F75554" w:rsidRDefault="009902A5" w:rsidP="009902A5">
      <w:pPr>
        <w:ind w:left="284" w:hanging="284"/>
        <w:rPr>
          <w:b/>
        </w:rPr>
      </w:pPr>
    </w:p>
    <w:p w:rsidR="009902A5" w:rsidRPr="00F75554" w:rsidRDefault="009902A5" w:rsidP="009902A5">
      <w:pPr>
        <w:ind w:left="284" w:hanging="284"/>
        <w:jc w:val="center"/>
        <w:rPr>
          <w:b/>
        </w:rPr>
      </w:pPr>
      <w:r w:rsidRPr="00F75554">
        <w:rPr>
          <w:b/>
        </w:rPr>
        <w:t>A. OZNAČENÍ NA OBALU</w:t>
      </w:r>
    </w:p>
    <w:p w:rsidR="009902A5" w:rsidRPr="00F75554" w:rsidRDefault="009902A5" w:rsidP="009902A5">
      <w:pPr>
        <w:jc w:val="center"/>
      </w:pPr>
    </w:p>
    <w:p w:rsidR="009902A5" w:rsidRPr="00F75554" w:rsidRDefault="009902A5" w:rsidP="009902A5">
      <w:pPr>
        <w:ind w:right="566"/>
      </w:pPr>
      <w:r w:rsidRPr="00F75554">
        <w:br w:type="page"/>
      </w:r>
    </w:p>
    <w:p w:rsidR="009902A5" w:rsidRDefault="009902A5" w:rsidP="009902A5">
      <w:pPr>
        <w:ind w:right="113"/>
        <w:jc w:val="center"/>
      </w:pPr>
      <w:r>
        <w:rPr>
          <w:b/>
        </w:rPr>
        <w:lastRenderedPageBreak/>
        <w:t>PŘÍBALOVÁ INFORMACE</w:t>
      </w:r>
      <w:r>
        <w:rPr>
          <w:rStyle w:val="Znakapoznpodarou"/>
          <w:b/>
        </w:rPr>
        <w:footnoteReference w:id="1"/>
      </w:r>
    </w:p>
    <w:p w:rsidR="009902A5" w:rsidRPr="00104BA6" w:rsidRDefault="009902A5" w:rsidP="009902A5">
      <w:pPr>
        <w:jc w:val="center"/>
        <w:rPr>
          <w:b/>
        </w:rPr>
      </w:pPr>
      <w:proofErr w:type="spellStart"/>
      <w:r w:rsidRPr="00104BA6">
        <w:rPr>
          <w:b/>
        </w:rPr>
        <w:t>AquaVac</w:t>
      </w:r>
      <w:proofErr w:type="spellEnd"/>
      <w:r w:rsidRPr="00104BA6">
        <w:rPr>
          <w:b/>
        </w:rPr>
        <w:t xml:space="preserve"> RELERA</w:t>
      </w:r>
    </w:p>
    <w:p w:rsidR="009902A5" w:rsidRPr="00104BA6" w:rsidRDefault="009902A5" w:rsidP="009902A5">
      <w:pPr>
        <w:rPr>
          <w:b/>
        </w:rPr>
      </w:pPr>
      <w:r>
        <w:rPr>
          <w:b/>
        </w:rPr>
        <w:t>k</w:t>
      </w:r>
      <w:r w:rsidRPr="00104BA6">
        <w:rPr>
          <w:b/>
        </w:rPr>
        <w:t>oncentrát suspenze pro koupel nebo suspenze pro injekci pro pstruha duhového</w:t>
      </w:r>
    </w:p>
    <w:p w:rsidR="009902A5" w:rsidRDefault="009902A5" w:rsidP="009902A5"/>
    <w:p w:rsidR="009902A5" w:rsidRDefault="009902A5" w:rsidP="009902A5"/>
    <w:p w:rsidR="009902A5" w:rsidRDefault="009902A5" w:rsidP="009902A5"/>
    <w:p w:rsidR="009902A5" w:rsidRDefault="009902A5" w:rsidP="009902A5"/>
    <w:p w:rsidR="009902A5" w:rsidRDefault="009902A5" w:rsidP="009902A5"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9902A5" w:rsidRDefault="009902A5" w:rsidP="009902A5"/>
    <w:p w:rsidR="009902A5" w:rsidRPr="005511E7" w:rsidRDefault="009902A5" w:rsidP="009902A5">
      <w:pPr>
        <w:rPr>
          <w:szCs w:val="22"/>
          <w:u w:val="single"/>
        </w:rPr>
      </w:pPr>
      <w:r w:rsidRPr="005511E7">
        <w:rPr>
          <w:szCs w:val="22"/>
          <w:u w:val="single"/>
        </w:rPr>
        <w:t>Držitel rozhodnutí o registraci:</w:t>
      </w:r>
    </w:p>
    <w:p w:rsidR="009902A5" w:rsidRPr="005511E7" w:rsidRDefault="009902A5" w:rsidP="009902A5">
      <w:pPr>
        <w:rPr>
          <w:szCs w:val="22"/>
        </w:rPr>
      </w:pPr>
      <w:proofErr w:type="spellStart"/>
      <w:r w:rsidRPr="005511E7">
        <w:rPr>
          <w:szCs w:val="22"/>
        </w:rPr>
        <w:t>Intervet</w:t>
      </w:r>
      <w:proofErr w:type="spellEnd"/>
      <w:r w:rsidRPr="005511E7">
        <w:rPr>
          <w:szCs w:val="22"/>
        </w:rPr>
        <w:t xml:space="preserve"> </w:t>
      </w:r>
      <w:proofErr w:type="gramStart"/>
      <w:r w:rsidRPr="005511E7">
        <w:rPr>
          <w:szCs w:val="22"/>
        </w:rPr>
        <w:t>International B.V.</w:t>
      </w:r>
      <w:proofErr w:type="gramEnd"/>
    </w:p>
    <w:p w:rsidR="009902A5" w:rsidRPr="005511E7" w:rsidRDefault="009902A5" w:rsidP="009902A5">
      <w:pPr>
        <w:rPr>
          <w:szCs w:val="22"/>
        </w:rPr>
      </w:pPr>
      <w:proofErr w:type="spellStart"/>
      <w:r>
        <w:rPr>
          <w:szCs w:val="22"/>
        </w:rPr>
        <w:t>Wim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Kö</w:t>
      </w:r>
      <w:r w:rsidRPr="005511E7">
        <w:rPr>
          <w:szCs w:val="22"/>
        </w:rPr>
        <w:t>rverstraat</w:t>
      </w:r>
      <w:proofErr w:type="spellEnd"/>
      <w:r w:rsidRPr="005511E7">
        <w:rPr>
          <w:szCs w:val="22"/>
        </w:rPr>
        <w:t xml:space="preserve"> 35</w:t>
      </w:r>
    </w:p>
    <w:p w:rsidR="009902A5" w:rsidRPr="005511E7" w:rsidRDefault="009902A5" w:rsidP="009902A5">
      <w:pPr>
        <w:rPr>
          <w:szCs w:val="22"/>
        </w:rPr>
      </w:pPr>
      <w:r w:rsidRPr="005511E7">
        <w:rPr>
          <w:szCs w:val="22"/>
        </w:rPr>
        <w:t xml:space="preserve">5831 AN </w:t>
      </w:r>
      <w:proofErr w:type="spellStart"/>
      <w:r w:rsidRPr="005511E7">
        <w:rPr>
          <w:szCs w:val="22"/>
        </w:rPr>
        <w:t>Boxmeer</w:t>
      </w:r>
      <w:proofErr w:type="spellEnd"/>
    </w:p>
    <w:p w:rsidR="009902A5" w:rsidRPr="005511E7" w:rsidRDefault="009902A5" w:rsidP="009902A5">
      <w:pPr>
        <w:rPr>
          <w:szCs w:val="22"/>
        </w:rPr>
      </w:pPr>
      <w:r w:rsidRPr="005511E7">
        <w:rPr>
          <w:szCs w:val="22"/>
        </w:rPr>
        <w:t>Nizozemsko</w:t>
      </w:r>
    </w:p>
    <w:p w:rsidR="009902A5" w:rsidRPr="005511E7" w:rsidRDefault="009902A5" w:rsidP="009902A5">
      <w:pPr>
        <w:rPr>
          <w:iCs/>
          <w:szCs w:val="22"/>
        </w:rPr>
      </w:pPr>
    </w:p>
    <w:p w:rsidR="009902A5" w:rsidRPr="005511E7" w:rsidRDefault="009902A5" w:rsidP="009902A5">
      <w:pPr>
        <w:rPr>
          <w:bCs/>
          <w:szCs w:val="22"/>
          <w:u w:val="single"/>
        </w:rPr>
      </w:pPr>
      <w:r w:rsidRPr="005511E7">
        <w:rPr>
          <w:bCs/>
          <w:szCs w:val="22"/>
          <w:u w:val="single"/>
        </w:rPr>
        <w:t>Výrobce odpovědný za uvolnění šarže</w:t>
      </w:r>
      <w:r w:rsidRPr="005511E7">
        <w:rPr>
          <w:bCs/>
          <w:szCs w:val="22"/>
        </w:rPr>
        <w:t>:</w:t>
      </w:r>
    </w:p>
    <w:p w:rsidR="009902A5" w:rsidRPr="005511E7" w:rsidRDefault="009902A5" w:rsidP="009902A5">
      <w:pPr>
        <w:rPr>
          <w:color w:val="000000"/>
          <w:szCs w:val="22"/>
        </w:rPr>
      </w:pPr>
      <w:proofErr w:type="spellStart"/>
      <w:r w:rsidRPr="005511E7">
        <w:rPr>
          <w:color w:val="000000"/>
          <w:szCs w:val="22"/>
        </w:rPr>
        <w:t>Schering-Plough</w:t>
      </w:r>
      <w:proofErr w:type="spellEnd"/>
      <w:r w:rsidRPr="005511E7">
        <w:rPr>
          <w:color w:val="000000"/>
          <w:szCs w:val="22"/>
        </w:rPr>
        <w:t xml:space="preserve"> Limited </w:t>
      </w:r>
    </w:p>
    <w:p w:rsidR="009902A5" w:rsidRPr="005511E7" w:rsidRDefault="009902A5" w:rsidP="009902A5">
      <w:pPr>
        <w:rPr>
          <w:color w:val="000000"/>
          <w:szCs w:val="22"/>
        </w:rPr>
      </w:pPr>
      <w:proofErr w:type="spellStart"/>
      <w:r w:rsidRPr="005511E7">
        <w:rPr>
          <w:color w:val="000000"/>
          <w:szCs w:val="22"/>
        </w:rPr>
        <w:t>Harefield</w:t>
      </w:r>
      <w:proofErr w:type="spellEnd"/>
      <w:r w:rsidRPr="005511E7">
        <w:rPr>
          <w:color w:val="000000"/>
          <w:szCs w:val="22"/>
        </w:rPr>
        <w:t xml:space="preserve"> UB9 6LS </w:t>
      </w:r>
    </w:p>
    <w:p w:rsidR="009902A5" w:rsidRPr="005511E7" w:rsidRDefault="009902A5" w:rsidP="009902A5">
      <w:pPr>
        <w:rPr>
          <w:color w:val="000000"/>
          <w:szCs w:val="22"/>
        </w:rPr>
      </w:pPr>
      <w:r w:rsidRPr="005511E7">
        <w:rPr>
          <w:color w:val="000000"/>
          <w:szCs w:val="22"/>
        </w:rPr>
        <w:t>UK</w:t>
      </w:r>
    </w:p>
    <w:p w:rsidR="009902A5" w:rsidRDefault="009902A5" w:rsidP="009902A5"/>
    <w:p w:rsidR="009902A5" w:rsidRDefault="009902A5" w:rsidP="009902A5"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9902A5" w:rsidRDefault="009902A5" w:rsidP="009902A5"/>
    <w:p w:rsidR="009902A5" w:rsidRDefault="009902A5" w:rsidP="009902A5">
      <w:proofErr w:type="spellStart"/>
      <w:r>
        <w:t>AquaVac</w:t>
      </w:r>
      <w:proofErr w:type="spellEnd"/>
      <w:r>
        <w:t xml:space="preserve"> RELERA</w:t>
      </w:r>
    </w:p>
    <w:p w:rsidR="009902A5" w:rsidRPr="00D80BE0" w:rsidRDefault="009902A5" w:rsidP="009902A5">
      <w:r w:rsidRPr="00D80BE0">
        <w:t>Koncentrát suspenze pro koupel nebo suspenze pro injekci pro pstruha duhového</w:t>
      </w:r>
    </w:p>
    <w:p w:rsidR="009902A5" w:rsidRDefault="009902A5" w:rsidP="009902A5"/>
    <w:p w:rsidR="009902A5" w:rsidRDefault="009902A5" w:rsidP="009902A5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9902A5" w:rsidRDefault="009902A5" w:rsidP="009902A5">
      <w:pPr>
        <w:rPr>
          <w:iCs/>
        </w:rPr>
      </w:pPr>
    </w:p>
    <w:tbl>
      <w:tblPr>
        <w:tblW w:w="7655" w:type="dxa"/>
        <w:tblInd w:w="108" w:type="dxa"/>
        <w:tblLook w:val="01E0" w:firstRow="1" w:lastRow="1" w:firstColumn="1" w:lastColumn="1" w:noHBand="0" w:noVBand="0"/>
      </w:tblPr>
      <w:tblGrid>
        <w:gridCol w:w="4428"/>
        <w:gridCol w:w="3227"/>
      </w:tblGrid>
      <w:tr w:rsidR="009902A5" w:rsidTr="00AA37A9">
        <w:tc>
          <w:tcPr>
            <w:tcW w:w="4428" w:type="dxa"/>
          </w:tcPr>
          <w:p w:rsidR="009902A5" w:rsidRDefault="009902A5" w:rsidP="00AA37A9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/>
              <w:ind w:left="1134" w:hanging="1100"/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 xml:space="preserve">Inaktivované buňky </w:t>
            </w:r>
            <w:proofErr w:type="spellStart"/>
            <w:r>
              <w:rPr>
                <w:i/>
                <w:szCs w:val="22"/>
              </w:rPr>
              <w:t>Yersinia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ruckeri</w:t>
            </w:r>
            <w:proofErr w:type="spellEnd"/>
          </w:p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(kmen </w:t>
            </w:r>
            <w:proofErr w:type="spellStart"/>
            <w:r>
              <w:rPr>
                <w:szCs w:val="22"/>
              </w:rPr>
              <w:t>Hagerman</w:t>
            </w:r>
            <w:proofErr w:type="spellEnd"/>
            <w:r>
              <w:rPr>
                <w:szCs w:val="22"/>
              </w:rPr>
              <w:t xml:space="preserve"> typ 1)</w:t>
            </w:r>
            <w:r>
              <w:rPr>
                <w:szCs w:val="22"/>
              </w:rPr>
              <w:tab/>
            </w:r>
          </w:p>
        </w:tc>
        <w:tc>
          <w:tcPr>
            <w:tcW w:w="3227" w:type="dxa"/>
          </w:tcPr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≥ 75% RPS* </w:t>
            </w:r>
          </w:p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b/>
                <w:szCs w:val="22"/>
              </w:rPr>
            </w:pPr>
          </w:p>
        </w:tc>
      </w:tr>
      <w:tr w:rsidR="009902A5" w:rsidTr="00AA37A9">
        <w:tc>
          <w:tcPr>
            <w:tcW w:w="4428" w:type="dxa"/>
          </w:tcPr>
          <w:p w:rsidR="009902A5" w:rsidRDefault="009902A5" w:rsidP="00AA37A9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Inaktivované buňky </w:t>
            </w:r>
            <w:proofErr w:type="spellStart"/>
            <w:r>
              <w:rPr>
                <w:i/>
                <w:szCs w:val="22"/>
              </w:rPr>
              <w:t>Yersinia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ruckeri</w:t>
            </w:r>
            <w:proofErr w:type="spellEnd"/>
          </w:p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>(kmen biotypu EX5)</w:t>
            </w:r>
          </w:p>
        </w:tc>
        <w:tc>
          <w:tcPr>
            <w:tcW w:w="3227" w:type="dxa"/>
          </w:tcPr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>≥ 75% RPS*</w:t>
            </w:r>
          </w:p>
          <w:p w:rsidR="009902A5" w:rsidRDefault="009902A5" w:rsidP="00AA37A9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/>
              <w:jc w:val="both"/>
              <w:rPr>
                <w:b/>
                <w:szCs w:val="22"/>
              </w:rPr>
            </w:pPr>
          </w:p>
        </w:tc>
      </w:tr>
    </w:tbl>
    <w:p w:rsidR="009902A5" w:rsidRPr="00D80BE0" w:rsidRDefault="009902A5" w:rsidP="009902A5">
      <w:pPr>
        <w:rPr>
          <w:iCs/>
        </w:rPr>
      </w:pPr>
      <w:r w:rsidRPr="00D80BE0">
        <w:rPr>
          <w:iCs/>
        </w:rPr>
        <w:t>*RPS : relativní procento přežití u pstruha duhového</w:t>
      </w:r>
    </w:p>
    <w:p w:rsidR="009902A5" w:rsidRPr="00D80BE0" w:rsidRDefault="009902A5" w:rsidP="009902A5">
      <w:pPr>
        <w:rPr>
          <w:iCs/>
        </w:rPr>
      </w:pPr>
    </w:p>
    <w:p w:rsidR="009902A5" w:rsidRDefault="009902A5" w:rsidP="009902A5">
      <w:r>
        <w:t xml:space="preserve">Zbytkový formaldehyd                                             </w:t>
      </w:r>
      <w:r>
        <w:rPr>
          <w:rFonts w:ascii="Arial" w:hAnsi="Arial" w:cs="Arial"/>
          <w:sz w:val="20"/>
        </w:rPr>
        <w:t>≤ 0,05% w/v</w:t>
      </w:r>
    </w:p>
    <w:p w:rsidR="009902A5" w:rsidRDefault="009902A5" w:rsidP="009902A5"/>
    <w:p w:rsidR="009902A5" w:rsidRDefault="009902A5" w:rsidP="009902A5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 xml:space="preserve">       </w:t>
      </w:r>
    </w:p>
    <w:p w:rsidR="009902A5" w:rsidRDefault="009902A5" w:rsidP="009902A5">
      <w:pPr>
        <w:ind w:left="0" w:firstLine="0"/>
        <w:rPr>
          <w:szCs w:val="22"/>
        </w:rPr>
      </w:pPr>
      <w:r>
        <w:rPr>
          <w:szCs w:val="22"/>
        </w:rPr>
        <w:t xml:space="preserve">Aktivní imunizace proti </w:t>
      </w:r>
      <w:proofErr w:type="spellStart"/>
      <w:r>
        <w:rPr>
          <w:szCs w:val="22"/>
        </w:rPr>
        <w:t>yersinióze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Enteric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Redmouth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disease</w:t>
      </w:r>
      <w:proofErr w:type="spellEnd"/>
      <w:r>
        <w:rPr>
          <w:szCs w:val="22"/>
        </w:rPr>
        <w:t xml:space="preserve">, ERM) pro omezení mortality 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 xml:space="preserve">způsobené kmenem </w:t>
      </w:r>
      <w:proofErr w:type="spellStart"/>
      <w:r>
        <w:rPr>
          <w:szCs w:val="22"/>
        </w:rPr>
        <w:t>Hagerman</w:t>
      </w:r>
      <w:proofErr w:type="spellEnd"/>
      <w:r>
        <w:rPr>
          <w:szCs w:val="22"/>
        </w:rPr>
        <w:t xml:space="preserve"> typ </w:t>
      </w:r>
      <w:smartTag w:uri="urn:schemas-microsoft-com:office:smarttags" w:element="metricconverter">
        <w:smartTagPr>
          <w:attr w:name="ProductID" w:val="1 a"/>
        </w:smartTagPr>
        <w:r>
          <w:rPr>
            <w:szCs w:val="22"/>
          </w:rPr>
          <w:t>1 a</w:t>
        </w:r>
      </w:smartTag>
      <w:r>
        <w:rPr>
          <w:szCs w:val="22"/>
        </w:rPr>
        <w:t xml:space="preserve"> kmenem biotypu EX5 </w:t>
      </w:r>
      <w:proofErr w:type="spellStart"/>
      <w:r w:rsidRPr="00D55485">
        <w:rPr>
          <w:szCs w:val="22"/>
        </w:rPr>
        <w:t>Yersinia</w:t>
      </w:r>
      <w:proofErr w:type="spellEnd"/>
      <w:r w:rsidRPr="00D55485">
        <w:rPr>
          <w:szCs w:val="22"/>
        </w:rPr>
        <w:t xml:space="preserve"> </w:t>
      </w:r>
      <w:proofErr w:type="spellStart"/>
      <w:r w:rsidRPr="00D55485">
        <w:rPr>
          <w:szCs w:val="22"/>
        </w:rPr>
        <w:t>ruckeri</w:t>
      </w:r>
      <w:proofErr w:type="spellEnd"/>
      <w:r w:rsidRPr="00D55485">
        <w:rPr>
          <w:szCs w:val="22"/>
        </w:rPr>
        <w:t>.</w:t>
      </w:r>
      <w:r>
        <w:rPr>
          <w:szCs w:val="22"/>
        </w:rPr>
        <w:t xml:space="preserve">  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 xml:space="preserve">       </w:t>
      </w:r>
    </w:p>
    <w:p w:rsidR="009902A5" w:rsidRPr="00D55485" w:rsidRDefault="009902A5" w:rsidP="009902A5">
      <w:pPr>
        <w:rPr>
          <w:szCs w:val="22"/>
          <w:u w:val="single"/>
        </w:rPr>
      </w:pPr>
      <w:r w:rsidRPr="00D55485">
        <w:rPr>
          <w:szCs w:val="22"/>
          <w:u w:val="single"/>
        </w:rPr>
        <w:t>Ponorný způsob:</w:t>
      </w:r>
    </w:p>
    <w:p w:rsidR="009902A5" w:rsidRPr="00221B6F" w:rsidRDefault="009902A5" w:rsidP="009902A5">
      <w:pPr>
        <w:rPr>
          <w:szCs w:val="22"/>
        </w:rPr>
      </w:pPr>
      <w:r w:rsidRPr="00221B6F">
        <w:rPr>
          <w:szCs w:val="22"/>
        </w:rPr>
        <w:t>Nástup imunity:</w:t>
      </w:r>
    </w:p>
    <w:p w:rsidR="009902A5" w:rsidRDefault="009902A5" w:rsidP="009902A5">
      <w:pPr>
        <w:rPr>
          <w:szCs w:val="22"/>
        </w:rPr>
      </w:pPr>
      <w:r w:rsidRPr="00221B6F">
        <w:rPr>
          <w:szCs w:val="22"/>
        </w:rPr>
        <w:t xml:space="preserve">336 </w:t>
      </w:r>
      <w:proofErr w:type="spellStart"/>
      <w:r w:rsidRPr="00221B6F">
        <w:rPr>
          <w:szCs w:val="22"/>
        </w:rPr>
        <w:t>stupňodnů</w:t>
      </w:r>
      <w:proofErr w:type="spellEnd"/>
      <w:r w:rsidRPr="00221B6F">
        <w:rPr>
          <w:szCs w:val="22"/>
        </w:rPr>
        <w:t xml:space="preserve"> (28 dnů ve 12°C) proti kmenu </w:t>
      </w:r>
      <w:proofErr w:type="spellStart"/>
      <w:r w:rsidRPr="00221B6F">
        <w:rPr>
          <w:szCs w:val="22"/>
        </w:rPr>
        <w:t>Hage</w:t>
      </w:r>
      <w:r>
        <w:rPr>
          <w:szCs w:val="22"/>
        </w:rPr>
        <w:t>rman</w:t>
      </w:r>
      <w:proofErr w:type="spellEnd"/>
      <w:r>
        <w:rPr>
          <w:szCs w:val="22"/>
        </w:rPr>
        <w:t xml:space="preserve"> typ 1 a proti EX5 biotypu.</w:t>
      </w:r>
    </w:p>
    <w:p w:rsidR="009902A5" w:rsidRPr="00221B6F" w:rsidRDefault="009902A5" w:rsidP="009902A5">
      <w:pPr>
        <w:rPr>
          <w:szCs w:val="22"/>
        </w:rPr>
      </w:pPr>
      <w:r w:rsidRPr="00221B6F">
        <w:rPr>
          <w:szCs w:val="22"/>
        </w:rPr>
        <w:t xml:space="preserve">Trvání imunity: </w:t>
      </w:r>
    </w:p>
    <w:p w:rsidR="009902A5" w:rsidRPr="00221B6F" w:rsidRDefault="009902A5" w:rsidP="009902A5">
      <w:pPr>
        <w:rPr>
          <w:szCs w:val="22"/>
        </w:rPr>
      </w:pPr>
      <w:r w:rsidRPr="00221B6F">
        <w:rPr>
          <w:szCs w:val="22"/>
        </w:rPr>
        <w:t xml:space="preserve">6 měsíců (205 dní ve </w:t>
      </w:r>
      <w:smartTag w:uri="urn:schemas-microsoft-com:office:smarttags" w:element="metricconverter">
        <w:smartTagPr>
          <w:attr w:name="ProductID" w:val="12ﾰC"/>
        </w:smartTagPr>
        <w:r w:rsidRPr="00221B6F">
          <w:rPr>
            <w:szCs w:val="22"/>
          </w:rPr>
          <w:t>12°C</w:t>
        </w:r>
      </w:smartTag>
      <w:r w:rsidRPr="00221B6F">
        <w:rPr>
          <w:szCs w:val="22"/>
        </w:rPr>
        <w:t>) proti kmen</w:t>
      </w:r>
      <w:r>
        <w:rPr>
          <w:szCs w:val="22"/>
        </w:rPr>
        <w:t>u</w:t>
      </w:r>
      <w:r w:rsidRPr="00221B6F">
        <w:rPr>
          <w:szCs w:val="22"/>
        </w:rPr>
        <w:t xml:space="preserve"> </w:t>
      </w:r>
      <w:proofErr w:type="spellStart"/>
      <w:r w:rsidRPr="00221B6F">
        <w:rPr>
          <w:szCs w:val="22"/>
        </w:rPr>
        <w:t>Hagerman</w:t>
      </w:r>
      <w:proofErr w:type="spellEnd"/>
      <w:r w:rsidRPr="00221B6F">
        <w:rPr>
          <w:szCs w:val="22"/>
        </w:rPr>
        <w:t xml:space="preserve"> typ 1. </w:t>
      </w:r>
    </w:p>
    <w:p w:rsidR="009902A5" w:rsidRDefault="009902A5" w:rsidP="009902A5">
      <w:pPr>
        <w:rPr>
          <w:szCs w:val="22"/>
        </w:rPr>
      </w:pPr>
      <w:r w:rsidRPr="00221B6F">
        <w:rPr>
          <w:szCs w:val="22"/>
        </w:rPr>
        <w:t xml:space="preserve">4 měsíce (133 dní ve 12°C) proti EX5 biotypu. 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>Zaznamenejte prosím, že úroveň ochrany proti biotypu EX5 během indikovaného období klesá.</w:t>
      </w:r>
    </w:p>
    <w:p w:rsidR="009902A5" w:rsidRDefault="009902A5" w:rsidP="009902A5">
      <w:pPr>
        <w:rPr>
          <w:szCs w:val="22"/>
        </w:rPr>
      </w:pPr>
    </w:p>
    <w:p w:rsidR="009902A5" w:rsidRDefault="009902A5" w:rsidP="009902A5">
      <w:pPr>
        <w:rPr>
          <w:szCs w:val="22"/>
          <w:u w:val="single"/>
        </w:rPr>
      </w:pPr>
    </w:p>
    <w:p w:rsidR="009902A5" w:rsidRPr="00D55485" w:rsidRDefault="009902A5" w:rsidP="009902A5">
      <w:pPr>
        <w:rPr>
          <w:szCs w:val="22"/>
          <w:u w:val="single"/>
        </w:rPr>
      </w:pPr>
      <w:r w:rsidRPr="00D55485">
        <w:rPr>
          <w:szCs w:val="22"/>
          <w:u w:val="single"/>
        </w:rPr>
        <w:lastRenderedPageBreak/>
        <w:t>Injekční způsob (pouze pro booster vakcinaci):</w:t>
      </w:r>
    </w:p>
    <w:p w:rsidR="009902A5" w:rsidRPr="00221B6F" w:rsidRDefault="009902A5" w:rsidP="009902A5">
      <w:pPr>
        <w:rPr>
          <w:szCs w:val="22"/>
        </w:rPr>
      </w:pPr>
      <w:r w:rsidRPr="00221B6F">
        <w:rPr>
          <w:szCs w:val="22"/>
        </w:rPr>
        <w:t>Trvání imunity:</w:t>
      </w:r>
    </w:p>
    <w:p w:rsidR="009902A5" w:rsidRPr="00221B6F" w:rsidRDefault="009902A5" w:rsidP="009902A5">
      <w:pPr>
        <w:rPr>
          <w:szCs w:val="22"/>
        </w:rPr>
      </w:pPr>
      <w:r w:rsidRPr="00221B6F">
        <w:rPr>
          <w:szCs w:val="22"/>
        </w:rPr>
        <w:t xml:space="preserve">Po 28 dnech (336 </w:t>
      </w:r>
      <w:proofErr w:type="spellStart"/>
      <w:r w:rsidRPr="00221B6F">
        <w:rPr>
          <w:szCs w:val="22"/>
        </w:rPr>
        <w:t>stupňodnech</w:t>
      </w:r>
      <w:proofErr w:type="spellEnd"/>
      <w:r w:rsidRPr="00221B6F">
        <w:rPr>
          <w:szCs w:val="22"/>
        </w:rPr>
        <w:t xml:space="preserve">) nebyla imunita sledována. </w:t>
      </w:r>
    </w:p>
    <w:p w:rsidR="009902A5" w:rsidRDefault="009902A5" w:rsidP="009902A5"/>
    <w:p w:rsidR="009902A5" w:rsidRDefault="009902A5" w:rsidP="009902A5">
      <w:pPr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:rsidR="009902A5" w:rsidRDefault="009902A5" w:rsidP="009902A5"/>
    <w:p w:rsidR="009902A5" w:rsidRDefault="009902A5" w:rsidP="009902A5">
      <w:pPr>
        <w:tabs>
          <w:tab w:val="left" w:pos="1134"/>
          <w:tab w:val="left" w:pos="1276"/>
          <w:tab w:val="left" w:pos="1843"/>
          <w:tab w:val="left" w:pos="2268"/>
          <w:tab w:val="left" w:pos="3261"/>
        </w:tabs>
        <w:spacing w:before="60" w:after="60"/>
        <w:jc w:val="both"/>
        <w:rPr>
          <w:b/>
          <w:szCs w:val="22"/>
        </w:rPr>
      </w:pPr>
      <w:r>
        <w:rPr>
          <w:szCs w:val="22"/>
        </w:rPr>
        <w:t xml:space="preserve">Nejsou. </w:t>
      </w:r>
    </w:p>
    <w:p w:rsidR="009902A5" w:rsidRDefault="009902A5" w:rsidP="009902A5"/>
    <w:p w:rsidR="009902A5" w:rsidRDefault="009902A5" w:rsidP="009902A5">
      <w:r>
        <w:rPr>
          <w:b/>
        </w:rPr>
        <w:t>6.</w:t>
      </w:r>
      <w:r>
        <w:rPr>
          <w:b/>
        </w:rPr>
        <w:tab/>
        <w:t>NEŽÁDOUCÍ ÚČINKY</w:t>
      </w:r>
    </w:p>
    <w:p w:rsidR="009902A5" w:rsidRDefault="009902A5" w:rsidP="009902A5"/>
    <w:p w:rsidR="009902A5" w:rsidRDefault="009902A5" w:rsidP="009902A5">
      <w:pPr>
        <w:ind w:right="-2"/>
      </w:pPr>
      <w:r w:rsidRPr="00221B6F">
        <w:t xml:space="preserve">Injekční podání může vyvolat </w:t>
      </w:r>
      <w:r>
        <w:t xml:space="preserve">velmi </w:t>
      </w:r>
      <w:r w:rsidRPr="00221B6F">
        <w:t>mírnou adhezi (</w:t>
      </w:r>
      <w:proofErr w:type="spellStart"/>
      <w:r w:rsidRPr="00221B6F">
        <w:t>Speilbergovo</w:t>
      </w:r>
      <w:proofErr w:type="spellEnd"/>
      <w:r w:rsidRPr="00221B6F">
        <w:t xml:space="preserve"> skóre 1) v místě podání injekce, </w:t>
      </w:r>
    </w:p>
    <w:p w:rsidR="009902A5" w:rsidRPr="00221B6F" w:rsidRDefault="009902A5" w:rsidP="009902A5">
      <w:pPr>
        <w:ind w:right="-2"/>
      </w:pPr>
      <w:r w:rsidRPr="00221B6F">
        <w:t xml:space="preserve">které může přetrvávat 7 týdnů, ale normálně není pozorováno déle </w:t>
      </w:r>
      <w:r>
        <w:t xml:space="preserve">než </w:t>
      </w:r>
      <w:r w:rsidRPr="00221B6F">
        <w:t>3 měsíce po injekci.</w:t>
      </w:r>
    </w:p>
    <w:p w:rsidR="009902A5" w:rsidRDefault="009902A5" w:rsidP="009902A5">
      <w:pPr>
        <w:ind w:right="-2"/>
      </w:pPr>
    </w:p>
    <w:p w:rsidR="009902A5" w:rsidRDefault="009902A5" w:rsidP="009902A5">
      <w:pPr>
        <w:ind w:right="-2"/>
      </w:pPr>
      <w:r>
        <w:t xml:space="preserve">Jestliže zaznamenáte jakékoliv závažné nežádoucí účinky či jiné reakce, které nejsou uvedeny v této </w:t>
      </w:r>
    </w:p>
    <w:p w:rsidR="009902A5" w:rsidRDefault="009902A5" w:rsidP="009902A5">
      <w:pPr>
        <w:ind w:right="-2"/>
      </w:pPr>
      <w:r>
        <w:t>příbalové informaci, oznamte to prosím vašemu veterinárnímu lékaři.</w:t>
      </w:r>
    </w:p>
    <w:p w:rsidR="009902A5" w:rsidRDefault="009902A5" w:rsidP="009902A5"/>
    <w:p w:rsidR="009902A5" w:rsidRDefault="009902A5" w:rsidP="009902A5">
      <w:r>
        <w:rPr>
          <w:b/>
        </w:rPr>
        <w:t>7.</w:t>
      </w:r>
      <w:r>
        <w:rPr>
          <w:b/>
        </w:rPr>
        <w:tab/>
        <w:t>CÍLOVÝ DRUH ZVÍŘAT</w:t>
      </w:r>
    </w:p>
    <w:p w:rsidR="009902A5" w:rsidRDefault="009902A5" w:rsidP="009902A5">
      <w:pPr>
        <w:rPr>
          <w:szCs w:val="22"/>
        </w:rPr>
      </w:pPr>
    </w:p>
    <w:p w:rsidR="009902A5" w:rsidRDefault="009902A5" w:rsidP="009902A5">
      <w:pPr>
        <w:rPr>
          <w:szCs w:val="22"/>
        </w:rPr>
      </w:pPr>
      <w:r>
        <w:rPr>
          <w:szCs w:val="22"/>
        </w:rPr>
        <w:t>Pstruh duhový (</w:t>
      </w:r>
      <w:proofErr w:type="spellStart"/>
      <w:r>
        <w:rPr>
          <w:i/>
          <w:szCs w:val="22"/>
        </w:rPr>
        <w:t>Oncorhynchus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mykiss</w:t>
      </w:r>
      <w:proofErr w:type="spellEnd"/>
      <w:r>
        <w:rPr>
          <w:szCs w:val="22"/>
        </w:rPr>
        <w:t>)</w:t>
      </w:r>
    </w:p>
    <w:p w:rsidR="009902A5" w:rsidRDefault="009902A5" w:rsidP="009902A5"/>
    <w:p w:rsidR="009902A5" w:rsidRDefault="009902A5" w:rsidP="009902A5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9902A5" w:rsidRDefault="009902A5" w:rsidP="009902A5">
      <w:pPr>
        <w:suppressAutoHyphens/>
        <w:jc w:val="both"/>
        <w:rPr>
          <w:b/>
          <w:spacing w:val="-3"/>
          <w:sz w:val="20"/>
        </w:rPr>
      </w:pP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 xml:space="preserve">Primární vakcinace by měla být pouze cestou ponorné koupele. V případě, že </w:t>
      </w:r>
      <w:proofErr w:type="gramStart"/>
      <w:r w:rsidRPr="0023404F">
        <w:rPr>
          <w:szCs w:val="22"/>
        </w:rPr>
        <w:t>je vyžadována</w:t>
      </w:r>
      <w:proofErr w:type="gramEnd"/>
      <w:r w:rsidRPr="0023404F">
        <w:rPr>
          <w:szCs w:val="22"/>
        </w:rPr>
        <w:t xml:space="preserve"> booster </w:t>
      </w: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>vakcinace, aby se prodloužilo trvání imunity na dalších 28 dní, pak by měl být použit injekční způsob.</w:t>
      </w: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>Vývoj protektivní imunity je závislý na teplotě vody.</w:t>
      </w: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</w:rPr>
        <w:t>Před použitím láhev protřepte.</w:t>
      </w:r>
    </w:p>
    <w:p w:rsidR="009902A5" w:rsidRPr="0023404F" w:rsidRDefault="009902A5" w:rsidP="009902A5">
      <w:pPr>
        <w:rPr>
          <w:b/>
          <w:szCs w:val="22"/>
        </w:rPr>
      </w:pP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  <w:u w:val="single"/>
        </w:rPr>
        <w:t>Primární vakcinace pomocí koupele</w:t>
      </w:r>
      <w:r w:rsidRPr="0023404F">
        <w:rPr>
          <w:szCs w:val="22"/>
        </w:rPr>
        <w:t xml:space="preserve"> (hmotnost ryb nejméně 5g)</w:t>
      </w: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</w:rPr>
        <w:t xml:space="preserve">Ryby rozdělte do skupin a na dobu 30 sekund ponořte do naředěné vakcíny. </w:t>
      </w: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 xml:space="preserve">1 litr vakcíny (množství k výrobě 10 litrů naředěné vakcíny) postačuje na vakcinaci maximálně 100 kg </w:t>
      </w: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</w:rPr>
        <w:t xml:space="preserve">ryb. </w:t>
      </w:r>
    </w:p>
    <w:p w:rsidR="009902A5" w:rsidRPr="0023404F" w:rsidRDefault="009902A5" w:rsidP="009902A5">
      <w:pPr>
        <w:rPr>
          <w:szCs w:val="22"/>
        </w:rPr>
      </w:pP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  <w:u w:val="single"/>
        </w:rPr>
        <w:t>Booster vakcinace pomocí injekční aplikace</w:t>
      </w:r>
      <w:r w:rsidRPr="0023404F">
        <w:rPr>
          <w:szCs w:val="22"/>
        </w:rPr>
        <w:t xml:space="preserve"> (hmotnost ryb nejméně 12 g)</w:t>
      </w: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 xml:space="preserve">Přípravek se aplikuje intraperitoneální injekcí na ventrální ploše těla, těsně před pánevními ploutvemi. </w:t>
      </w:r>
    </w:p>
    <w:p w:rsidR="009902A5" w:rsidRPr="0023404F" w:rsidRDefault="009902A5" w:rsidP="009902A5">
      <w:pPr>
        <w:rPr>
          <w:szCs w:val="22"/>
        </w:rPr>
      </w:pPr>
      <w:r w:rsidRPr="0023404F">
        <w:rPr>
          <w:szCs w:val="22"/>
        </w:rPr>
        <w:t xml:space="preserve">Dávka je 0,1 ml na jednu rybu. </w:t>
      </w:r>
    </w:p>
    <w:p w:rsidR="009902A5" w:rsidRDefault="009902A5" w:rsidP="009902A5">
      <w:pPr>
        <w:rPr>
          <w:szCs w:val="22"/>
        </w:rPr>
      </w:pPr>
      <w:r w:rsidRPr="0023404F">
        <w:rPr>
          <w:szCs w:val="22"/>
        </w:rPr>
        <w:t>Ryby by měly být před vakcinací uvedeny do anestezie.</w:t>
      </w:r>
    </w:p>
    <w:p w:rsidR="009902A5" w:rsidRPr="0023404F" w:rsidRDefault="009902A5" w:rsidP="009902A5">
      <w:pPr>
        <w:rPr>
          <w:szCs w:val="22"/>
        </w:rPr>
      </w:pPr>
    </w:p>
    <w:p w:rsidR="009902A5" w:rsidRDefault="009902A5" w:rsidP="009902A5">
      <w:r>
        <w:rPr>
          <w:b/>
        </w:rPr>
        <w:t>9.</w:t>
      </w:r>
      <w:r>
        <w:rPr>
          <w:b/>
        </w:rPr>
        <w:tab/>
      </w:r>
      <w:r w:rsidRPr="0023404F">
        <w:rPr>
          <w:b/>
        </w:rPr>
        <w:t>POKYNY PRO SPRÁVNÉ PODÁNÍ</w:t>
      </w:r>
    </w:p>
    <w:p w:rsidR="009902A5" w:rsidRDefault="009902A5" w:rsidP="009902A5"/>
    <w:p w:rsidR="009902A5" w:rsidRPr="0023404F" w:rsidRDefault="009902A5" w:rsidP="009902A5">
      <w:r w:rsidRPr="0023404F">
        <w:rPr>
          <w:u w:val="single"/>
        </w:rPr>
        <w:t>Primární vakcinace pomocí koupele</w:t>
      </w:r>
      <w:r>
        <w:t>:</w:t>
      </w:r>
    </w:p>
    <w:p w:rsidR="009902A5" w:rsidRDefault="009902A5" w:rsidP="009902A5">
      <w:pPr>
        <w:suppressAutoHyphens/>
        <w:jc w:val="both"/>
        <w:rPr>
          <w:szCs w:val="22"/>
        </w:rPr>
      </w:pPr>
      <w:r w:rsidRPr="0023404F">
        <w:t xml:space="preserve">Obsah láhve (1 litr) nařeďte v 9 litrech vody z odchovny, čisté a vhodně okysličené. </w:t>
      </w:r>
      <w:r w:rsidRPr="00005DC1">
        <w:rPr>
          <w:szCs w:val="22"/>
        </w:rPr>
        <w:t xml:space="preserve">Nařeďte obsah </w:t>
      </w:r>
    </w:p>
    <w:p w:rsidR="009902A5" w:rsidRPr="00005DC1" w:rsidRDefault="009902A5" w:rsidP="009902A5">
      <w:pPr>
        <w:suppressAutoHyphens/>
        <w:jc w:val="both"/>
        <w:rPr>
          <w:szCs w:val="22"/>
        </w:rPr>
      </w:pPr>
      <w:r w:rsidRPr="00005DC1">
        <w:rPr>
          <w:szCs w:val="22"/>
        </w:rPr>
        <w:t>okamžitě po otevření obalu, a naředěnou vakcínu okamžitě použijte.</w:t>
      </w:r>
    </w:p>
    <w:p w:rsidR="009902A5" w:rsidRDefault="009902A5" w:rsidP="009902A5">
      <w:pPr>
        <w:suppressAutoHyphens/>
        <w:jc w:val="both"/>
        <w:rPr>
          <w:rFonts w:ascii="Arial" w:hAnsi="Arial" w:cs="Arial"/>
          <w:sz w:val="20"/>
        </w:rPr>
      </w:pPr>
    </w:p>
    <w:p w:rsidR="009902A5" w:rsidRPr="0023404F" w:rsidRDefault="009902A5" w:rsidP="009902A5">
      <w:r w:rsidRPr="0023404F">
        <w:rPr>
          <w:u w:val="single"/>
        </w:rPr>
        <w:t>Booster vakcinace pomocí injekční aplikace</w:t>
      </w:r>
      <w:r>
        <w:rPr>
          <w:u w:val="single"/>
        </w:rPr>
        <w:t>:</w:t>
      </w:r>
    </w:p>
    <w:p w:rsidR="009902A5" w:rsidRDefault="009902A5" w:rsidP="009902A5">
      <w:r w:rsidRPr="0023404F">
        <w:t xml:space="preserve">Vakcínu je nutné aplikovat za použití injekčního dávkovače opatřeného mechanismem zabraňujícím </w:t>
      </w:r>
    </w:p>
    <w:p w:rsidR="009902A5" w:rsidRDefault="009902A5" w:rsidP="009902A5">
      <w:r w:rsidRPr="0023404F">
        <w:t xml:space="preserve">zpětnému nasávání. Použití manuálního a automatického systému je rovnocenné. </w:t>
      </w:r>
    </w:p>
    <w:p w:rsidR="009902A5" w:rsidRPr="0023404F" w:rsidRDefault="009902A5" w:rsidP="009902A5">
      <w:r>
        <w:t>Pečlivá injekční metoda je důležitá, aby se minimalizovaly nežádoucí účinky.</w:t>
      </w:r>
    </w:p>
    <w:p w:rsidR="009902A5" w:rsidRDefault="009902A5" w:rsidP="009902A5"/>
    <w:p w:rsidR="009902A5" w:rsidRDefault="009902A5" w:rsidP="009902A5">
      <w:r>
        <w:rPr>
          <w:b/>
        </w:rPr>
        <w:t>10.</w:t>
      </w:r>
      <w:r>
        <w:rPr>
          <w:b/>
        </w:rPr>
        <w:tab/>
        <w:t>OCHRANNÁ LHŮTA</w:t>
      </w:r>
    </w:p>
    <w:p w:rsidR="009902A5" w:rsidRDefault="009902A5" w:rsidP="009902A5">
      <w:pPr>
        <w:rPr>
          <w:iCs/>
        </w:rPr>
      </w:pPr>
    </w:p>
    <w:p w:rsidR="009902A5" w:rsidRDefault="009902A5" w:rsidP="009902A5">
      <w:r>
        <w:t xml:space="preserve">Bez ochranných lhůt. </w:t>
      </w:r>
    </w:p>
    <w:p w:rsidR="009902A5" w:rsidRDefault="009902A5" w:rsidP="009902A5">
      <w:pPr>
        <w:rPr>
          <w:iCs/>
        </w:rPr>
      </w:pPr>
    </w:p>
    <w:p w:rsidR="009902A5" w:rsidRDefault="009902A5" w:rsidP="009902A5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9902A5" w:rsidRDefault="009902A5" w:rsidP="009902A5">
      <w:pPr>
        <w:numPr>
          <w:ilvl w:val="12"/>
          <w:numId w:val="0"/>
        </w:numPr>
        <w:ind w:right="-2"/>
        <w:rPr>
          <w:noProof/>
        </w:rPr>
      </w:pPr>
    </w:p>
    <w:p w:rsidR="009902A5" w:rsidRDefault="009902A5" w:rsidP="009902A5">
      <w:pPr>
        <w:numPr>
          <w:ilvl w:val="12"/>
          <w:numId w:val="0"/>
        </w:numPr>
        <w:ind w:right="-2"/>
        <w:rPr>
          <w:noProof/>
        </w:rPr>
      </w:pPr>
      <w:r>
        <w:t xml:space="preserve">Uchovávejte a přepravujte chlazené </w:t>
      </w:r>
      <w:r>
        <w:rPr>
          <w:noProof/>
        </w:rPr>
        <w:t>(2°C - 8°C).</w:t>
      </w:r>
    </w:p>
    <w:p w:rsidR="009902A5" w:rsidRDefault="009902A5" w:rsidP="009902A5">
      <w:pPr>
        <w:numPr>
          <w:ilvl w:val="12"/>
          <w:numId w:val="0"/>
        </w:numPr>
        <w:ind w:right="-2"/>
        <w:rPr>
          <w:noProof/>
        </w:rPr>
      </w:pPr>
      <w:r>
        <w:lastRenderedPageBreak/>
        <w:t>Chraňte před mrazem</w:t>
      </w:r>
      <w:r>
        <w:rPr>
          <w:noProof/>
        </w:rPr>
        <w:t xml:space="preserve">. </w:t>
      </w:r>
      <w:r>
        <w:t>Chraňte před světlem</w:t>
      </w:r>
      <w:r>
        <w:rPr>
          <w:noProof/>
        </w:rPr>
        <w:t>.</w:t>
      </w:r>
    </w:p>
    <w:p w:rsidR="009902A5" w:rsidRDefault="009902A5" w:rsidP="009902A5">
      <w:r>
        <w:t>Uchovávat mimo dosah dětí.</w:t>
      </w:r>
    </w:p>
    <w:p w:rsidR="009902A5" w:rsidRPr="00FC13D4" w:rsidRDefault="009902A5" w:rsidP="009902A5">
      <w:pPr>
        <w:tabs>
          <w:tab w:val="left" w:pos="1134"/>
        </w:tabs>
        <w:rPr>
          <w:szCs w:val="22"/>
        </w:rPr>
      </w:pPr>
      <w:r w:rsidRPr="00FC13D4">
        <w:rPr>
          <w:szCs w:val="22"/>
        </w:rPr>
        <w:t>Doba použitelnosti po prvním otevření vnitřního obalu</w:t>
      </w:r>
      <w:r>
        <w:rPr>
          <w:szCs w:val="22"/>
        </w:rPr>
        <w:t>:</w:t>
      </w:r>
      <w:r w:rsidRPr="00FC13D4">
        <w:rPr>
          <w:szCs w:val="22"/>
        </w:rPr>
        <w:t xml:space="preserve"> 5 hodin.</w:t>
      </w:r>
    </w:p>
    <w:p w:rsidR="009902A5" w:rsidRDefault="009902A5" w:rsidP="009902A5">
      <w:r>
        <w:t>Nepoužívejte tento veterinární léčivý přípravek po uplynutí doby použitelnosti uvedené na etiketě.</w:t>
      </w:r>
    </w:p>
    <w:p w:rsidR="009902A5" w:rsidRDefault="009902A5" w:rsidP="009902A5"/>
    <w:p w:rsidR="009902A5" w:rsidRDefault="009902A5" w:rsidP="009902A5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9902A5" w:rsidRDefault="009902A5" w:rsidP="009902A5">
      <w:pPr>
        <w:rPr>
          <w:szCs w:val="22"/>
        </w:rPr>
      </w:pPr>
    </w:p>
    <w:p w:rsidR="009902A5" w:rsidRPr="00B7218B" w:rsidRDefault="009902A5" w:rsidP="009902A5">
      <w:pPr>
        <w:rPr>
          <w:szCs w:val="22"/>
        </w:rPr>
      </w:pPr>
      <w:r w:rsidRPr="00B7218B">
        <w:rPr>
          <w:szCs w:val="22"/>
        </w:rPr>
        <w:t xml:space="preserve">Nepoužívat u chovného hejna nebo u ryb, u nichž se předpokládá chovné využití. 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>Vakcinujte pouze zdravé ryby.</w:t>
      </w:r>
    </w:p>
    <w:p w:rsidR="009902A5" w:rsidRPr="00D55485" w:rsidRDefault="009902A5" w:rsidP="009902A5">
      <w:pPr>
        <w:pStyle w:val="Zkladntextodsazen2"/>
        <w:rPr>
          <w:b w:val="0"/>
          <w:szCs w:val="22"/>
        </w:rPr>
      </w:pPr>
      <w:proofErr w:type="gramStart"/>
      <w:r w:rsidRPr="00D55485">
        <w:rPr>
          <w:b w:val="0"/>
          <w:szCs w:val="22"/>
        </w:rPr>
        <w:t>Nevakcinujte pokud</w:t>
      </w:r>
      <w:proofErr w:type="gramEnd"/>
      <w:r w:rsidRPr="00D55485">
        <w:rPr>
          <w:b w:val="0"/>
          <w:szCs w:val="22"/>
        </w:rPr>
        <w:t xml:space="preserve"> je teplota vody nižší než 12°C.</w:t>
      </w:r>
    </w:p>
    <w:p w:rsidR="009902A5" w:rsidRPr="00D55485" w:rsidRDefault="009902A5" w:rsidP="009902A5">
      <w:pPr>
        <w:pStyle w:val="Zkladntextodsazen2"/>
        <w:rPr>
          <w:b w:val="0"/>
          <w:szCs w:val="22"/>
        </w:rPr>
      </w:pPr>
      <w:r w:rsidRPr="00D55485">
        <w:rPr>
          <w:b w:val="0"/>
          <w:szCs w:val="22"/>
        </w:rPr>
        <w:t xml:space="preserve">Vyvarujte se stresování ryb při manipulaci a také změn teplot, zejména rozdílu mezi teplotou </w:t>
      </w:r>
    </w:p>
    <w:p w:rsidR="009902A5" w:rsidRPr="00005DC1" w:rsidRDefault="009902A5" w:rsidP="009902A5">
      <w:pPr>
        <w:pStyle w:val="Zkladntextodsazen2"/>
        <w:rPr>
          <w:szCs w:val="22"/>
        </w:rPr>
      </w:pPr>
      <w:r w:rsidRPr="00D55485">
        <w:rPr>
          <w:b w:val="0"/>
          <w:szCs w:val="22"/>
        </w:rPr>
        <w:t>vakcinační suspenze a teplotou vody, v níž ryby žijí.</w:t>
      </w:r>
      <w:r w:rsidRPr="00005DC1">
        <w:rPr>
          <w:szCs w:val="22"/>
        </w:rPr>
        <w:t xml:space="preserve">  </w:t>
      </w:r>
    </w:p>
    <w:p w:rsidR="009902A5" w:rsidRDefault="009902A5" w:rsidP="009902A5">
      <w:pPr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Musí se respektovat minimální hmotnost ryb před vakcinací. </w:t>
      </w:r>
    </w:p>
    <w:p w:rsidR="009902A5" w:rsidRDefault="009902A5" w:rsidP="009902A5">
      <w:pPr>
        <w:suppressAutoHyphens/>
        <w:jc w:val="both"/>
        <w:rPr>
          <w:color w:val="000000"/>
          <w:szCs w:val="22"/>
        </w:rPr>
      </w:pPr>
    </w:p>
    <w:p w:rsidR="009902A5" w:rsidRPr="00B7218B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Aby se předešlo náhodné injekční </w:t>
      </w:r>
      <w:proofErr w:type="spellStart"/>
      <w:r w:rsidRPr="00B7218B">
        <w:rPr>
          <w:color w:val="000000"/>
          <w:szCs w:val="22"/>
        </w:rPr>
        <w:t>samoaplikaci</w:t>
      </w:r>
      <w:proofErr w:type="spellEnd"/>
      <w:r w:rsidRPr="00B7218B">
        <w:rPr>
          <w:color w:val="000000"/>
          <w:szCs w:val="22"/>
        </w:rPr>
        <w:t xml:space="preserve">, je nutné používat příslušné ochranné pomůcky. </w:t>
      </w:r>
    </w:p>
    <w:p w:rsidR="009902A5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V případě náhodného sebepoškození injekčně aplikovaným přípravkem, vyhledejte ihned lékařskou </w:t>
      </w:r>
    </w:p>
    <w:p w:rsidR="009902A5" w:rsidRPr="00B7218B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pomoc a ukažte příbalovou informaci nebo etiketu praktickému lékaři. </w:t>
      </w:r>
    </w:p>
    <w:p w:rsidR="009902A5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Nejsou dostupné informace o bezpečnosti a účinnosti této vakcíny, pokud je podávána zároveň s jiným </w:t>
      </w:r>
    </w:p>
    <w:p w:rsidR="009902A5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veterinárním léčivým přípravkem. Rozhodnutí o použití této vakcíny před nebo po jakémkoliv jiném </w:t>
      </w:r>
    </w:p>
    <w:p w:rsidR="009902A5" w:rsidRPr="00B7218B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 xml:space="preserve">veterinárním </w:t>
      </w:r>
      <w:proofErr w:type="gramStart"/>
      <w:r w:rsidRPr="00B7218B">
        <w:rPr>
          <w:color w:val="000000"/>
          <w:szCs w:val="22"/>
        </w:rPr>
        <w:t>léčivém</w:t>
      </w:r>
      <w:proofErr w:type="gramEnd"/>
      <w:r w:rsidRPr="00B7218B">
        <w:rPr>
          <w:color w:val="000000"/>
          <w:szCs w:val="22"/>
        </w:rPr>
        <w:t xml:space="preserve"> přípravku musí být provedeno na základě zvážení jednotlivých případů.</w:t>
      </w:r>
    </w:p>
    <w:p w:rsidR="009902A5" w:rsidRPr="00B7218B" w:rsidRDefault="009902A5" w:rsidP="009902A5">
      <w:pPr>
        <w:suppressAutoHyphens/>
        <w:jc w:val="both"/>
        <w:rPr>
          <w:color w:val="000000"/>
          <w:szCs w:val="22"/>
        </w:rPr>
      </w:pPr>
      <w:r w:rsidRPr="00B7218B">
        <w:rPr>
          <w:color w:val="000000"/>
          <w:szCs w:val="22"/>
        </w:rPr>
        <w:t>Nemísit s  jin</w:t>
      </w:r>
      <w:r>
        <w:rPr>
          <w:color w:val="000000"/>
          <w:szCs w:val="22"/>
        </w:rPr>
        <w:t>ým</w:t>
      </w:r>
      <w:r w:rsidRPr="00B7218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veterinárním</w:t>
      </w:r>
      <w:r w:rsidRPr="00B7218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léčivým </w:t>
      </w:r>
      <w:r w:rsidRPr="00B7218B">
        <w:rPr>
          <w:color w:val="000000"/>
          <w:szCs w:val="22"/>
        </w:rPr>
        <w:t>přípravkem.</w:t>
      </w:r>
    </w:p>
    <w:p w:rsidR="009902A5" w:rsidRDefault="009902A5" w:rsidP="009902A5"/>
    <w:p w:rsidR="009902A5" w:rsidRDefault="009902A5" w:rsidP="00990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</w:t>
      </w:r>
      <w:proofErr w:type="gramStart"/>
      <w:r>
        <w:rPr>
          <w:b/>
        </w:rPr>
        <w:t>ODPADU,  POKUD</w:t>
      </w:r>
      <w:proofErr w:type="gramEnd"/>
      <w:r>
        <w:rPr>
          <w:b/>
        </w:rPr>
        <w:t xml:space="preserve">  JE JICH TŘEBA</w:t>
      </w:r>
    </w:p>
    <w:p w:rsidR="009902A5" w:rsidRDefault="009902A5" w:rsidP="009902A5">
      <w:pPr>
        <w:ind w:right="-318"/>
      </w:pPr>
    </w:p>
    <w:p w:rsidR="009902A5" w:rsidRDefault="009902A5" w:rsidP="009902A5">
      <w:pPr>
        <w:ind w:right="-318"/>
      </w:pPr>
      <w:r>
        <w:t xml:space="preserve">Všechen nepoužitý veterinární léčivý přípravek nebo </w:t>
      </w:r>
      <w:proofErr w:type="gramStart"/>
      <w:r>
        <w:t>odpad který</w:t>
      </w:r>
      <w:proofErr w:type="gramEnd"/>
      <w:r>
        <w:t xml:space="preserve"> pochází z tohoto přípravku  </w:t>
      </w:r>
    </w:p>
    <w:p w:rsidR="009902A5" w:rsidRDefault="009902A5" w:rsidP="009902A5">
      <w:pPr>
        <w:ind w:right="-318"/>
      </w:pPr>
      <w:r>
        <w:t xml:space="preserve">musí být likvidován </w:t>
      </w:r>
      <w:r w:rsidRPr="00B7218B">
        <w:t>podle místních právních předpisů.</w:t>
      </w:r>
      <w:r>
        <w:t xml:space="preserve"> </w:t>
      </w:r>
    </w:p>
    <w:p w:rsidR="009902A5" w:rsidRDefault="009902A5" w:rsidP="009902A5">
      <w:pPr>
        <w:ind w:right="-318"/>
      </w:pPr>
    </w:p>
    <w:p w:rsidR="009902A5" w:rsidRDefault="009902A5" w:rsidP="00990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14.</w:t>
      </w:r>
      <w:r>
        <w:rPr>
          <w:b/>
        </w:rPr>
        <w:tab/>
      </w:r>
      <w:r>
        <w:rPr>
          <w:b/>
          <w:lang w:val="de-DE"/>
        </w:rPr>
        <w:t>DATUM POSLEDNÍ REVIZE PŘÍBALOVÉ INFORMACE</w:t>
      </w:r>
    </w:p>
    <w:p w:rsidR="009902A5" w:rsidRDefault="009902A5" w:rsidP="009902A5">
      <w:pPr>
        <w:tabs>
          <w:tab w:val="left" w:pos="720"/>
        </w:tabs>
        <w:ind w:right="-318" w:firstLine="720"/>
      </w:pPr>
    </w:p>
    <w:p w:rsidR="009902A5" w:rsidRDefault="009902A5" w:rsidP="009902A5">
      <w:pPr>
        <w:ind w:right="-318"/>
      </w:pPr>
      <w:r>
        <w:t>Květen 2014</w:t>
      </w:r>
    </w:p>
    <w:p w:rsidR="009902A5" w:rsidRDefault="009902A5" w:rsidP="009902A5">
      <w:pPr>
        <w:ind w:right="-318"/>
      </w:pPr>
    </w:p>
    <w:p w:rsidR="009902A5" w:rsidRDefault="009902A5" w:rsidP="00990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15.</w:t>
      </w:r>
      <w:r>
        <w:rPr>
          <w:b/>
        </w:rPr>
        <w:tab/>
        <w:t>DALŠÍ INFORMACE</w:t>
      </w:r>
    </w:p>
    <w:p w:rsidR="009902A5" w:rsidRDefault="009902A5" w:rsidP="009902A5"/>
    <w:p w:rsidR="009902A5" w:rsidRDefault="009902A5" w:rsidP="009902A5">
      <w:pPr>
        <w:rPr>
          <w:szCs w:val="22"/>
        </w:rPr>
      </w:pPr>
      <w:r>
        <w:rPr>
          <w:szCs w:val="22"/>
        </w:rPr>
        <w:t>Pouze pro zvířata.</w:t>
      </w:r>
    </w:p>
    <w:p w:rsidR="009902A5" w:rsidRDefault="009902A5" w:rsidP="009902A5">
      <w:r w:rsidRPr="007D7A10">
        <w:t>Veterinární léčivý přípravek je vydáván pouze na předpis.</w:t>
      </w:r>
    </w:p>
    <w:p w:rsidR="009902A5" w:rsidRDefault="009902A5" w:rsidP="009902A5">
      <w:pPr>
        <w:rPr>
          <w:szCs w:val="22"/>
        </w:rPr>
      </w:pPr>
    </w:p>
    <w:p w:rsidR="009902A5" w:rsidRDefault="009902A5" w:rsidP="009902A5">
      <w:pPr>
        <w:rPr>
          <w:szCs w:val="22"/>
        </w:rPr>
      </w:pPr>
      <w:r>
        <w:rPr>
          <w:szCs w:val="22"/>
        </w:rPr>
        <w:t>Velikost balení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  <w:t>1000 ml</w:t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 xml:space="preserve">Číslo šarže: </w:t>
      </w:r>
      <w:r>
        <w:rPr>
          <w:szCs w:val="22"/>
        </w:rPr>
        <w:tab/>
      </w:r>
      <w:r>
        <w:rPr>
          <w:szCs w:val="22"/>
        </w:rPr>
        <w:tab/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 xml:space="preserve">Datum exspirace: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902A5" w:rsidRDefault="009902A5" w:rsidP="009902A5">
      <w:pPr>
        <w:rPr>
          <w:szCs w:val="22"/>
        </w:rPr>
      </w:pPr>
      <w:r>
        <w:rPr>
          <w:szCs w:val="22"/>
        </w:rPr>
        <w:t>Registrační číslo: 97/067/09-C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</w:p>
    <w:p w:rsidR="009902A5" w:rsidRDefault="009902A5" w:rsidP="009902A5">
      <w:pPr>
        <w:rPr>
          <w:szCs w:val="22"/>
        </w:rPr>
      </w:pPr>
    </w:p>
    <w:p w:rsidR="009902A5" w:rsidRDefault="009902A5" w:rsidP="009902A5">
      <w:pPr>
        <w:rPr>
          <w:szCs w:val="22"/>
        </w:rPr>
      </w:pPr>
    </w:p>
    <w:p w:rsidR="009902A5" w:rsidRDefault="009902A5" w:rsidP="009902A5">
      <w:pPr>
        <w:rPr>
          <w:szCs w:val="22"/>
        </w:rPr>
      </w:pPr>
    </w:p>
    <w:p w:rsidR="009902A5" w:rsidRPr="00F75554" w:rsidRDefault="009902A5" w:rsidP="009902A5"/>
    <w:p w:rsidR="00D706DA" w:rsidRDefault="00D706DA"/>
    <w:sectPr w:rsidR="00D706DA" w:rsidSect="00D55485">
      <w:footerReference w:type="default" r:id="rId8"/>
      <w:footerReference w:type="first" r:id="rId9"/>
      <w:endnotePr>
        <w:numFmt w:val="decimal"/>
      </w:endnotePr>
      <w:pgSz w:w="11918" w:h="16840" w:code="9"/>
      <w:pgMar w:top="1418" w:right="1418" w:bottom="1418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86" w:rsidRDefault="00FC4786" w:rsidP="009902A5">
      <w:r>
        <w:separator/>
      </w:r>
    </w:p>
  </w:endnote>
  <w:endnote w:type="continuationSeparator" w:id="0">
    <w:p w:rsidR="00FC4786" w:rsidRDefault="00FC4786" w:rsidP="0099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FC478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Default="00FC478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902A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FC4786">
    <w:pPr>
      <w:pStyle w:val="Zpat"/>
      <w:tabs>
        <w:tab w:val="clear" w:pos="8930"/>
        <w:tab w:val="right" w:pos="8931"/>
      </w:tabs>
    </w:pPr>
  </w:p>
  <w:p w:rsidR="00CF7CB3" w:rsidRDefault="00FC478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902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86" w:rsidRDefault="00FC4786" w:rsidP="009902A5">
      <w:r>
        <w:separator/>
      </w:r>
    </w:p>
  </w:footnote>
  <w:footnote w:type="continuationSeparator" w:id="0">
    <w:p w:rsidR="00FC4786" w:rsidRDefault="00FC4786" w:rsidP="009902A5">
      <w:r>
        <w:continuationSeparator/>
      </w:r>
    </w:p>
  </w:footnote>
  <w:footnote w:id="1">
    <w:p w:rsidR="009902A5" w:rsidRDefault="009902A5" w:rsidP="009902A5">
      <w:pPr>
        <w:pStyle w:val="Textpoznpodarou"/>
        <w:rPr>
          <w:color w:val="3366FF"/>
          <w:lang w:val="de-DE"/>
        </w:rPr>
      </w:pPr>
      <w:r w:rsidRPr="0065653C">
        <w:rPr>
          <w:rStyle w:val="Znakapoznpodarou"/>
          <w:color w:val="3366FF"/>
        </w:rPr>
        <w:footnoteRef/>
      </w:r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Tento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proofErr w:type="gramStart"/>
      <w:r w:rsidRPr="0065653C">
        <w:rPr>
          <w:color w:val="3366FF"/>
          <w:lang w:val="de-DE"/>
        </w:rPr>
        <w:t>text</w:t>
      </w:r>
      <w:proofErr w:type="spellEnd"/>
      <w:proofErr w:type="gramEnd"/>
      <w:r w:rsidRPr="0065653C">
        <w:rPr>
          <w:color w:val="3366FF"/>
          <w:lang w:val="de-DE"/>
        </w:rPr>
        <w:t xml:space="preserve"> je </w:t>
      </w:r>
      <w:proofErr w:type="spellStart"/>
      <w:r w:rsidRPr="0065653C">
        <w:rPr>
          <w:color w:val="3366FF"/>
          <w:lang w:val="de-DE"/>
        </w:rPr>
        <w:t>základem</w:t>
      </w:r>
      <w:proofErr w:type="spellEnd"/>
      <w:r w:rsidRPr="0065653C">
        <w:rPr>
          <w:color w:val="3366FF"/>
          <w:lang w:val="de-DE"/>
        </w:rPr>
        <w:t xml:space="preserve"> pro </w:t>
      </w:r>
      <w:proofErr w:type="spellStart"/>
      <w:r w:rsidRPr="0065653C">
        <w:rPr>
          <w:color w:val="3366FF"/>
          <w:lang w:val="de-DE"/>
        </w:rPr>
        <w:t>vytvoření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etikety</w:t>
      </w:r>
      <w:proofErr w:type="spellEnd"/>
      <w:r w:rsidRPr="0065653C">
        <w:rPr>
          <w:color w:val="3366FF"/>
          <w:lang w:val="de-DE"/>
        </w:rPr>
        <w:t xml:space="preserve">. </w:t>
      </w:r>
      <w:proofErr w:type="spellStart"/>
      <w:r w:rsidRPr="0065653C">
        <w:rPr>
          <w:color w:val="3366FF"/>
          <w:lang w:val="de-DE"/>
        </w:rPr>
        <w:t>Nejde</w:t>
      </w:r>
      <w:proofErr w:type="spellEnd"/>
      <w:r w:rsidRPr="0065653C">
        <w:rPr>
          <w:color w:val="3366FF"/>
          <w:lang w:val="de-DE"/>
        </w:rPr>
        <w:t xml:space="preserve"> o </w:t>
      </w:r>
      <w:proofErr w:type="spellStart"/>
      <w:r w:rsidRPr="0065653C">
        <w:rPr>
          <w:color w:val="3366FF"/>
          <w:lang w:val="de-DE"/>
        </w:rPr>
        <w:t>zvláštní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příbalový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leták</w:t>
      </w:r>
      <w:proofErr w:type="spellEnd"/>
      <w:r w:rsidRPr="0065653C">
        <w:rPr>
          <w:color w:val="3366FF"/>
          <w:lang w:val="de-DE"/>
        </w:rPr>
        <w:t xml:space="preserve">. </w:t>
      </w:r>
      <w:proofErr w:type="spellStart"/>
      <w:r w:rsidRPr="0065653C">
        <w:rPr>
          <w:color w:val="3366FF"/>
          <w:lang w:val="de-DE"/>
        </w:rPr>
        <w:t>Číslování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textu</w:t>
      </w:r>
      <w:proofErr w:type="spellEnd"/>
      <w:r w:rsidRPr="0065653C">
        <w:rPr>
          <w:color w:val="3366FF"/>
          <w:lang w:val="de-DE"/>
        </w:rPr>
        <w:t xml:space="preserve"> je </w:t>
      </w:r>
      <w:proofErr w:type="spellStart"/>
      <w:r w:rsidRPr="0065653C">
        <w:rPr>
          <w:color w:val="3366FF"/>
          <w:lang w:val="de-DE"/>
        </w:rPr>
        <w:t>převzato</w:t>
      </w:r>
      <w:proofErr w:type="spellEnd"/>
      <w:r w:rsidRPr="0065653C">
        <w:rPr>
          <w:color w:val="3366FF"/>
          <w:lang w:val="de-DE"/>
        </w:rPr>
        <w:t xml:space="preserve"> z </w:t>
      </w:r>
    </w:p>
    <w:p w:rsidR="009902A5" w:rsidRPr="0065653C" w:rsidRDefault="009902A5" w:rsidP="009902A5">
      <w:pPr>
        <w:pStyle w:val="Textpoznpodarou"/>
        <w:rPr>
          <w:color w:val="3366FF"/>
          <w:lang w:val="de-DE"/>
        </w:rPr>
      </w:pPr>
      <w:r>
        <w:rPr>
          <w:color w:val="3366FF"/>
          <w:lang w:val="de-DE"/>
        </w:rPr>
        <w:t xml:space="preserve">   </w:t>
      </w:r>
      <w:proofErr w:type="spellStart"/>
      <w:r w:rsidRPr="0065653C">
        <w:rPr>
          <w:color w:val="3366FF"/>
          <w:lang w:val="de-DE"/>
        </w:rPr>
        <w:t>šablony</w:t>
      </w:r>
      <w:proofErr w:type="spellEnd"/>
      <w:r w:rsidRPr="0065653C">
        <w:rPr>
          <w:color w:val="3366FF"/>
          <w:lang w:val="de-DE"/>
        </w:rPr>
        <w:t xml:space="preserve"> pro </w:t>
      </w:r>
      <w:proofErr w:type="spellStart"/>
      <w:r w:rsidRPr="0065653C">
        <w:rPr>
          <w:color w:val="3366FF"/>
          <w:lang w:val="de-DE"/>
        </w:rPr>
        <w:t>příbalový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leták</w:t>
      </w:r>
      <w:proofErr w:type="spellEnd"/>
      <w:r w:rsidRPr="0065653C">
        <w:rPr>
          <w:color w:val="3366FF"/>
          <w:lang w:val="de-DE"/>
        </w:rPr>
        <w:t xml:space="preserve">. </w:t>
      </w:r>
      <w:proofErr w:type="spellStart"/>
      <w:r w:rsidRPr="0065653C">
        <w:rPr>
          <w:color w:val="3366FF"/>
          <w:lang w:val="de-DE"/>
        </w:rPr>
        <w:t>Další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informace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nutné</w:t>
      </w:r>
      <w:proofErr w:type="spellEnd"/>
      <w:r w:rsidRPr="0065653C">
        <w:rPr>
          <w:color w:val="3366FF"/>
          <w:lang w:val="de-DE"/>
        </w:rPr>
        <w:t xml:space="preserve"> pro </w:t>
      </w:r>
      <w:proofErr w:type="spellStart"/>
      <w:r w:rsidRPr="0065653C">
        <w:rPr>
          <w:color w:val="3366FF"/>
          <w:lang w:val="de-DE"/>
        </w:rPr>
        <w:t>šablonu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etikety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jsou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pod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bodem</w:t>
      </w:r>
      <w:proofErr w:type="spellEnd"/>
      <w:r w:rsidRPr="0065653C">
        <w:rPr>
          <w:color w:val="3366FF"/>
          <w:lang w:val="de-DE"/>
        </w:rPr>
        <w:t xml:space="preserve"> 15: </w:t>
      </w:r>
      <w:proofErr w:type="spellStart"/>
      <w:r w:rsidRPr="0065653C">
        <w:rPr>
          <w:color w:val="3366FF"/>
          <w:lang w:val="de-DE"/>
        </w:rPr>
        <w:t>Další</w:t>
      </w:r>
      <w:proofErr w:type="spellEnd"/>
      <w:r w:rsidRPr="0065653C">
        <w:rPr>
          <w:color w:val="3366FF"/>
          <w:lang w:val="de-DE"/>
        </w:rPr>
        <w:t xml:space="preserve"> </w:t>
      </w:r>
      <w:proofErr w:type="spellStart"/>
      <w:r w:rsidRPr="0065653C">
        <w:rPr>
          <w:color w:val="3366FF"/>
          <w:lang w:val="de-DE"/>
        </w:rPr>
        <w:t>informace</w:t>
      </w:r>
      <w:proofErr w:type="spellEnd"/>
      <w:r w:rsidRPr="0065653C">
        <w:rPr>
          <w:color w:val="3366FF"/>
          <w:lang w:val="de-DE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28"/>
    <w:rsid w:val="00320828"/>
    <w:rsid w:val="009902A5"/>
    <w:rsid w:val="00D706DA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2A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02A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902A5"/>
    <w:rPr>
      <w:rFonts w:ascii="Helvetica" w:eastAsia="Times New Roman" w:hAnsi="Helvetica" w:cs="Times New Roman"/>
      <w:sz w:val="16"/>
      <w:szCs w:val="20"/>
    </w:rPr>
  </w:style>
  <w:style w:type="character" w:styleId="Znakapoznpodarou">
    <w:name w:val="footnote reference"/>
    <w:semiHidden/>
    <w:rsid w:val="009902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902A5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02A5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902A5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2A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2A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02A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902A5"/>
    <w:rPr>
      <w:rFonts w:ascii="Helvetica" w:eastAsia="Times New Roman" w:hAnsi="Helvetica" w:cs="Times New Roman"/>
      <w:sz w:val="16"/>
      <w:szCs w:val="20"/>
    </w:rPr>
  </w:style>
  <w:style w:type="character" w:styleId="Znakapoznpodarou">
    <w:name w:val="footnote reference"/>
    <w:semiHidden/>
    <w:rsid w:val="009902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902A5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02A5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902A5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2A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0F5E-36BF-4604-B945-5EBCF18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4571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2</cp:revision>
  <dcterms:created xsi:type="dcterms:W3CDTF">2014-07-04T09:02:00Z</dcterms:created>
  <dcterms:modified xsi:type="dcterms:W3CDTF">2014-07-04T09:02:00Z</dcterms:modified>
</cp:coreProperties>
</file>