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B" w:rsidRDefault="00CF5C5B" w:rsidP="00CF5C5B">
      <w:pPr>
        <w:ind w:right="113"/>
        <w:jc w:val="center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PŘÍBALOVÁ INFORMACE</w:t>
      </w:r>
    </w:p>
    <w:p w:rsidR="00CF5C5B" w:rsidRDefault="00CF5C5B" w:rsidP="00CF5C5B">
      <w:pPr>
        <w:ind w:right="113"/>
        <w:jc w:val="center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ind w:left="567" w:hanging="567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Pharmasin</w:t>
      </w:r>
      <w:proofErr w:type="spellEnd"/>
      <w:r>
        <w:rPr>
          <w:rFonts w:ascii="Times New Roman" w:hAnsi="Times New Roman" w:cs="Times New Roman"/>
          <w:b/>
          <w:szCs w:val="24"/>
          <w:lang w:val="cs-CZ" w:bidi="he-IL"/>
        </w:rPr>
        <w:t xml:space="preserve"> 250 mg/g </w:t>
      </w: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premix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pro medikaci krmiva pro prasata, brojlery a kuřice</w:t>
      </w:r>
    </w:p>
    <w:p w:rsidR="00CF5C5B" w:rsidRDefault="00CF5C5B" w:rsidP="00CF5C5B">
      <w:pPr>
        <w:ind w:left="567" w:hanging="567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ind w:left="567" w:hanging="567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JMÉNO A ADRESA DRŽITELE ROZHODNUTÍ O REGISTRACI A DRŽITELE POVOLENÍ K VÝROBĚ ODPOVĚDNÉHO ZA UVOLNĚNÍ ŠARŽE, POKUD SE NESHODUJE</w:t>
      </w: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Držitel rozhodnutí o registraci</w:t>
      </w:r>
    </w:p>
    <w:p w:rsidR="00CF5C5B" w:rsidRDefault="00CF5C5B" w:rsidP="00CF5C5B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Huvepharma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NV,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Uitbreidingstraat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80, 2600 Antverpy, Belgie</w:t>
      </w:r>
    </w:p>
    <w:p w:rsidR="00CF5C5B" w:rsidRDefault="00CF5C5B" w:rsidP="00CF5C5B">
      <w:pPr>
        <w:rPr>
          <w:rFonts w:ascii="Times New Roman" w:hAnsi="Times New Roman" w:cs="Times New Roman"/>
          <w:szCs w:val="24"/>
          <w:u w:val="single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Výrobce odpovědný za uvolnění šarže:</w:t>
      </w: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Biovet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JSC, 39 Petar Rakov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Str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, 4550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Peshtera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- Bulharsko</w:t>
      </w: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ind w:left="567" w:hanging="567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ind w:left="567" w:hanging="567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2.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NÁZEV VETERINÁRNÍHO LÉČIVÉHO PŘÍPRAVKU</w:t>
      </w: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Pharmasin</w:t>
      </w:r>
      <w:proofErr w:type="spellEnd"/>
      <w:r>
        <w:rPr>
          <w:rFonts w:ascii="Times New Roman" w:hAnsi="Times New Roman" w:cs="Times New Roman"/>
          <w:b/>
          <w:szCs w:val="24"/>
          <w:lang w:val="cs-CZ" w:bidi="he-IL"/>
        </w:rPr>
        <w:t xml:space="preserve"> 250 mg/g </w:t>
      </w: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premix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pro medikaci krmiva pro prasata, brojlery a kuřice</w:t>
      </w: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Tylosinum</w:t>
      </w:r>
      <w:proofErr w:type="spellEnd"/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ind w:left="567" w:hanging="567"/>
        <w:rPr>
          <w:rFonts w:ascii="Times New Roman" w:hAnsi="Times New Roman" w:cs="Times New Roman"/>
          <w:b/>
          <w:szCs w:val="24"/>
          <w:lang w:val="cs-CZ" w:bidi="he-IL"/>
        </w:rPr>
      </w:pPr>
    </w:p>
    <w:p w:rsidR="00CF5C5B" w:rsidRDefault="00CF5C5B" w:rsidP="00CF5C5B">
      <w:pPr>
        <w:ind w:left="567" w:hanging="567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3.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OBSAH LÉČIVÝCH A OSTATNÍCH LÁTEK</w:t>
      </w:r>
    </w:p>
    <w:p w:rsidR="00CF5C5B" w:rsidRDefault="00CF5C5B" w:rsidP="00CF5C5B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1 g premixu obsahuje:</w:t>
      </w:r>
    </w:p>
    <w:p w:rsidR="00CF5C5B" w:rsidRDefault="00CF5C5B" w:rsidP="00CF5C5B">
      <w:pPr>
        <w:keepNext/>
        <w:keepLines/>
        <w:spacing w:before="240" w:after="12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u w:val="single"/>
          <w:lang w:val="cs-CZ" w:bidi="he-IL"/>
        </w:rPr>
        <w:t>Léčivá látka:</w:t>
      </w:r>
    </w:p>
    <w:p w:rsidR="00CF5C5B" w:rsidRDefault="00CF5C5B" w:rsidP="00CF5C5B">
      <w:pPr>
        <w:keepNext/>
        <w:keepLines/>
        <w:spacing w:after="240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Tylosinum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ut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Tylosini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phosphas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):  250 mg  (odpovídá 250 000 IU)</w:t>
      </w:r>
    </w:p>
    <w:p w:rsidR="00CF5C5B" w:rsidRDefault="00CF5C5B" w:rsidP="00CF5C5B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Světle hnědé sypké granule.</w:t>
      </w:r>
    </w:p>
    <w:p w:rsidR="00CF5C5B" w:rsidRDefault="00CF5C5B" w:rsidP="00CF5C5B">
      <w:pPr>
        <w:rPr>
          <w:rFonts w:ascii="Times New Roman" w:hAnsi="Times New Roman" w:cs="Times New Roman"/>
          <w:b/>
          <w:szCs w:val="24"/>
          <w:lang w:val="cs-CZ" w:bidi="he-IL"/>
        </w:rPr>
      </w:pP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4.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INDIKACE</w:t>
      </w:r>
    </w:p>
    <w:p w:rsidR="00CF5C5B" w:rsidRDefault="00CF5C5B" w:rsidP="00CF5C5B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Prasata</w:t>
      </w:r>
    </w:p>
    <w:p w:rsidR="00CF5C5B" w:rsidRDefault="00CF5C5B" w:rsidP="00CF5C5B">
      <w:pPr>
        <w:keepNext/>
        <w:keepLines/>
        <w:numPr>
          <w:ilvl w:val="0"/>
          <w:numId w:val="1"/>
        </w:numPr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Léčba a prevence střevní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adenomatózy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prasat (PIA) vyvolané zástupci druhu </w:t>
      </w:r>
      <w:proofErr w:type="spellStart"/>
      <w:r>
        <w:rPr>
          <w:rFonts w:ascii="Times New Roman" w:hAnsi="Times New Roman" w:cs="Times New Roman"/>
          <w:i/>
          <w:szCs w:val="24"/>
          <w:lang w:val="cs-CZ" w:bidi="he-IL"/>
        </w:rPr>
        <w:t>Lawsonia</w:t>
      </w:r>
      <w:proofErr w:type="spellEnd"/>
      <w:r>
        <w:rPr>
          <w:rFonts w:ascii="Times New Roman" w:hAnsi="Times New Roman" w:cs="Times New Roman"/>
          <w:i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cs-CZ" w:bidi="he-IL"/>
        </w:rPr>
        <w:t>intracellularis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, jestliže bylo onemocnění diagnostikováno na úrovni skupiny nebo stáda.</w:t>
      </w:r>
    </w:p>
    <w:p w:rsidR="00CF5C5B" w:rsidRDefault="00CF5C5B" w:rsidP="00CF5C5B">
      <w:pPr>
        <w:ind w:left="720" w:hanging="720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ind w:left="720" w:hanging="72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Brojleři a kuřice: </w:t>
      </w:r>
    </w:p>
    <w:p w:rsidR="00CF5C5B" w:rsidRDefault="00CF5C5B" w:rsidP="00CF5C5B">
      <w:pPr>
        <w:ind w:left="720" w:hanging="720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CF5C5B">
      <w:pPr>
        <w:keepNext/>
        <w:keepLines/>
        <w:numPr>
          <w:ilvl w:val="0"/>
          <w:numId w:val="2"/>
        </w:numPr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Léčba a prevence infekcí respiračního ústrojí vyvolaných zástupci druhů </w:t>
      </w:r>
      <w:r>
        <w:rPr>
          <w:rFonts w:ascii="Times New Roman" w:hAnsi="Times New Roman" w:cs="Times New Roman"/>
          <w:i/>
          <w:szCs w:val="24"/>
          <w:lang w:val="cs-CZ" w:bidi="he-IL"/>
        </w:rPr>
        <w:t xml:space="preserve">Mycoplasma gallisepticum </w:t>
      </w:r>
      <w:r>
        <w:rPr>
          <w:rFonts w:ascii="Times New Roman" w:hAnsi="Times New Roman" w:cs="Times New Roman"/>
          <w:szCs w:val="24"/>
          <w:lang w:val="cs-CZ" w:bidi="he-IL"/>
        </w:rPr>
        <w:t xml:space="preserve">a </w:t>
      </w:r>
      <w:r>
        <w:rPr>
          <w:rFonts w:ascii="Times New Roman" w:hAnsi="Times New Roman" w:cs="Times New Roman"/>
          <w:i/>
          <w:szCs w:val="24"/>
          <w:lang w:val="cs-CZ" w:bidi="he-IL"/>
        </w:rPr>
        <w:t>Mycoplasma synoviae</w:t>
      </w:r>
      <w:r>
        <w:rPr>
          <w:rFonts w:ascii="Times New Roman" w:hAnsi="Times New Roman" w:cs="Times New Roman"/>
          <w:szCs w:val="24"/>
          <w:lang w:val="cs-CZ" w:bidi="he-IL"/>
        </w:rPr>
        <w:t xml:space="preserve">, bylo-li onemocnění diagnostikováno na úrovni hejna. </w:t>
      </w:r>
    </w:p>
    <w:p w:rsidR="00CF5C5B" w:rsidRDefault="00CF5C5B" w:rsidP="00CF5C5B">
      <w:pPr>
        <w:keepNext/>
        <w:keepLines/>
        <w:numPr>
          <w:ilvl w:val="0"/>
          <w:numId w:val="2"/>
        </w:numPr>
        <w:spacing w:before="240" w:after="240"/>
        <w:rPr>
          <w:rFonts w:ascii="Times New Roman" w:hAnsi="Times New Roman" w:cs="Times New Roman"/>
          <w:i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Léčba a prevence nekrotické enteritidy vyvolané zástupci druhu </w:t>
      </w:r>
      <w:r>
        <w:rPr>
          <w:rFonts w:ascii="Times New Roman" w:hAnsi="Times New Roman" w:cs="Times New Roman"/>
          <w:i/>
          <w:szCs w:val="24"/>
          <w:lang w:val="cs-CZ" w:bidi="he-IL"/>
        </w:rPr>
        <w:t xml:space="preserve">Clostridium </w:t>
      </w:r>
      <w:proofErr w:type="spellStart"/>
      <w:r>
        <w:rPr>
          <w:rFonts w:ascii="Times New Roman" w:hAnsi="Times New Roman" w:cs="Times New Roman"/>
          <w:i/>
          <w:szCs w:val="24"/>
          <w:lang w:val="cs-CZ" w:bidi="he-IL"/>
        </w:rPr>
        <w:t>perfringens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, jestliže bylo onemocnění diagnostikováno na úrovni hejna.</w:t>
      </w:r>
    </w:p>
    <w:p w:rsidR="00CF5C5B" w:rsidRDefault="00CF5C5B" w:rsidP="00CF5C5B">
      <w:pPr>
        <w:rPr>
          <w:rFonts w:ascii="Times New Roman" w:hAnsi="Times New Roman" w:cs="Times New Roman"/>
          <w:i/>
          <w:szCs w:val="24"/>
          <w:lang w:val="cs-CZ" w:bidi="he-IL"/>
        </w:rPr>
      </w:pP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5.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KONTRAINDIKACE</w:t>
      </w:r>
    </w:p>
    <w:p w:rsidR="00CF5C5B" w:rsidRDefault="00CF5C5B" w:rsidP="00CF5C5B">
      <w:pPr>
        <w:rPr>
          <w:rFonts w:ascii="Times New Roman" w:hAnsi="Times New Roman" w:cs="Times New Roman"/>
          <w:szCs w:val="24"/>
          <w:lang w:val="cs-CZ" w:bidi="he-IL"/>
        </w:rPr>
      </w:pPr>
    </w:p>
    <w:p w:rsidR="00B23F1B" w:rsidRDefault="00CF5C5B" w:rsidP="00B23F1B">
      <w:pPr>
        <w:tabs>
          <w:tab w:val="left" w:pos="355"/>
        </w:tabs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Nepoužívat u zvířat přecitlivělých na léčivou(é) </w:t>
      </w:r>
      <w:proofErr w:type="gramStart"/>
      <w:r>
        <w:rPr>
          <w:rFonts w:ascii="Times New Roman" w:hAnsi="Times New Roman" w:cs="Times New Roman"/>
          <w:szCs w:val="24"/>
          <w:lang w:val="cs-CZ" w:bidi="he-IL"/>
        </w:rPr>
        <w:t>látku(y), nebo</w:t>
      </w:r>
      <w:proofErr w:type="gramEnd"/>
      <w:r>
        <w:rPr>
          <w:rFonts w:ascii="Times New Roman" w:hAnsi="Times New Roman" w:cs="Times New Roman"/>
          <w:szCs w:val="24"/>
          <w:lang w:val="cs-CZ" w:bidi="he-IL"/>
        </w:rPr>
        <w:t xml:space="preserve"> na některou z pomocných látek veterinárního léčivého přípravku. </w:t>
      </w:r>
    </w:p>
    <w:p w:rsidR="00B23F1B" w:rsidRDefault="00CF5C5B" w:rsidP="00B23F1B">
      <w:pPr>
        <w:tabs>
          <w:tab w:val="left" w:pos="355"/>
        </w:tabs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lastRenderedPageBreak/>
        <w:t xml:space="preserve">Nepoužívat u zvířat se známou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přecitlivěllostí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na tylosin a jiné makrolidy.</w:t>
      </w:r>
    </w:p>
    <w:p w:rsidR="00CF5C5B" w:rsidRDefault="00CF5C5B" w:rsidP="00B23F1B">
      <w:pPr>
        <w:tabs>
          <w:tab w:val="left" w:pos="355"/>
        </w:tabs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Nepoužívat v případě podezření na zkříženou rezistenci na ostatní makrolidy (MLS </w:t>
      </w:r>
      <w:r w:rsidR="00B23F1B">
        <w:rPr>
          <w:rFonts w:ascii="Times New Roman" w:hAnsi="Times New Roman" w:cs="Times New Roman"/>
          <w:szCs w:val="24"/>
          <w:lang w:val="cs-CZ" w:bidi="he-IL"/>
        </w:rPr>
        <w:t>r</w:t>
      </w:r>
      <w:r>
        <w:rPr>
          <w:rFonts w:ascii="Times New Roman" w:hAnsi="Times New Roman" w:cs="Times New Roman"/>
          <w:szCs w:val="24"/>
          <w:lang w:val="cs-CZ" w:bidi="he-IL"/>
        </w:rPr>
        <w:t>ezistence).</w:t>
      </w:r>
    </w:p>
    <w:p w:rsidR="00CF5C5B" w:rsidRDefault="00CF5C5B" w:rsidP="00B23F1B">
      <w:pPr>
        <w:tabs>
          <w:tab w:val="left" w:pos="355"/>
        </w:tabs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Nepoužívat u zvířat, která jsou současně očkována nebo byla za poslední týden očkována vakcínami citlivými na tylosin. </w:t>
      </w:r>
    </w:p>
    <w:p w:rsidR="00CF5C5B" w:rsidRDefault="00CF5C5B" w:rsidP="00B23F1B">
      <w:pPr>
        <w:tabs>
          <w:tab w:val="left" w:pos="355"/>
        </w:tabs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u zvířat s onemocněním jater.</w:t>
      </w:r>
    </w:p>
    <w:p w:rsidR="00CF5C5B" w:rsidRDefault="00CF5C5B" w:rsidP="00B23F1B">
      <w:pPr>
        <w:tabs>
          <w:tab w:val="left" w:pos="355"/>
        </w:tabs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u koní. Hrozí nebezpečí zánětu slepého střeva.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6.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NEŽÁDOUCÍ ÚČINKY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 prasat byly pozorovány nežádoucí účinky, jako např. průjem, svědění, erytém, otok a prolaps rekta. Jestliže zaznamenáte jakékoliv závažné nežádoucí účinky či jiné reakce, které nejsou uvedeny v této příbalové informaci, oznamte to prosím vašemu veterinárnímu lékaři.</w:t>
      </w: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7.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CÍLOVÝ DRUH ZVÍŘAT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Prasata, brojleři a kuřice.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8.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 xml:space="preserve">DÁVKOVÁNÍ PRO KAŽDÝ DRUH, </w:t>
      </w:r>
      <w:proofErr w:type="gramStart"/>
      <w:r>
        <w:rPr>
          <w:rFonts w:ascii="Times New Roman" w:hAnsi="Times New Roman" w:cs="Times New Roman"/>
          <w:b/>
          <w:szCs w:val="24"/>
          <w:lang w:val="cs-CZ" w:bidi="he-IL"/>
        </w:rPr>
        <w:t>CESTA(Y) A ZPŮSOB</w:t>
      </w:r>
      <w:proofErr w:type="gramEnd"/>
      <w:r>
        <w:rPr>
          <w:rFonts w:ascii="Times New Roman" w:hAnsi="Times New Roman" w:cs="Times New Roman"/>
          <w:b/>
          <w:szCs w:val="24"/>
          <w:lang w:val="cs-CZ" w:bidi="he-IL"/>
        </w:rPr>
        <w:t xml:space="preserve"> PODÁNÍ</w:t>
      </w:r>
    </w:p>
    <w:p w:rsidR="00CF5C5B" w:rsidRDefault="00CF5C5B" w:rsidP="00B23F1B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Perorální podání prostřednictvím krmiva:</w:t>
      </w:r>
      <w:r>
        <w:rPr>
          <w:rFonts w:ascii="Times New Roman" w:hAnsi="Times New Roman" w:cs="Times New Roman"/>
          <w:szCs w:val="24"/>
          <w:lang w:val="cs-CZ" w:bidi="he-IL"/>
        </w:rPr>
        <w:t xml:space="preserve"> K přípravě medikovaného krmiva obsahujícího 40-1100 gramů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na jednu tunu krmiva je třeba předem připravit homogenní směs potřebného množství přípravku s vhodným nosičem tak, aby bylo možno přidat nejméně 5 kg této předem připravené směsi do krmiva za vzniku medikovaného krmiva o požadované koncentraci. 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K přípravě medikovaného krmiva: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Jelikož 1 kg předem přípravku obsahuje 250 g aktivního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, odpovídají 4 mg přípravku množství 1 mg aktivního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. Dávkování je následující:</w:t>
      </w:r>
    </w:p>
    <w:p w:rsidR="00CF5C5B" w:rsidRDefault="00CF5C5B" w:rsidP="00B23F1B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Prasata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Léčba střevní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adenomatózy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 prasat (PIA;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Porcine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Intestinal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Adenomatosis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):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4-5 mg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/kg živé hmotnosti (což odpovídá 16-20 mg přípravku na 1 kg živé hmotnosti) po dobu 3 týdnů.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</w:p>
    <w:p w:rsidR="00CF5C5B" w:rsidRDefault="00CF5C5B" w:rsidP="00B23F1B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Brojleři a kuřice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K léčbě a prevenci respiračních infekcí: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127 mg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/kg živé hmotnosti (což odpovídá 508 mg přípravku na 1 kg živé hmotnosti) během prvních 5 dnů života.  Je důrazně doporučeno léčbu zopakovat u ptáků ve věku 3-4 týdny.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lang w:val="cs-CZ" w:bidi="he-IL"/>
        </w:rPr>
      </w:pP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K léčbě a prevenci nekrotické enteritidy: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10-20 mg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/kg živé hmotnosti (což odpovídá 40-80 mg přípravku na 1 kg živé hmotnosti) po dobu 7 dnů.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lang w:val="cs-CZ" w:bidi="he-IL"/>
        </w:rPr>
      </w:pP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Pro přípravu adekvátně medikovaného krmiva je třeba brát v potaz živou hmotnost zvířat, která mají být léčena a jejich skutečný denní příjem krmiva. Spotřeba krmiva se může lišit v závislosti na faktorech, jako např. věk, plemeno a systém chovu. Za účelem zajištění požadovaného množství léčivé látky v mg /kg namíchaného krmiva se doporučuje použít následující výpočet: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</w:p>
    <w:p w:rsidR="00CF5C5B" w:rsidRDefault="00CF5C5B" w:rsidP="00B23F1B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…. mg </w:t>
      </w:r>
      <w:proofErr w:type="gramStart"/>
      <w:r>
        <w:rPr>
          <w:rFonts w:ascii="Times New Roman" w:hAnsi="Times New Roman" w:cs="Times New Roman"/>
          <w:sz w:val="20"/>
          <w:lang w:val="cs-CZ" w:bidi="he-IL"/>
        </w:rPr>
        <w:t>přípravku                           x                    průměrná</w:t>
      </w:r>
      <w:proofErr w:type="gramEnd"/>
      <w:r>
        <w:rPr>
          <w:rFonts w:ascii="Times New Roman" w:hAnsi="Times New Roman" w:cs="Times New Roman"/>
          <w:sz w:val="20"/>
          <w:lang w:val="cs-CZ" w:bidi="he-IL"/>
        </w:rPr>
        <w:t xml:space="preserve"> živá hmotnost (kg)</w:t>
      </w:r>
    </w:p>
    <w:p w:rsidR="00CF5C5B" w:rsidRDefault="00CF5C5B" w:rsidP="00B23F1B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u w:val="single"/>
          <w:lang w:val="cs-CZ" w:bidi="he-IL"/>
        </w:rPr>
        <w:t>/kg živé hmotnosti /</w:t>
      </w:r>
      <w:proofErr w:type="gramStart"/>
      <w:r>
        <w:rPr>
          <w:rFonts w:ascii="Times New Roman" w:hAnsi="Times New Roman" w:cs="Times New Roman"/>
          <w:sz w:val="20"/>
          <w:u w:val="single"/>
          <w:lang w:val="cs-CZ" w:bidi="he-IL"/>
        </w:rPr>
        <w:t>den                                    zvířat</w:t>
      </w:r>
      <w:proofErr w:type="gramEnd"/>
      <w:r>
        <w:rPr>
          <w:rFonts w:ascii="Times New Roman" w:hAnsi="Times New Roman" w:cs="Times New Roman"/>
          <w:sz w:val="20"/>
          <w:u w:val="single"/>
          <w:lang w:val="cs-CZ" w:bidi="he-IL"/>
        </w:rPr>
        <w:t xml:space="preserve">, která mají být léčena  </w:t>
      </w:r>
      <w:r>
        <w:rPr>
          <w:rFonts w:ascii="Times New Roman" w:hAnsi="Times New Roman" w:cs="Times New Roman"/>
          <w:sz w:val="20"/>
          <w:lang w:val="cs-CZ" w:bidi="he-IL"/>
        </w:rPr>
        <w:t xml:space="preserve">               =… mg přípravku </w:t>
      </w:r>
    </w:p>
    <w:p w:rsidR="00CF5C5B" w:rsidRDefault="00B23F1B" w:rsidP="00B23F1B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     </w:t>
      </w:r>
      <w:r w:rsidR="00CF5C5B">
        <w:rPr>
          <w:rFonts w:ascii="Times New Roman" w:hAnsi="Times New Roman" w:cs="Times New Roman"/>
          <w:sz w:val="20"/>
          <w:lang w:val="cs-CZ" w:bidi="he-IL"/>
        </w:rPr>
        <w:t>Průměrný denní příjem medikovaného krmiva/ zvíře (</w:t>
      </w:r>
      <w:proofErr w:type="gramStart"/>
      <w:r w:rsidR="00CF5C5B">
        <w:rPr>
          <w:rFonts w:ascii="Times New Roman" w:hAnsi="Times New Roman" w:cs="Times New Roman"/>
          <w:sz w:val="20"/>
          <w:lang w:val="cs-CZ" w:bidi="he-IL"/>
        </w:rPr>
        <w:t xml:space="preserve">kg)                                             </w:t>
      </w:r>
      <w:r>
        <w:rPr>
          <w:rFonts w:ascii="Times New Roman" w:hAnsi="Times New Roman" w:cs="Times New Roman"/>
          <w:sz w:val="20"/>
          <w:lang w:val="cs-CZ" w:bidi="he-IL"/>
        </w:rPr>
        <w:t xml:space="preserve"> n</w:t>
      </w:r>
      <w:r w:rsidR="00CF5C5B">
        <w:rPr>
          <w:rFonts w:ascii="Times New Roman" w:hAnsi="Times New Roman" w:cs="Times New Roman"/>
          <w:sz w:val="20"/>
          <w:lang w:val="cs-CZ" w:bidi="he-IL"/>
        </w:rPr>
        <w:t>a</w:t>
      </w:r>
      <w:proofErr w:type="gramEnd"/>
      <w:r w:rsidR="00CF5C5B">
        <w:rPr>
          <w:rFonts w:ascii="Times New Roman" w:hAnsi="Times New Roman" w:cs="Times New Roman"/>
          <w:sz w:val="20"/>
          <w:lang w:val="cs-CZ" w:bidi="he-IL"/>
        </w:rPr>
        <w:t xml:space="preserve"> kg </w:t>
      </w:r>
    </w:p>
    <w:p w:rsidR="00CF5C5B" w:rsidRDefault="00CF5C5B" w:rsidP="00B23F1B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                                                                                                                                               namíchaného</w:t>
      </w:r>
    </w:p>
    <w:p w:rsidR="00CF5C5B" w:rsidRDefault="00CF5C5B" w:rsidP="00B23F1B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                                                                                                                                               krmiva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Míchání pouze u schváleného výrobce krmiva s použitím odpovídajícího míchacího zařízení.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Příjem medikovaného krmiva závisí na klinickém stavu zvířat. Za účelem zajištění správného dávkování je třeba odpovídajícím způsobem upravit koncentraci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.</w:t>
      </w:r>
    </w:p>
    <w:p w:rsidR="00CF5C5B" w:rsidRDefault="00CF5C5B" w:rsidP="00B23F1B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</w:p>
    <w:p w:rsidR="00CF5C5B" w:rsidRDefault="00CF5C5B" w:rsidP="00B23F1B">
      <w:pPr>
        <w:pStyle w:val="Zkladntext"/>
        <w:tabs>
          <w:tab w:val="left" w:pos="426"/>
        </w:tabs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Pokud se příznaky onemocnění významně nezlepší během 3 dnů, je třeba přehodnotit léčebný postup. </w:t>
      </w:r>
    </w:p>
    <w:p w:rsidR="00CF5C5B" w:rsidRDefault="00CF5C5B" w:rsidP="00B23F1B">
      <w:pPr>
        <w:pStyle w:val="Zkladntext"/>
        <w:tabs>
          <w:tab w:val="left" w:pos="426"/>
        </w:tabs>
        <w:ind w:left="426"/>
        <w:rPr>
          <w:rFonts w:ascii="Times New Roman" w:hAnsi="Times New Roman" w:cs="Times New Roman"/>
          <w:sz w:val="22"/>
          <w:lang w:val="cs-CZ" w:bidi="he-IL"/>
        </w:rPr>
      </w:pPr>
    </w:p>
    <w:p w:rsidR="00CF5C5B" w:rsidRDefault="00CF5C5B" w:rsidP="00B23F1B">
      <w:pPr>
        <w:tabs>
          <w:tab w:val="left" w:pos="426"/>
        </w:tabs>
        <w:jc w:val="both"/>
        <w:rPr>
          <w:rFonts w:ascii="Times New Roman" w:hAnsi="Times New Roman" w:cs="Times New Roman"/>
          <w:lang w:val="cs-CZ" w:bidi="he-IL"/>
        </w:rPr>
      </w:pPr>
      <w:r>
        <w:rPr>
          <w:rFonts w:ascii="Times New Roman" w:hAnsi="Times New Roman" w:cs="Times New Roman"/>
          <w:lang w:val="cs-CZ" w:bidi="he-IL"/>
        </w:rPr>
        <w:t>Živou hmotnost léčených zvířat je třeba stanovit, co možná nejpřesněji, aby se předešlo poddávkování.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9.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POKYNY PRO SPRÁVNÉ PODÁNÍ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sz w:val="24"/>
          <w:lang w:val="cs-CZ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Zvířata s akutní infekcí mohou mít snížený příjem krmiva a měla by být nejprve léčena vhodným injekčním přípravkem. </w:t>
      </w:r>
      <w:r>
        <w:rPr>
          <w:rFonts w:ascii="Times New Roman" w:hAnsi="Times New Roman" w:cs="Times New Roman"/>
          <w:bCs/>
          <w:lang w:val="cs-CZ"/>
        </w:rPr>
        <w:t xml:space="preserve">Vzhledem k pravděpodobné variabilitě (časové, geografické) citlivosti bakterií k  </w:t>
      </w:r>
      <w:proofErr w:type="spellStart"/>
      <w:r>
        <w:rPr>
          <w:rFonts w:ascii="Times New Roman" w:hAnsi="Times New Roman" w:cs="Times New Roman"/>
          <w:bCs/>
          <w:lang w:val="cs-CZ"/>
        </w:rPr>
        <w:t>tylosinu</w:t>
      </w:r>
      <w:proofErr w:type="spellEnd"/>
      <w:r>
        <w:rPr>
          <w:rFonts w:ascii="Times New Roman" w:hAnsi="Times New Roman" w:cs="Times New Roman"/>
          <w:bCs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se doporučuje provést odběr vzorků na bakteriologické vyšetření a testování citlivosti</w:t>
      </w:r>
      <w:r>
        <w:rPr>
          <w:sz w:val="24"/>
          <w:lang w:val="cs-CZ"/>
        </w:rPr>
        <w:t>.</w:t>
      </w:r>
    </w:p>
    <w:p w:rsidR="00CF5C5B" w:rsidRDefault="00CF5C5B" w:rsidP="00B23F1B">
      <w:pPr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Nesprávné použití veterinárního léčivého přípravku může zvýšit prevalenci bakterií rezistentních vůči </w:t>
      </w:r>
      <w:proofErr w:type="spellStart"/>
      <w:r>
        <w:rPr>
          <w:rFonts w:ascii="Times New Roman" w:hAnsi="Times New Roman" w:cs="Times New Roman"/>
          <w:bCs/>
          <w:lang w:val="cs-CZ"/>
        </w:rPr>
        <w:t>tylosinu</w:t>
      </w:r>
      <w:proofErr w:type="spellEnd"/>
      <w:r>
        <w:rPr>
          <w:rFonts w:ascii="Times New Roman" w:hAnsi="Times New Roman" w:cs="Times New Roman"/>
          <w:bCs/>
          <w:lang w:val="cs-CZ"/>
        </w:rPr>
        <w:t xml:space="preserve"> a jiným </w:t>
      </w:r>
      <w:proofErr w:type="spellStart"/>
      <w:r>
        <w:rPr>
          <w:rFonts w:ascii="Times New Roman" w:hAnsi="Times New Roman" w:cs="Times New Roman"/>
          <w:bCs/>
          <w:lang w:val="cs-CZ"/>
        </w:rPr>
        <w:t>makrolidům</w:t>
      </w:r>
      <w:proofErr w:type="spellEnd"/>
      <w:r>
        <w:rPr>
          <w:rFonts w:ascii="Times New Roman" w:hAnsi="Times New Roman" w:cs="Times New Roman"/>
          <w:bCs/>
          <w:lang w:val="cs-CZ"/>
        </w:rPr>
        <w:t>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10.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OCHRANNÁ LHŮTA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Maso: Prasata: Bez ochranných lhůt.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Brojleři a kuřice: 1 den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u nosnic, jejichž vejce jsou určena pro lidskou spotřebu.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11.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OPATŘENÍ PRO UCHOVÁVÁNÍ</w:t>
      </w:r>
    </w:p>
    <w:p w:rsidR="00CF5C5B" w:rsidRDefault="00CF5C5B" w:rsidP="00B23F1B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Uchovávat mimo dosah dětí.</w:t>
      </w:r>
    </w:p>
    <w:p w:rsidR="00CF5C5B" w:rsidRDefault="00CF5C5B" w:rsidP="00B23F1B">
      <w:pPr>
        <w:jc w:val="both"/>
        <w:rPr>
          <w:rFonts w:ascii="Times New Roman" w:hAnsi="Times New Roman" w:cs="Times New Roman"/>
          <w:color w:val="0000FF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Uchovávejte v původním obalu, aby byl přípravek chráněn před světlem.</w:t>
      </w:r>
      <w:r>
        <w:rPr>
          <w:rFonts w:ascii="Times New Roman" w:hAnsi="Times New Roman" w:cs="Times New Roman"/>
          <w:color w:val="0000FF"/>
          <w:szCs w:val="24"/>
          <w:lang w:val="cs-CZ" w:bidi="he-IL"/>
        </w:rPr>
        <w:t xml:space="preserve"> 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Uchovávejte v suchu. 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Uchovávejte při teplotě do 30 °C. 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Chraňte před chladem nebo mrazem.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Nepoužívejte po uplynutí doby použitelnosti uvedené na etiketě po EXP. Doba použitelnosti se vztahuje k poslednímu dni uvedeného měsíce.</w:t>
      </w:r>
    </w:p>
    <w:p w:rsidR="00CF5C5B" w:rsidRDefault="00CF5C5B" w:rsidP="00B23F1B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Doba použitelnosti po zamíchání do sypkého nebo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peletovaného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krmiva: 3 měsíce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12.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UPOZORNĚNÍ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Zvláštní opatření určené osobám, které podávají veterinární léčivý přípravek zvířatům</w:t>
      </w:r>
    </w:p>
    <w:p w:rsidR="00CF5C5B" w:rsidRDefault="00CF5C5B" w:rsidP="00B23F1B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Tylosin může způsobit podráždění. Makrolidy, jako např. tylosin, mohou způsobovat také přecitlivělost (alergii) po injekci, inhalaci, požití, po kontaktu s kůží či vniknutí do očí. Přecitlivělost na tylosin může vést ke křížovým reakcím s ostatními makrolidy a naopak. Alergické reakce na tyto látky mohou být v některých případech vážné, a proto je třeba zabránit přímému kontaktu.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Abyste se zabránilo expozici během přípravy medikovaného krmiva, použijte ochrannou kombinézu, bezpečnostní brýle, nepropustné rukavice a noste buď jednorázový respirátor vyhovující normě EN149 nebo respirátor pro více použití vyhovující normě EN140 vybavený filtrem podle normy EN143. Po použití si umyjte ruce.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V případě náhodného potřísnění kůže, postižené místo důkladně omyjte vodou a mýdlem. </w:t>
      </w:r>
      <w:r>
        <w:rPr>
          <w:rFonts w:ascii="Times New Roman" w:hAnsi="Times New Roman" w:cs="Times New Roman"/>
          <w:szCs w:val="24"/>
          <w:lang w:val="cs-CZ" w:bidi="he-IL"/>
        </w:rPr>
        <w:br/>
        <w:t>V případě náhodného zasažení očí, vypláchněte oči velkým množstvím čisté tekoucí vody.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Nemanipulujte s přípravkem, pokud jste alergičtí na složky přípravku.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lang w:val="cs-CZ"/>
        </w:rPr>
        <w:lastRenderedPageBreak/>
        <w:t>Pokud se po přímém kontaktu s přípravkem objeví příznaky jako například kožní vyrážka, vyhledejte lékařskou pomoc a ukažte lékaři toto upozornění. Otok obličeje, rtů a očí nebo potíže s dýcháním jsou vážné příznaky a vyžadují okamžitou lékařskou péči.</w:t>
      </w:r>
      <w:r>
        <w:rPr>
          <w:b/>
          <w:bCs/>
          <w:sz w:val="20"/>
          <w:szCs w:val="20"/>
          <w:lang w:val="cs-CZ"/>
        </w:rPr>
        <w:t xml:space="preserve"> 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bCs/>
          <w:lang w:val="cs-CZ"/>
        </w:rPr>
        <w:t>Použití v průběhu březosti, laktace nebo snášky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Laboratorní studie u myší a krys nepodaly důkaz o teratogenním, fetotoxickém účinku a maternální toxicitě. U populace cílového druhu nebyly provedeny žádné studie. Použít pouze po zvážení terapeutického prospěchu a rizika příslušným veterinárním lékařem.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Interakce s dalšími léčivými přípravky a další formy interakce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ind w:left="23"/>
        <w:jc w:val="both"/>
        <w:rPr>
          <w:rFonts w:ascii="Times New Roman" w:hAnsi="Times New Roman" w:cs="Times New Roman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Linkosamidová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a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aminoglykosidová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antibiotika působí </w:t>
      </w:r>
      <w:r>
        <w:rPr>
          <w:rFonts w:ascii="Times New Roman" w:hAnsi="Times New Roman" w:cs="Times New Roman"/>
          <w:lang w:val="cs-CZ" w:bidi="he-IL"/>
        </w:rPr>
        <w:t>s </w:t>
      </w:r>
      <w:proofErr w:type="spellStart"/>
      <w:r>
        <w:rPr>
          <w:rFonts w:ascii="Times New Roman" w:hAnsi="Times New Roman" w:cs="Times New Roman"/>
          <w:lang w:val="cs-CZ" w:bidi="he-IL"/>
        </w:rPr>
        <w:t>tylosinem</w:t>
      </w:r>
      <w:proofErr w:type="spellEnd"/>
      <w:r>
        <w:rPr>
          <w:rFonts w:ascii="Times New Roman" w:hAnsi="Times New Roman" w:cs="Times New Roman"/>
          <w:lang w:val="cs-CZ" w:bidi="he-IL"/>
        </w:rPr>
        <w:t xml:space="preserve"> antagonisticky.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Předávkování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Tylosin nemá vedlejší účinky při podávání prasatům v dávce 600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ppm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v krmivu (trojnásobek až šestinásobek doporučené dávky) po dobu 28 dní.   Při vysokých dávkách se může vyskytnout průjem, apatie nebo křeče. Léčba je symptomatická.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Inkompatibility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Studie kompatibility nejsou k dispozici, a proto tento veterinární léčivý přípravek nesmí být mísen s žádnými dalšími veterinárními léčivými přípravky.</w:t>
      </w:r>
    </w:p>
    <w:p w:rsidR="00CF5C5B" w:rsidRDefault="00CF5C5B" w:rsidP="00B23F1B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13.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OPATŘENÍ PRO ZNEŠKODŇOVÁNÍ NEPOUŽITÝCH PŘÍPRAVKŮ NEBO ODPADU, POKUD JE JICH TŘEBA</w:t>
      </w:r>
    </w:p>
    <w:p w:rsidR="00CF5C5B" w:rsidRDefault="00CF5C5B" w:rsidP="00B23F1B">
      <w:pPr>
        <w:jc w:val="both"/>
        <w:rPr>
          <w:rFonts w:ascii="Times New Roman" w:eastAsia="Times New Roman" w:hAnsi="Times New Roman" w:cs="Times New Roman"/>
          <w:color w:val="000000"/>
          <w:lang w:val="cs-CZ" w:eastAsia="hr-HR"/>
        </w:rPr>
      </w:pPr>
      <w:r>
        <w:rPr>
          <w:rFonts w:ascii="Times New Roman" w:eastAsia="Times New Roman" w:hAnsi="Times New Roman" w:cs="Times New Roman"/>
          <w:color w:val="000000"/>
          <w:lang w:val="cs-CZ" w:eastAsia="hr-HR"/>
        </w:rPr>
        <w:t>Léčivé přípravky se nesmí likvidovat prostřednictvím odpadní vody či domovního odpadu.</w:t>
      </w:r>
    </w:p>
    <w:p w:rsidR="00CF5C5B" w:rsidRDefault="00CF5C5B" w:rsidP="00B23F1B">
      <w:pPr>
        <w:jc w:val="both"/>
        <w:rPr>
          <w:rFonts w:ascii="Times New Roman" w:eastAsia="Times New Roman" w:hAnsi="Times New Roman" w:cs="Times New Roman"/>
          <w:color w:val="000000"/>
          <w:lang w:val="cs-CZ" w:eastAsia="hr-HR"/>
        </w:rPr>
      </w:pPr>
      <w:r>
        <w:rPr>
          <w:rFonts w:ascii="Times New Roman" w:eastAsia="Times New Roman" w:hAnsi="Times New Roman" w:cs="Times New Roman"/>
          <w:color w:val="000000"/>
          <w:lang w:val="cs-CZ" w:eastAsia="hr-HR"/>
        </w:rPr>
        <w:t>O možnostech likvidace nepotřebných léčivých přípravků se poraďte s vaším veterinárním lékařem. Tato opatření napomáhají chránit životní prostředí.</w:t>
      </w:r>
    </w:p>
    <w:p w:rsidR="00CF5C5B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CF5C5B" w:rsidRDefault="00CF5C5B" w:rsidP="00B23F1B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14.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DATUM POSLEDNÍHO SCHVÁLENÍ PŘÍBALOVÉ INFORMACE</w:t>
      </w:r>
    </w:p>
    <w:p w:rsidR="00CF5C5B" w:rsidRDefault="00CF5C5B" w:rsidP="00B23F1B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CF5C5B" w:rsidRDefault="00B23F1B" w:rsidP="00B23F1B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Duben </w:t>
      </w:r>
      <w:r w:rsidR="00E04D20">
        <w:rPr>
          <w:rFonts w:ascii="Times New Roman" w:hAnsi="Times New Roman" w:cs="Times New Roman"/>
          <w:szCs w:val="24"/>
          <w:lang w:val="cs-CZ" w:bidi="he-IL"/>
        </w:rPr>
        <w:t>2015</w:t>
      </w:r>
    </w:p>
    <w:p w:rsidR="00CF5C5B" w:rsidRDefault="00CF5C5B" w:rsidP="00B23F1B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E04D20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15.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DALŠÍ INFORMACE</w:t>
      </w:r>
    </w:p>
    <w:p w:rsidR="00E04D20" w:rsidRDefault="00E04D20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04D20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Pokud chcete získat informace o tomto veterinárním léčivém přípravku, kontaktujte prosím, příslušného místního zástupce držitele rozhodnutí o registraci.</w:t>
      </w:r>
    </w:p>
    <w:p w:rsidR="00E04D20" w:rsidRDefault="00E04D20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04D20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5 kg a 20 kg vak z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nízkohustotního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polyethylenu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a tří vrstev papíru, se šitým přehybem. </w:t>
      </w:r>
    </w:p>
    <w:p w:rsidR="00E04D20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1 kg sáček z vrstev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polyethylen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/hliníková fólie/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polyethylentereftalát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.</w:t>
      </w:r>
    </w:p>
    <w:p w:rsidR="00E04D20" w:rsidRDefault="00E04D20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04D20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Cs/>
          <w:lang w:val="cs-CZ"/>
        </w:rPr>
        <w:t>Na trhu nemusí být všechny velikosti balení.</w:t>
      </w:r>
    </w:p>
    <w:p w:rsidR="00E04D20" w:rsidRDefault="00E04D20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04D20" w:rsidRDefault="00E04D20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3D63E4" w:rsidRPr="00E04D20" w:rsidRDefault="00CF5C5B" w:rsidP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Veterinární léčivý přípravek je vydáván pouze na předpis.</w:t>
      </w:r>
    </w:p>
    <w:p w:rsidR="00B23F1B" w:rsidRPr="00E04D20" w:rsidRDefault="00B23F1B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sectPr w:rsidR="00B23F1B" w:rsidRPr="00E0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6B3"/>
    <w:multiLevelType w:val="hybridMultilevel"/>
    <w:tmpl w:val="39B0670C"/>
    <w:lvl w:ilvl="0" w:tplc="4AA0404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">
    <w:nsid w:val="58003FFD"/>
    <w:multiLevelType w:val="hybridMultilevel"/>
    <w:tmpl w:val="3BC21326"/>
    <w:lvl w:ilvl="0" w:tplc="4FE80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E4B2046"/>
    <w:multiLevelType w:val="hybridMultilevel"/>
    <w:tmpl w:val="B7941D8A"/>
    <w:lvl w:ilvl="0" w:tplc="E304C73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C"/>
    <w:rsid w:val="000035BF"/>
    <w:rsid w:val="003D63E4"/>
    <w:rsid w:val="00B23F1B"/>
    <w:rsid w:val="00C9010C"/>
    <w:rsid w:val="00CF5C5B"/>
    <w:rsid w:val="00E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C5B"/>
    <w:pPr>
      <w:snapToGrid w:val="0"/>
      <w:spacing w:after="0" w:line="240" w:lineRule="auto"/>
    </w:pPr>
    <w:rPr>
      <w:rFonts w:ascii="Arial" w:eastAsia="SimSun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F5C5B"/>
    <w:pPr>
      <w:widowControl w:val="0"/>
      <w:jc w:val="both"/>
    </w:pPr>
    <w:rPr>
      <w:sz w:val="24"/>
      <w:szCs w:val="24"/>
      <w:lang w:val="nl-NL"/>
    </w:rPr>
  </w:style>
  <w:style w:type="character" w:customStyle="1" w:styleId="ZkladntextChar">
    <w:name w:val="Základní text Char"/>
    <w:basedOn w:val="Standardnpsmoodstavce"/>
    <w:link w:val="Zkladntext"/>
    <w:semiHidden/>
    <w:rsid w:val="00CF5C5B"/>
    <w:rPr>
      <w:rFonts w:ascii="Arial" w:eastAsia="SimSun" w:hAnsi="Arial" w:cs="Arial"/>
      <w:sz w:val="24"/>
      <w:szCs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C5B"/>
    <w:pPr>
      <w:snapToGrid w:val="0"/>
      <w:spacing w:after="0" w:line="240" w:lineRule="auto"/>
    </w:pPr>
    <w:rPr>
      <w:rFonts w:ascii="Arial" w:eastAsia="SimSun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F5C5B"/>
    <w:pPr>
      <w:widowControl w:val="0"/>
      <w:jc w:val="both"/>
    </w:pPr>
    <w:rPr>
      <w:sz w:val="24"/>
      <w:szCs w:val="24"/>
      <w:lang w:val="nl-NL"/>
    </w:rPr>
  </w:style>
  <w:style w:type="character" w:customStyle="1" w:styleId="ZkladntextChar">
    <w:name w:val="Základní text Char"/>
    <w:basedOn w:val="Standardnpsmoodstavce"/>
    <w:link w:val="Zkladntext"/>
    <w:semiHidden/>
    <w:rsid w:val="00CF5C5B"/>
    <w:rPr>
      <w:rFonts w:ascii="Arial" w:eastAsia="SimSun" w:hAnsi="Arial" w:cs="Arial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Pokludová Lucie</cp:lastModifiedBy>
  <cp:revision>4</cp:revision>
  <cp:lastPrinted>2015-02-03T12:57:00Z</cp:lastPrinted>
  <dcterms:created xsi:type="dcterms:W3CDTF">2014-11-03T11:40:00Z</dcterms:created>
  <dcterms:modified xsi:type="dcterms:W3CDTF">2015-04-02T07:51:00Z</dcterms:modified>
</cp:coreProperties>
</file>