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F8" w:rsidRPr="00EE2325" w:rsidRDefault="00AC54F8">
      <w:pPr>
        <w:ind w:right="113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113"/>
        <w:jc w:val="center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>PŘÍBALOVÁ INFORMACE</w:t>
      </w: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>1.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JMÉNO A ADRESA DRŽITELE ROZHODNUTÍ O REGISTRACI A DRŽITELE POVOLENÍ K VÝROBĚ ODPOVĚDNÉHO ZA UVOLNĚN</w:t>
      </w:r>
      <w:bookmarkStart w:id="0" w:name="_GoBack"/>
      <w:bookmarkEnd w:id="0"/>
      <w:r w:rsidRPr="00EE2325">
        <w:rPr>
          <w:rFonts w:ascii="Times New Roman" w:hAnsi="Times New Roman" w:cs="Times New Roman"/>
          <w:b/>
          <w:szCs w:val="24"/>
          <w:lang w:val="cs-CZ" w:bidi="he-IL"/>
        </w:rPr>
        <w:t>Í ŠARŽE, POKUD SE NESHODUJE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u w:val="single"/>
          <w:lang w:val="cs-CZ" w:bidi="he-IL"/>
        </w:rPr>
        <w:t>Držitel rozhodnutí o registraci</w:t>
      </w:r>
    </w:p>
    <w:p w:rsidR="00AC54F8" w:rsidRPr="00EE2325" w:rsidRDefault="00AC54F8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Huvepharma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NV,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Uitbreidingstraat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80, 2600 Antverpy, Belgie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u w:val="single"/>
          <w:lang w:val="cs-CZ" w:bidi="he-IL"/>
        </w:rPr>
      </w:pPr>
      <w:r w:rsidRPr="00EE2325">
        <w:rPr>
          <w:rFonts w:ascii="Times New Roman" w:hAnsi="Times New Roman" w:cs="Times New Roman"/>
          <w:szCs w:val="24"/>
          <w:u w:val="single"/>
          <w:lang w:val="cs-CZ" w:bidi="he-IL"/>
        </w:rPr>
        <w:t>Výrobce odpovědný za uvolnění šarže: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u w:val="single"/>
          <w:lang w:val="cs-CZ" w:bidi="he-IL"/>
        </w:rPr>
      </w:pP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Biovet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JSC, 39 Petar Rakov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Str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, 4550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Peshtera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- Bulharsko</w:t>
      </w: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 xml:space="preserve">2. 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NÁZEV VETERINÁRNÍHO LÉČIVÉHO PŘÍPRAVKU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jc w:val="both"/>
        <w:rPr>
          <w:rFonts w:ascii="Times New Roman" w:hAnsi="Times New Roman" w:cs="Times New Roman"/>
          <w:color w:val="000000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caps/>
          <w:color w:val="000000"/>
          <w:szCs w:val="24"/>
          <w:lang w:val="cs-CZ" w:bidi="he-IL"/>
        </w:rPr>
        <w:t>Pharmasin</w:t>
      </w:r>
      <w:r w:rsidRPr="00EE2325">
        <w:rPr>
          <w:rFonts w:ascii="Times New Roman" w:hAnsi="Times New Roman" w:cs="Times New Roman"/>
          <w:b/>
          <w:color w:val="000000"/>
          <w:szCs w:val="24"/>
          <w:vertAlign w:val="superscript"/>
          <w:lang w:val="cs-CZ" w:bidi="he-IL"/>
        </w:rPr>
        <w:t xml:space="preserve"> </w:t>
      </w:r>
      <w:r w:rsidRPr="00EE2325">
        <w:rPr>
          <w:rFonts w:ascii="Times New Roman" w:hAnsi="Times New Roman" w:cs="Times New Roman"/>
          <w:b/>
          <w:color w:val="000000"/>
          <w:szCs w:val="24"/>
          <w:lang w:val="cs-CZ" w:bidi="he-IL"/>
        </w:rPr>
        <w:t xml:space="preserve">250 mg/g perorální granule </w:t>
      </w:r>
      <w:r w:rsidRPr="00EE2325">
        <w:rPr>
          <w:rFonts w:ascii="Times New Roman" w:hAnsi="Times New Roman" w:cs="Times New Roman"/>
          <w:color w:val="000000"/>
          <w:szCs w:val="24"/>
          <w:lang w:val="cs-CZ" w:bidi="he-IL"/>
        </w:rPr>
        <w:t>pro prasata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>3.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OBSAH LÉČIVÝCH A OSTATNÍCH LÁTEK</w:t>
      </w:r>
    </w:p>
    <w:p w:rsidR="00AC54F8" w:rsidRPr="00EE2325" w:rsidRDefault="00AC54F8" w:rsidP="001F6D6C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Každý </w:t>
      </w:r>
      <w:r w:rsidR="0004332A" w:rsidRPr="00EE2325">
        <w:rPr>
          <w:rFonts w:ascii="Times New Roman" w:hAnsi="Times New Roman" w:cs="Times New Roman"/>
          <w:szCs w:val="24"/>
          <w:lang w:val="cs-CZ" w:bidi="he-IL"/>
        </w:rPr>
        <w:t xml:space="preserve">1 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g obsahuje: </w:t>
      </w:r>
    </w:p>
    <w:p w:rsidR="00AC54F8" w:rsidRPr="00EE2325" w:rsidRDefault="00AC54F8" w:rsidP="001F6D6C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u w:val="single"/>
          <w:lang w:val="cs-CZ" w:bidi="he-IL"/>
        </w:rPr>
      </w:pPr>
      <w:r w:rsidRPr="00EE2325">
        <w:rPr>
          <w:rFonts w:ascii="Times New Roman" w:hAnsi="Times New Roman" w:cs="Times New Roman"/>
          <w:szCs w:val="24"/>
          <w:u w:val="single"/>
          <w:lang w:val="cs-CZ" w:bidi="he-IL"/>
        </w:rPr>
        <w:t>Léčivá látka</w:t>
      </w:r>
    </w:p>
    <w:p w:rsidR="00AC54F8" w:rsidRPr="00EE2325" w:rsidRDefault="00AC54F8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Tylosinum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(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ut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Tylosini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phosphas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): 250 mg (odpovídá </w:t>
      </w:r>
      <w:proofErr w:type="gramStart"/>
      <w:r w:rsidRPr="00EE2325">
        <w:rPr>
          <w:rFonts w:ascii="Times New Roman" w:hAnsi="Times New Roman" w:cs="Times New Roman"/>
          <w:szCs w:val="24"/>
          <w:lang w:val="cs-CZ" w:bidi="he-IL"/>
        </w:rPr>
        <w:t>250 000 U.I.)</w:t>
      </w:r>
      <w:proofErr w:type="gramEnd"/>
    </w:p>
    <w:p w:rsidR="00AC54F8" w:rsidRPr="00EE2325" w:rsidRDefault="00AC54F8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Světle hnědý sypký granulát.</w:t>
      </w:r>
    </w:p>
    <w:p w:rsidR="00AC54F8" w:rsidRPr="00EE2325" w:rsidRDefault="00AC54F8">
      <w:pPr>
        <w:jc w:val="both"/>
        <w:rPr>
          <w:rFonts w:ascii="Times New Roman" w:hAnsi="Times New Roman" w:cs="Times New Roman"/>
          <w:b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>4.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INDIKACE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Prasata: Léčba a prevence klinických příznaků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proliferativní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enteritidy prasat (intestinální 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adenomatózy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a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proliferativní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hemoragické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enteropatie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prasat) vyvolané </w:t>
      </w:r>
      <w:proofErr w:type="spellStart"/>
      <w:r w:rsidRPr="00EE2325">
        <w:rPr>
          <w:rFonts w:ascii="Times New Roman" w:hAnsi="Times New Roman" w:cs="Times New Roman"/>
          <w:i/>
          <w:szCs w:val="24"/>
          <w:lang w:val="cs-CZ" w:bidi="he-IL"/>
        </w:rPr>
        <w:t>Lawsonia</w:t>
      </w:r>
      <w:proofErr w:type="spellEnd"/>
      <w:r w:rsidRPr="00EE2325">
        <w:rPr>
          <w:rFonts w:ascii="Times New Roman" w:hAnsi="Times New Roman" w:cs="Times New Roman"/>
          <w:i/>
          <w:szCs w:val="24"/>
          <w:lang w:val="cs-CZ" w:bidi="he-IL"/>
        </w:rPr>
        <w:t xml:space="preserve"> </w:t>
      </w:r>
      <w:proofErr w:type="spellStart"/>
      <w:r w:rsidRPr="00EE2325">
        <w:rPr>
          <w:rFonts w:ascii="Times New Roman" w:hAnsi="Times New Roman" w:cs="Times New Roman"/>
          <w:i/>
          <w:szCs w:val="24"/>
          <w:lang w:val="cs-CZ" w:bidi="he-IL"/>
        </w:rPr>
        <w:t>intracellularis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>, jestliže bylo onemocnění diagnostikováno ve skupině.</w:t>
      </w:r>
    </w:p>
    <w:p w:rsidR="00AC54F8" w:rsidRPr="00EE2325" w:rsidRDefault="00AC54F8">
      <w:pPr>
        <w:jc w:val="both"/>
        <w:rPr>
          <w:rFonts w:ascii="Times New Roman" w:hAnsi="Times New Roman" w:cs="Times New Roman"/>
          <w:i/>
          <w:szCs w:val="24"/>
          <w:lang w:val="cs-CZ" w:bidi="he-IL"/>
        </w:rPr>
      </w:pPr>
    </w:p>
    <w:p w:rsidR="00AC54F8" w:rsidRPr="00EE2325" w:rsidRDefault="00AC54F8">
      <w:pPr>
        <w:jc w:val="both"/>
        <w:rPr>
          <w:rFonts w:ascii="Times New Roman" w:hAnsi="Times New Roman" w:cs="Times New Roman"/>
          <w:b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 xml:space="preserve">5. 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KONTRAINDIKACE</w:t>
      </w:r>
    </w:p>
    <w:p w:rsidR="00AC54F8" w:rsidRPr="00EE2325" w:rsidRDefault="00AC54F8">
      <w:pPr>
        <w:jc w:val="both"/>
        <w:rPr>
          <w:rFonts w:ascii="Times New Roman" w:hAnsi="Times New Roman" w:cs="Times New Roman"/>
          <w:b/>
          <w:szCs w:val="24"/>
          <w:lang w:val="cs-CZ" w:bidi="he-IL"/>
        </w:rPr>
      </w:pPr>
    </w:p>
    <w:p w:rsidR="00AC54F8" w:rsidRPr="00EE2325" w:rsidRDefault="00AC54F8" w:rsidP="00826F32">
      <w:pPr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Nepoužívat v případě přecitlivělosti na léčivou látku nebo na některou z pomocných látek příp</w:t>
      </w:r>
      <w:r w:rsidR="009F143E" w:rsidRPr="00EE2325">
        <w:rPr>
          <w:rFonts w:ascii="Times New Roman" w:hAnsi="Times New Roman" w:cs="Times New Roman"/>
          <w:szCs w:val="24"/>
          <w:lang w:val="cs-CZ" w:bidi="he-IL"/>
        </w:rPr>
        <w:t>r</w:t>
      </w:r>
      <w:r w:rsidRPr="00EE2325">
        <w:rPr>
          <w:rFonts w:ascii="Times New Roman" w:hAnsi="Times New Roman" w:cs="Times New Roman"/>
          <w:szCs w:val="24"/>
          <w:lang w:val="cs-CZ" w:bidi="he-IL"/>
        </w:rPr>
        <w:t>avku.</w:t>
      </w:r>
    </w:p>
    <w:p w:rsidR="00AC54F8" w:rsidRPr="00EE2325" w:rsidRDefault="00AC54F8" w:rsidP="00826F32">
      <w:pPr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Nepoužívat u zvířat se známou přecitlivělostí na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tylosin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a ostatní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makrolidy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>.</w:t>
      </w:r>
    </w:p>
    <w:p w:rsidR="00AC54F8" w:rsidRPr="00EE2325" w:rsidRDefault="00AC54F8" w:rsidP="00826F32">
      <w:pPr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Nepoužívat v případě podezření na zkříženou rezistenci s ostatními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makrolidy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a příbuznými látkami (MLS rezistence =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Makrolidy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Linkosamidy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Streptograminy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rezistence).</w:t>
      </w:r>
    </w:p>
    <w:p w:rsidR="00AC54F8" w:rsidRPr="00EE2325" w:rsidRDefault="00AC54F8" w:rsidP="00826F32">
      <w:pPr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Nepoužívat u zvířat, která jsou současně očkována nebo byla za poslední týden očkována vakcínami citlivými na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tylosin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>.</w:t>
      </w:r>
    </w:p>
    <w:p w:rsidR="00AC54F8" w:rsidRPr="00EE2325" w:rsidRDefault="00AC54F8" w:rsidP="005A06E2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Nepoužívat u zvířat s onemocněním jater. </w:t>
      </w:r>
    </w:p>
    <w:p w:rsidR="00AC54F8" w:rsidRPr="00EE2325" w:rsidRDefault="00AC54F8" w:rsidP="00826F32">
      <w:pPr>
        <w:jc w:val="both"/>
        <w:rPr>
          <w:rFonts w:ascii="Times New Roman" w:hAnsi="Times New Roman" w:cs="Times New Roman"/>
          <w:b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Nepoužívat u koní - nebezpečí zánětu slepého střeva.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>6.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NEŽÁDOUCÍ ÚČINKY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U prasat byly pozorovány nežádoucí účinky jako je diarea, pruritus, erytém, edém a prolaps rekta.</w:t>
      </w:r>
    </w:p>
    <w:p w:rsidR="00AC54F8" w:rsidRPr="00EE2325" w:rsidRDefault="00AC54F8">
      <w:pPr>
        <w:ind w:right="-2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Jestliže zaznamenáte jakékoliv závažné nežádoucí účinky či jiné reakce, které nejsou uvedeny v této příbalové informaci, oznamte to prosím vašemu veterinárnímu lékaři. </w:t>
      </w: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 xml:space="preserve">7. 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CÍLOVÝ DRUH ZVÍŘAT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Prasata.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>8.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 xml:space="preserve">DÁVKOVÁNÍ PRO KAŽDÝ DRUH, </w:t>
      </w:r>
      <w:proofErr w:type="gramStart"/>
      <w:r w:rsidRPr="00EE2325">
        <w:rPr>
          <w:rFonts w:ascii="Times New Roman" w:hAnsi="Times New Roman" w:cs="Times New Roman"/>
          <w:b/>
          <w:szCs w:val="24"/>
          <w:lang w:val="cs-CZ" w:bidi="he-IL"/>
        </w:rPr>
        <w:t>CESTA(Y) A ZPŮSOB</w:t>
      </w:r>
      <w:proofErr w:type="gramEnd"/>
      <w:r w:rsidRPr="00EE2325">
        <w:rPr>
          <w:rFonts w:ascii="Times New Roman" w:hAnsi="Times New Roman" w:cs="Times New Roman"/>
          <w:b/>
          <w:szCs w:val="24"/>
          <w:lang w:val="cs-CZ" w:bidi="he-IL"/>
        </w:rPr>
        <w:t xml:space="preserve"> PODÁNÍ</w:t>
      </w:r>
    </w:p>
    <w:p w:rsidR="00AC54F8" w:rsidRPr="00EE2325" w:rsidRDefault="00AC54F8" w:rsidP="00826F32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Pro individuální použití na farmách, pokud je podání určeno malému počtu prasat. Větší skupiny by měly být léčeny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medikovaným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krmivem obsahujícím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premix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>.</w:t>
      </w:r>
    </w:p>
    <w:p w:rsidR="00AC54F8" w:rsidRPr="00EE2325" w:rsidRDefault="00AC54F8" w:rsidP="00E40DC5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Jednotlivá prasata by měla dostávat 5 mg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tylosinu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na kg živé hmotnosti, což odpovídá 20 mg přípravku/kg živé hmotnosti, a to jednou denně po dobu 3 týdnů.  Toho se dosáhne důkladným přimícháním přípravku do denní krmné dávky </w:t>
      </w:r>
      <w:r w:rsidR="00846FD6" w:rsidRPr="00EE2325">
        <w:rPr>
          <w:rFonts w:ascii="Times New Roman" w:hAnsi="Times New Roman" w:cs="Times New Roman"/>
          <w:szCs w:val="24"/>
          <w:lang w:val="cs-CZ" w:bidi="he-IL"/>
        </w:rPr>
        <w:t xml:space="preserve">každého 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jednotlivého prasete. Požadované množství přípravku by mělo být přidáno do odhadnutého množství denního příjmu jednotlivých prasat v korytě nebo podobné nádobě a důkladně zamíchány. Přípravek může být přidáván jen do suchého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nepeletovaného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krmiva.</w:t>
      </w:r>
    </w:p>
    <w:p w:rsidR="00AC54F8" w:rsidRPr="00EE2325" w:rsidRDefault="00AC54F8" w:rsidP="00E40DC5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 w:rsidP="00E40DC5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Léčené prase by mělo být zváženo, aby nedošlo k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poddávkování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. </w:t>
      </w:r>
    </w:p>
    <w:p w:rsidR="00AC54F8" w:rsidRPr="00EE2325" w:rsidRDefault="00AC54F8" w:rsidP="00E40DC5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 w:rsidP="00E40DC5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Jestliže nebude dostatečná odpověď organizmu na léčbu během 3 dní, je třeba léčbu přehodnotit.</w:t>
      </w:r>
    </w:p>
    <w:p w:rsidR="00AC54F8" w:rsidRPr="00EE2325" w:rsidRDefault="00AC54F8" w:rsidP="00E40DC5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 w:rsidP="00E40DC5">
      <w:pPr>
        <w:ind w:left="567" w:hanging="567"/>
        <w:jc w:val="both"/>
        <w:rPr>
          <w:rFonts w:ascii="Times New Roman" w:hAnsi="Times New Roman" w:cs="Times New Roman"/>
          <w:b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>9.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POKYNY PRO SPRÁVNÉ PODÁNÍ</w:t>
      </w:r>
    </w:p>
    <w:p w:rsidR="00AC54F8" w:rsidRPr="00EE2325" w:rsidRDefault="00AC54F8" w:rsidP="00E40DC5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9E080F" w:rsidRPr="00EE2325" w:rsidRDefault="00AC54F8">
      <w:pPr>
        <w:jc w:val="both"/>
        <w:rPr>
          <w:sz w:val="24"/>
          <w:lang w:val="cs-CZ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Přípravek je určen pouze pro individuální podání v malém množství krmiva k okamžité spotřebě. Zvířata s akutními infekcemi mohou mít snížený příjem krmiva a měla by být nejprve léčena vhodným injekčním přípravkem. </w:t>
      </w:r>
      <w:r w:rsidRPr="00EE2325">
        <w:rPr>
          <w:rFonts w:ascii="Times New Roman" w:hAnsi="Times New Roman" w:cs="Times New Roman"/>
          <w:szCs w:val="24"/>
          <w:lang w:val="cs-CZ" w:bidi="he-IL"/>
        </w:rPr>
        <w:br/>
      </w:r>
      <w:r w:rsidR="009E080F" w:rsidRPr="00EE2325">
        <w:rPr>
          <w:rFonts w:ascii="Times New Roman" w:hAnsi="Times New Roman" w:cs="Times New Roman"/>
          <w:bCs/>
          <w:lang w:val="cs-CZ"/>
        </w:rPr>
        <w:t xml:space="preserve">Vzhledem k pravděpodobné variabilitě (časové, geografické) </w:t>
      </w:r>
      <w:r w:rsidR="003F2642" w:rsidRPr="00EE2325">
        <w:rPr>
          <w:rFonts w:ascii="Times New Roman" w:hAnsi="Times New Roman" w:cs="Times New Roman"/>
          <w:bCs/>
          <w:lang w:val="cs-CZ"/>
        </w:rPr>
        <w:t xml:space="preserve">citlivosti bakterií k </w:t>
      </w:r>
      <w:proofErr w:type="spellStart"/>
      <w:r w:rsidR="009E080F" w:rsidRPr="00EE2325">
        <w:rPr>
          <w:rFonts w:ascii="Times New Roman" w:hAnsi="Times New Roman" w:cs="Times New Roman"/>
          <w:bCs/>
          <w:lang w:val="cs-CZ"/>
        </w:rPr>
        <w:t>tylosinu</w:t>
      </w:r>
      <w:proofErr w:type="spellEnd"/>
      <w:r w:rsidR="009E080F" w:rsidRPr="00EE2325">
        <w:rPr>
          <w:rFonts w:ascii="Times New Roman" w:hAnsi="Times New Roman" w:cs="Times New Roman"/>
          <w:bCs/>
          <w:lang w:val="cs-CZ"/>
        </w:rPr>
        <w:t xml:space="preserve"> </w:t>
      </w:r>
      <w:r w:rsidR="009E080F" w:rsidRPr="00EE2325">
        <w:rPr>
          <w:rFonts w:ascii="Times New Roman" w:hAnsi="Times New Roman" w:cs="Times New Roman"/>
          <w:lang w:val="cs-CZ"/>
        </w:rPr>
        <w:t>se doporučuje provést odběr vzorků na bakteriologické vyšetření a testování citlivosti</w:t>
      </w:r>
      <w:r w:rsidR="009E080F" w:rsidRPr="00EE2325">
        <w:rPr>
          <w:sz w:val="24"/>
          <w:lang w:val="cs-CZ"/>
        </w:rPr>
        <w:t>.</w:t>
      </w:r>
    </w:p>
    <w:p w:rsidR="009E080F" w:rsidRPr="00EE2325" w:rsidRDefault="009E080F">
      <w:pPr>
        <w:jc w:val="both"/>
        <w:rPr>
          <w:rFonts w:ascii="Times New Roman" w:hAnsi="Times New Roman" w:cs="Times New Roman"/>
          <w:bCs/>
          <w:lang w:val="cs-CZ"/>
        </w:rPr>
      </w:pPr>
      <w:r w:rsidRPr="00EE2325">
        <w:rPr>
          <w:rFonts w:ascii="Times New Roman" w:hAnsi="Times New Roman" w:cs="Times New Roman"/>
          <w:bCs/>
          <w:lang w:val="cs-CZ"/>
        </w:rPr>
        <w:t xml:space="preserve">Nesprávné použití veterinárního léčivého přípravku může zvýšit prevalenci bakterií rezistentních vůči </w:t>
      </w:r>
      <w:proofErr w:type="spellStart"/>
      <w:r w:rsidRPr="00EE2325">
        <w:rPr>
          <w:rFonts w:ascii="Times New Roman" w:hAnsi="Times New Roman" w:cs="Times New Roman"/>
          <w:bCs/>
          <w:lang w:val="cs-CZ"/>
        </w:rPr>
        <w:t>tylosinu</w:t>
      </w:r>
      <w:proofErr w:type="spellEnd"/>
      <w:r w:rsidRPr="00EE2325">
        <w:rPr>
          <w:rFonts w:ascii="Times New Roman" w:hAnsi="Times New Roman" w:cs="Times New Roman"/>
          <w:bCs/>
          <w:lang w:val="cs-CZ"/>
        </w:rPr>
        <w:t xml:space="preserve"> a jiným </w:t>
      </w:r>
      <w:proofErr w:type="spellStart"/>
      <w:r w:rsidRPr="00EE2325">
        <w:rPr>
          <w:rFonts w:ascii="Times New Roman" w:hAnsi="Times New Roman" w:cs="Times New Roman"/>
          <w:bCs/>
          <w:lang w:val="cs-CZ"/>
        </w:rPr>
        <w:t>makrolidům</w:t>
      </w:r>
      <w:proofErr w:type="spellEnd"/>
      <w:r w:rsidRPr="00EE2325">
        <w:rPr>
          <w:rFonts w:ascii="Times New Roman" w:hAnsi="Times New Roman" w:cs="Times New Roman"/>
          <w:bCs/>
          <w:lang w:val="cs-CZ"/>
        </w:rPr>
        <w:t>.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>10.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OCHRANNÁ LHŮTA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Prasata: maso: </w:t>
      </w:r>
      <w:r w:rsidR="004B71C8" w:rsidRPr="00EE2325">
        <w:rPr>
          <w:rFonts w:ascii="Times New Roman" w:hAnsi="Times New Roman" w:cs="Times New Roman"/>
          <w:szCs w:val="24"/>
          <w:lang w:val="cs-CZ" w:bidi="he-IL"/>
        </w:rPr>
        <w:t xml:space="preserve"> Bez ochranných lhůt.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>11.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ZVLÁŠTNÍ OPATŘENÍ PRO UCHOVÁVÁNÍ</w:t>
      </w:r>
    </w:p>
    <w:p w:rsidR="00AC54F8" w:rsidRPr="00EE2325" w:rsidRDefault="00AC54F8">
      <w:pPr>
        <w:numPr>
          <w:ilvl w:val="12"/>
          <w:numId w:val="0"/>
        </w:numPr>
        <w:ind w:right="-2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Uchovávat mimo dosah dětí.</w:t>
      </w:r>
    </w:p>
    <w:p w:rsidR="0004332A" w:rsidRPr="00EE2325" w:rsidRDefault="00AC54F8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Uchovávejte v</w:t>
      </w:r>
      <w:r w:rsidR="0004332A" w:rsidRPr="00EE2325">
        <w:rPr>
          <w:rFonts w:ascii="Times New Roman" w:hAnsi="Times New Roman" w:cs="Times New Roman"/>
          <w:szCs w:val="24"/>
          <w:lang w:val="cs-CZ" w:bidi="he-IL"/>
        </w:rPr>
        <w:t> </w:t>
      </w:r>
      <w:r w:rsidRPr="00EE2325">
        <w:rPr>
          <w:rFonts w:ascii="Times New Roman" w:hAnsi="Times New Roman" w:cs="Times New Roman"/>
          <w:szCs w:val="24"/>
          <w:lang w:val="cs-CZ" w:bidi="he-IL"/>
        </w:rPr>
        <w:t>suchu</w:t>
      </w:r>
      <w:r w:rsidR="0004332A" w:rsidRPr="00EE2325">
        <w:rPr>
          <w:rFonts w:ascii="Times New Roman" w:hAnsi="Times New Roman" w:cs="Times New Roman"/>
          <w:szCs w:val="24"/>
          <w:lang w:val="cs-CZ" w:bidi="he-IL"/>
        </w:rPr>
        <w:t>. Uchovávejte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při teplotě do 30</w:t>
      </w:r>
      <w:r w:rsidR="0004332A" w:rsidRPr="00EE2325">
        <w:rPr>
          <w:rFonts w:ascii="Times New Roman" w:hAnsi="Times New Roman" w:cs="Times New Roman"/>
          <w:szCs w:val="24"/>
          <w:lang w:val="cs-CZ" w:bidi="he-IL"/>
        </w:rPr>
        <w:t> 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°C. Chraňte před </w:t>
      </w:r>
      <w:r w:rsidR="0004332A" w:rsidRPr="00EE2325">
        <w:rPr>
          <w:rFonts w:ascii="Times New Roman" w:hAnsi="Times New Roman" w:cs="Times New Roman"/>
          <w:szCs w:val="24"/>
          <w:lang w:val="cs-CZ" w:bidi="he-IL"/>
        </w:rPr>
        <w:t xml:space="preserve">chladem a 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mrazem. Uchovávejte v původním obalu, aby byl přípravek chráněn před světlem. </w:t>
      </w:r>
    </w:p>
    <w:p w:rsidR="00AC54F8" w:rsidRPr="00EE2325" w:rsidRDefault="00AC54F8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Doba použitelnosti po prvním otevření </w:t>
      </w:r>
      <w:r w:rsidR="0004332A" w:rsidRPr="00EE2325">
        <w:rPr>
          <w:rFonts w:ascii="Times New Roman" w:hAnsi="Times New Roman" w:cs="Times New Roman"/>
          <w:szCs w:val="24"/>
          <w:lang w:val="cs-CZ" w:bidi="he-IL"/>
        </w:rPr>
        <w:t>vnitřního obalu</w:t>
      </w:r>
      <w:r w:rsidRPr="00EE2325">
        <w:rPr>
          <w:rFonts w:ascii="Times New Roman" w:hAnsi="Times New Roman" w:cs="Times New Roman"/>
          <w:szCs w:val="24"/>
          <w:lang w:val="cs-CZ" w:bidi="he-IL"/>
        </w:rPr>
        <w:t>: 3 měsíce</w:t>
      </w:r>
      <w:r w:rsidR="0004332A" w:rsidRPr="00EE2325">
        <w:rPr>
          <w:rFonts w:ascii="Times New Roman" w:hAnsi="Times New Roman" w:cs="Times New Roman"/>
          <w:szCs w:val="24"/>
          <w:lang w:val="cs-CZ" w:bidi="he-IL"/>
        </w:rPr>
        <w:t>.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Nepoužívejte </w:t>
      </w:r>
      <w:r w:rsidR="0004332A" w:rsidRPr="00EE2325">
        <w:rPr>
          <w:rFonts w:ascii="Times New Roman" w:hAnsi="Times New Roman" w:cs="Times New Roman"/>
          <w:szCs w:val="24"/>
          <w:lang w:val="cs-CZ" w:bidi="he-IL"/>
        </w:rPr>
        <w:t xml:space="preserve">tento veterinární léčivý přípravek 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po uplynutí doby použitelnosti uvedené na etiketě po EXP. </w:t>
      </w:r>
      <w:r w:rsidRPr="00EE2325">
        <w:rPr>
          <w:rFonts w:ascii="Times New Roman" w:hAnsi="Times New Roman" w:cs="Times New Roman"/>
          <w:lang w:val="cs-CZ"/>
        </w:rPr>
        <w:t>Doba použitelnosti končí posledním dnem v uvedeném měsíci.</w:t>
      </w: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b/>
          <w:szCs w:val="24"/>
          <w:lang w:val="cs-CZ" w:bidi="he-IL"/>
        </w:rPr>
      </w:pP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b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>12.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ZVLÁŠTNÍ UPOZORNĚNÍ</w:t>
      </w: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 w:rsidP="003F1F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cs-CZ" w:eastAsia="cs-CZ"/>
        </w:rPr>
      </w:pPr>
      <w:r w:rsidRPr="00EE2325">
        <w:rPr>
          <w:rFonts w:ascii="Times New Roman" w:hAnsi="Times New Roman" w:cs="Times New Roman"/>
          <w:b/>
          <w:bCs/>
          <w:color w:val="000000"/>
          <w:lang w:val="cs-CZ" w:eastAsia="cs-CZ"/>
        </w:rPr>
        <w:t>Zvláštní opatření určené osobám, které podávají veterinární léčivý přípravek zvířatům</w:t>
      </w:r>
    </w:p>
    <w:p w:rsidR="00AC54F8" w:rsidRPr="00EE2325" w:rsidRDefault="00AC54F8" w:rsidP="003F1FA1">
      <w:pPr>
        <w:autoSpaceDE w:val="0"/>
        <w:autoSpaceDN w:val="0"/>
        <w:adjustRightInd w:val="0"/>
        <w:rPr>
          <w:color w:val="000000"/>
          <w:lang w:val="cs-CZ" w:eastAsia="cs-CZ"/>
        </w:rPr>
      </w:pPr>
    </w:p>
    <w:p w:rsidR="00F811CE" w:rsidRPr="00EE2325" w:rsidRDefault="00F811CE" w:rsidP="00F811CE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cs-CZ" w:bidi="he-IL"/>
        </w:rPr>
      </w:pP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Tylosin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může způsobit podráždění.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Makrolidy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, jako např.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tylosin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, mohou způsobovat také přecitlivělost (alergii) po injekci, inhalaci, požití, po kontaktu s kůží či vniknutí do očí. Přecitlivělost na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tylosin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může vést ke křížovým reakcím s ostatními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makrolidy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a naopak. Alergické reakce na tyto látky mohou být v některých případech vážné, a proto je třeba zabránit přímému kontaktu.</w:t>
      </w:r>
    </w:p>
    <w:p w:rsidR="00F811CE" w:rsidRPr="00EE2325" w:rsidRDefault="00F811CE" w:rsidP="00F811CE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lastRenderedPageBreak/>
        <w:t>Aby se zabránilo expozici během míchání a manipulace s veterinárním léčivým přípravkem, použijte bezpečnostní brýle, nepropustné rukavice a noste buď jednorázový respirátor vyhovující normě EN149 nebo respirátor pro více použití vyhovující normě EN140 vybavený filtrem podle normy EN143. Po použití si umyjte ruce.</w:t>
      </w:r>
    </w:p>
    <w:p w:rsidR="00F811CE" w:rsidRPr="00EE2325" w:rsidRDefault="00F811CE" w:rsidP="00F811CE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V případě náhodného potřísnění kůže postižené místo důkladně omyjte vodou </w:t>
      </w:r>
    </w:p>
    <w:p w:rsidR="00F811CE" w:rsidRPr="00EE2325" w:rsidRDefault="00F811CE" w:rsidP="00F811CE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a mýdlem. V případě náhodného zasažení očí je vypláchněte velkým množstvím čisté tekoucí vody.</w:t>
      </w:r>
    </w:p>
    <w:p w:rsidR="00F811CE" w:rsidRPr="00EE2325" w:rsidRDefault="00F811CE" w:rsidP="00F811CE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Nemanipulujte s přípravkem, pokud jste alergičtí na složky přípravku.</w:t>
      </w:r>
    </w:p>
    <w:p w:rsidR="00F811CE" w:rsidRPr="00EE2325" w:rsidRDefault="00F811CE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Pokud se po přímém kontaktu s přípravkem objeví příznaky jako například kožní vyrážka, vyhledejte lékařskou pomoc a ukažte lékaři toto upozornění. Otok obličeje, rtů a očí nebo potíže s dýcháním jsou vážné příznaky a vyžadují okamžitou lékařskou péči.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 w:rsidP="007437D8">
      <w:pPr>
        <w:rPr>
          <w:rFonts w:ascii="Times New Roman" w:hAnsi="Times New Roman" w:cs="Times New Roman"/>
          <w:lang w:val="cs-CZ"/>
        </w:rPr>
      </w:pPr>
      <w:r w:rsidRPr="00EE2325">
        <w:rPr>
          <w:rFonts w:ascii="Times New Roman" w:hAnsi="Times New Roman" w:cs="Times New Roman"/>
          <w:b/>
          <w:lang w:val="cs-CZ"/>
        </w:rPr>
        <w:t>Použití v průběhu březosti, laktace nebo snášky</w:t>
      </w:r>
    </w:p>
    <w:p w:rsidR="00AC54F8" w:rsidRPr="00EE2325" w:rsidRDefault="009E080F" w:rsidP="00EE2325">
      <w:pPr>
        <w:keepNext/>
        <w:keepLines/>
        <w:spacing w:before="240" w:after="240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Ve vícegeneračních teratologických studiích nebyly pozorovány žádné nežádoucí účinky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tylosinu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na fertilitu. </w:t>
      </w:r>
      <w:r w:rsidR="00AC54F8" w:rsidRPr="00EE2325">
        <w:rPr>
          <w:rFonts w:ascii="Times New Roman" w:hAnsi="Times New Roman" w:cs="Times New Roman"/>
          <w:lang w:val="cs-CZ"/>
        </w:rPr>
        <w:t>Použít pouze po zvážení terapeutického prospěchu a rizika příslušným veterinárním lékařem.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bCs/>
          <w:color w:val="000000"/>
          <w:lang w:val="cs-CZ" w:eastAsia="cs-CZ"/>
        </w:rPr>
        <w:t xml:space="preserve">Interakce s dalšími léčivými přípravky a další formy interakce </w:t>
      </w:r>
    </w:p>
    <w:p w:rsidR="009E080F" w:rsidRPr="00EE2325" w:rsidRDefault="009E080F" w:rsidP="00F9114C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 w:rsidP="00F9114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Linkosamidová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a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aminoglykosinová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antibiotika působí s 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tylosinem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 antagonisticky.</w:t>
      </w:r>
    </w:p>
    <w:p w:rsidR="00AC54F8" w:rsidRPr="00EE2325" w:rsidRDefault="00AC54F8" w:rsidP="00F9114C">
      <w:pPr>
        <w:jc w:val="both"/>
        <w:rPr>
          <w:rFonts w:ascii="Times New Roman" w:hAnsi="Times New Roman" w:cs="Times New Roman"/>
          <w:szCs w:val="24"/>
          <w:highlight w:val="yellow"/>
          <w:lang w:val="cs-CZ" w:bidi="he-IL"/>
        </w:rPr>
      </w:pPr>
    </w:p>
    <w:p w:rsidR="00AC54F8" w:rsidRPr="00EE2325" w:rsidRDefault="00AC54F8" w:rsidP="007437D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 w:eastAsia="cs-CZ"/>
        </w:rPr>
      </w:pPr>
      <w:r w:rsidRPr="00EE2325">
        <w:rPr>
          <w:rFonts w:ascii="Times New Roman" w:hAnsi="Times New Roman" w:cs="Times New Roman"/>
          <w:b/>
          <w:bCs/>
          <w:color w:val="000000"/>
          <w:lang w:val="cs-CZ" w:eastAsia="cs-CZ"/>
        </w:rPr>
        <w:t xml:space="preserve">Předávkování (symptomy, první pomoc, </w:t>
      </w:r>
      <w:proofErr w:type="spellStart"/>
      <w:r w:rsidRPr="00EE2325">
        <w:rPr>
          <w:rFonts w:ascii="Times New Roman" w:hAnsi="Times New Roman" w:cs="Times New Roman"/>
          <w:b/>
          <w:bCs/>
          <w:color w:val="000000"/>
          <w:lang w:val="cs-CZ" w:eastAsia="cs-CZ"/>
        </w:rPr>
        <w:t>antidota</w:t>
      </w:r>
      <w:proofErr w:type="spellEnd"/>
      <w:r w:rsidRPr="00EE2325">
        <w:rPr>
          <w:rFonts w:ascii="Times New Roman" w:hAnsi="Times New Roman" w:cs="Times New Roman"/>
          <w:b/>
          <w:bCs/>
          <w:color w:val="000000"/>
          <w:lang w:val="cs-CZ" w:eastAsia="cs-CZ"/>
        </w:rPr>
        <w:t xml:space="preserve">) </w:t>
      </w:r>
    </w:p>
    <w:p w:rsidR="009E080F" w:rsidRPr="00EE2325" w:rsidRDefault="009E080F" w:rsidP="00F9114C">
      <w:pPr>
        <w:jc w:val="both"/>
        <w:rPr>
          <w:rFonts w:ascii="Times New Roman" w:hAnsi="Times New Roman" w:cs="Times New Roman"/>
          <w:szCs w:val="24"/>
          <w:highlight w:val="yellow"/>
          <w:lang w:val="cs-CZ" w:bidi="he-IL"/>
        </w:rPr>
      </w:pPr>
    </w:p>
    <w:p w:rsidR="00AC54F8" w:rsidRPr="00EE2325" w:rsidRDefault="00AC54F8" w:rsidP="00F9114C">
      <w:pPr>
        <w:jc w:val="both"/>
        <w:rPr>
          <w:rFonts w:ascii="Times New Roman" w:hAnsi="Times New Roman" w:cs="Times New Roman"/>
          <w:szCs w:val="24"/>
          <w:highlight w:val="yellow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Po podání dávky 600 </w:t>
      </w:r>
      <w:proofErr w:type="spellStart"/>
      <w:r w:rsidRPr="00EE2325">
        <w:rPr>
          <w:rFonts w:ascii="Times New Roman" w:hAnsi="Times New Roman" w:cs="Times New Roman"/>
          <w:szCs w:val="24"/>
          <w:lang w:val="cs-CZ" w:bidi="he-IL"/>
        </w:rPr>
        <w:t>ppm</w:t>
      </w:r>
      <w:proofErr w:type="spellEnd"/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v krmivu prasatům (tří až šestinásobek doporučené dávky) po 28 dn</w:t>
      </w:r>
      <w:r w:rsidR="00846FD6" w:rsidRPr="00EE2325">
        <w:rPr>
          <w:rFonts w:ascii="Times New Roman" w:hAnsi="Times New Roman" w:cs="Times New Roman"/>
          <w:szCs w:val="24"/>
          <w:lang w:val="cs-CZ" w:bidi="he-IL"/>
        </w:rPr>
        <w:t>ů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nebyly pozorovány žádné nežádoucí účinky. U vyšších hladin se mohou vyskytnout diarea, apatie a křeče. Terapie je symptomatická.</w:t>
      </w:r>
    </w:p>
    <w:p w:rsidR="00AC54F8" w:rsidRPr="00EE2325" w:rsidRDefault="00AC54F8" w:rsidP="007437D8">
      <w:pPr>
        <w:rPr>
          <w:b/>
          <w:lang w:val="cs-CZ"/>
        </w:rPr>
      </w:pPr>
    </w:p>
    <w:p w:rsidR="00AC54F8" w:rsidRPr="00EE2325" w:rsidRDefault="00AC54F8" w:rsidP="007437D8">
      <w:pPr>
        <w:rPr>
          <w:rFonts w:ascii="Times New Roman" w:hAnsi="Times New Roman" w:cs="Times New Roman"/>
          <w:lang w:val="cs-CZ"/>
        </w:rPr>
      </w:pPr>
      <w:r w:rsidRPr="00EE2325">
        <w:rPr>
          <w:rFonts w:ascii="Times New Roman" w:hAnsi="Times New Roman" w:cs="Times New Roman"/>
          <w:b/>
          <w:lang w:val="cs-CZ"/>
        </w:rPr>
        <w:t>Inkompatibility</w:t>
      </w:r>
    </w:p>
    <w:p w:rsidR="009E080F" w:rsidRPr="00EE2325" w:rsidRDefault="009E080F" w:rsidP="00F9114C">
      <w:pPr>
        <w:jc w:val="both"/>
        <w:rPr>
          <w:rFonts w:ascii="Times New Roman" w:hAnsi="Times New Roman" w:cs="Times New Roman"/>
          <w:szCs w:val="24"/>
          <w:highlight w:val="yellow"/>
          <w:lang w:val="cs-CZ" w:bidi="he-IL"/>
        </w:rPr>
      </w:pPr>
    </w:p>
    <w:p w:rsidR="00AC54F8" w:rsidRPr="00EE2325" w:rsidRDefault="00AC54F8" w:rsidP="00F9114C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Studie kompatibility nejsou k dispozici, a proto tento veterinární léčivý přípravek nesmí být mísen s žádnými dalšími veterinárními léčivými přípravky.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>13.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 xml:space="preserve">ZVLÁŠTNÍ OPATŘENÍ PRO ZNEŠKODŇOVÁNÍ NEPOUŽITÝCH PŘÍPRAVKŮ NEBO ODPADU, </w:t>
      </w:r>
      <w:r w:rsidRPr="00EE2325">
        <w:rPr>
          <w:rFonts w:ascii="Times New Roman" w:hAnsi="Times New Roman" w:cs="Times New Roman"/>
          <w:b/>
          <w:lang w:val="cs-CZ"/>
        </w:rPr>
        <w:t>POKUD JE JICH TŘEBA</w:t>
      </w:r>
    </w:p>
    <w:p w:rsidR="00AC54F8" w:rsidRPr="00EE2325" w:rsidRDefault="00AC54F8">
      <w:pPr>
        <w:ind w:right="-318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right="-318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lang w:val="cs-CZ"/>
        </w:rPr>
        <w:t xml:space="preserve">Léčivé přípravky se nesmí likvidovat prostřednictvím odpadní vody či domovního odpadu. </w:t>
      </w:r>
      <w:r w:rsidRPr="00EE2325">
        <w:rPr>
          <w:rFonts w:ascii="Times New Roman" w:hAnsi="Times New Roman" w:cs="Times New Roman"/>
          <w:lang w:val="cs-CZ"/>
        </w:rPr>
        <w:br/>
        <w:t>O možnostech likvidace nepotřebných léčivých přípravků se poraďte s vaším veterinárním lékařem. Tato opatření napomáhají chránit životní prostředí.</w:t>
      </w:r>
    </w:p>
    <w:p w:rsidR="00AC54F8" w:rsidRPr="00EE2325" w:rsidRDefault="00AC54F8">
      <w:pPr>
        <w:ind w:right="-318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>14.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DATUM POSLEDNÍHO SCHVÁLENÍ PŘÍBALOVÉ INFORMACE</w:t>
      </w:r>
    </w:p>
    <w:p w:rsidR="00AC54F8" w:rsidRPr="00EE2325" w:rsidRDefault="00AC54F8">
      <w:pPr>
        <w:ind w:right="-318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3F2642" w:rsidRPr="00EE2325" w:rsidRDefault="00EE2325">
      <w:pPr>
        <w:ind w:right="-318"/>
        <w:jc w:val="both"/>
        <w:rPr>
          <w:rFonts w:ascii="Times New Roman" w:hAnsi="Times New Roman" w:cs="Times New Roman"/>
          <w:szCs w:val="24"/>
          <w:lang w:val="cs-CZ" w:bidi="he-IL"/>
        </w:rPr>
      </w:pPr>
      <w:r>
        <w:rPr>
          <w:rFonts w:ascii="Times New Roman" w:hAnsi="Times New Roman" w:cs="Times New Roman"/>
          <w:szCs w:val="24"/>
          <w:lang w:val="cs-CZ" w:bidi="he-IL"/>
        </w:rPr>
        <w:t>Květen</w:t>
      </w: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 </w:t>
      </w:r>
      <w:r w:rsidR="003F2642" w:rsidRPr="00EE2325">
        <w:rPr>
          <w:rFonts w:ascii="Times New Roman" w:hAnsi="Times New Roman" w:cs="Times New Roman"/>
          <w:szCs w:val="24"/>
          <w:lang w:val="cs-CZ" w:bidi="he-IL"/>
        </w:rPr>
        <w:t>2015</w:t>
      </w:r>
    </w:p>
    <w:p w:rsidR="00AC54F8" w:rsidRPr="00EE2325" w:rsidRDefault="00AC54F8">
      <w:pPr>
        <w:ind w:right="-318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left="567" w:hanging="567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b/>
          <w:szCs w:val="24"/>
          <w:lang w:val="cs-CZ" w:bidi="he-IL"/>
        </w:rPr>
        <w:t>15.</w:t>
      </w:r>
      <w:r w:rsidRPr="00EE2325">
        <w:rPr>
          <w:rFonts w:ascii="Times New Roman" w:hAnsi="Times New Roman" w:cs="Times New Roman"/>
          <w:b/>
          <w:szCs w:val="24"/>
          <w:lang w:val="cs-CZ" w:bidi="he-IL"/>
        </w:rPr>
        <w:tab/>
        <w:t>DALŠÍ INFORMACE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 w:rsidP="007437D8">
      <w:pPr>
        <w:tabs>
          <w:tab w:val="left" w:pos="1155"/>
        </w:tabs>
        <w:rPr>
          <w:rFonts w:ascii="Times-Roman" w:hAnsi="Times-Roman" w:cs="Times-Roman"/>
          <w:lang w:val="cs-CZ"/>
        </w:rPr>
      </w:pPr>
      <w:r w:rsidRPr="00EE2325">
        <w:rPr>
          <w:rFonts w:ascii="Times-Roman" w:hAnsi="Times-Roman" w:cs="Times-Roman"/>
          <w:lang w:val="cs-CZ"/>
        </w:rPr>
        <w:t>Když je obal otevřen poprvé, s přihlédnutím k době použitelnosti specifikované v této příbalové informaci, mělo by být vypočítáno datum, k němuž musí být všechen přípravek, který zbývá v obalu, zlikvidován. Toto datum likvidace musí být napsáno na vyhrazeném místě na štítku.</w:t>
      </w:r>
    </w:p>
    <w:p w:rsidR="00AC54F8" w:rsidRPr="00EE2325" w:rsidRDefault="00AC54F8" w:rsidP="007437D8">
      <w:pPr>
        <w:tabs>
          <w:tab w:val="left" w:pos="1155"/>
        </w:tabs>
        <w:rPr>
          <w:rFonts w:ascii="Times-Roman" w:hAnsi="Times-Roman" w:cs="Times-Roman"/>
          <w:lang w:val="cs-CZ"/>
        </w:rPr>
      </w:pPr>
    </w:p>
    <w:p w:rsidR="0004332A" w:rsidRPr="00EE2325" w:rsidRDefault="0004332A" w:rsidP="00EE2325">
      <w:pPr>
        <w:keepNext/>
        <w:keepLines/>
        <w:jc w:val="both"/>
        <w:rPr>
          <w:rFonts w:ascii="Times New Roman" w:hAnsi="Times New Roman" w:cs="Times New Roman"/>
          <w:color w:val="000000"/>
          <w:szCs w:val="24"/>
          <w:lang w:val="cs-CZ" w:bidi="he-IL"/>
        </w:rPr>
      </w:pPr>
      <w:r w:rsidRPr="00EE2325">
        <w:rPr>
          <w:rFonts w:ascii="Times New Roman" w:hAnsi="Times New Roman" w:cs="Times New Roman"/>
          <w:bCs/>
          <w:lang w:val="cs-CZ"/>
        </w:rPr>
        <w:t>5kg LDPE/třívrstvý papírový vak se sešitým lemem</w:t>
      </w:r>
    </w:p>
    <w:p w:rsidR="0004332A" w:rsidRPr="00EE2325" w:rsidRDefault="0004332A" w:rsidP="007437D8">
      <w:pPr>
        <w:jc w:val="both"/>
        <w:rPr>
          <w:rFonts w:ascii="Times New Roman" w:hAnsi="Times New Roman" w:cs="Times New Roman"/>
          <w:bCs/>
          <w:lang w:val="cs-CZ"/>
        </w:rPr>
      </w:pPr>
      <w:r w:rsidRPr="00EE2325">
        <w:rPr>
          <w:rFonts w:ascii="Times New Roman" w:hAnsi="Times New Roman" w:cs="Times New Roman"/>
          <w:color w:val="000000"/>
          <w:szCs w:val="24"/>
          <w:lang w:val="cs-CZ" w:bidi="he-IL"/>
        </w:rPr>
        <w:t>1kg PE/Alu/PET vak</w:t>
      </w:r>
      <w:r w:rsidRPr="00EE2325" w:rsidDel="0004332A">
        <w:rPr>
          <w:rFonts w:ascii="Times New Roman" w:hAnsi="Times New Roman" w:cs="Times New Roman"/>
          <w:bCs/>
          <w:lang w:val="cs-CZ"/>
        </w:rPr>
        <w:t xml:space="preserve"> </w:t>
      </w:r>
    </w:p>
    <w:p w:rsidR="00AC54F8" w:rsidRPr="00EE2325" w:rsidRDefault="00AC54F8" w:rsidP="007437D8">
      <w:pPr>
        <w:jc w:val="both"/>
        <w:rPr>
          <w:rFonts w:ascii="Times New Roman" w:hAnsi="Times New Roman" w:cs="Times New Roman"/>
          <w:bCs/>
          <w:lang w:val="cs-CZ"/>
        </w:rPr>
      </w:pPr>
      <w:r w:rsidRPr="00EE2325">
        <w:rPr>
          <w:rFonts w:ascii="Times New Roman" w:hAnsi="Times New Roman" w:cs="Times New Roman"/>
          <w:bCs/>
          <w:lang w:val="cs-CZ"/>
        </w:rPr>
        <w:t>Na trhu nemusí být všechny velikosti balení.</w:t>
      </w:r>
    </w:p>
    <w:p w:rsidR="00AC54F8" w:rsidRPr="00EE2325" w:rsidRDefault="00AC54F8" w:rsidP="007437D8">
      <w:pPr>
        <w:jc w:val="both"/>
        <w:rPr>
          <w:bCs/>
          <w:lang w:val="cs-CZ"/>
        </w:rPr>
      </w:pP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Pouze pro zvířata.</w:t>
      </w:r>
    </w:p>
    <w:p w:rsidR="00AC54F8" w:rsidRPr="00EE2325" w:rsidRDefault="00AC54F8">
      <w:pPr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 xml:space="preserve">Veterinární léčivý přípravek je vydáván pouze na předpis. </w:t>
      </w:r>
    </w:p>
    <w:p w:rsidR="00846FD6" w:rsidRPr="00EE2325" w:rsidRDefault="00846FD6">
      <w:pPr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ind w:right="-2"/>
        <w:jc w:val="both"/>
        <w:rPr>
          <w:rFonts w:ascii="Times New Roman" w:hAnsi="Times New Roman" w:cs="Times New Roman"/>
          <w:szCs w:val="24"/>
          <w:lang w:val="cs-CZ" w:bidi="he-IL"/>
        </w:rPr>
      </w:pPr>
      <w:r w:rsidRPr="00EE2325">
        <w:rPr>
          <w:rFonts w:ascii="Times New Roman" w:hAnsi="Times New Roman" w:cs="Times New Roman"/>
          <w:szCs w:val="24"/>
          <w:lang w:val="cs-CZ" w:bidi="he-IL"/>
        </w:rPr>
        <w:t>Pokud chcete získat informace o tomto veterinárním léčivém přípravku, kontaktujte prosím, příslušného místního zástupce držitele rozhodnutí o registraci.</w:t>
      </w:r>
    </w:p>
    <w:p w:rsidR="00AC54F8" w:rsidRPr="00EE2325" w:rsidRDefault="00AC54F8">
      <w:pPr>
        <w:keepNext/>
        <w:keepLines/>
        <w:ind w:left="720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keepNext/>
        <w:keepLines/>
        <w:ind w:left="720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keepNext/>
        <w:keepLines/>
        <w:ind w:left="720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keepNext/>
        <w:keepLines/>
        <w:ind w:left="720"/>
        <w:jc w:val="both"/>
        <w:rPr>
          <w:rFonts w:ascii="Times New Roman" w:hAnsi="Times New Roman" w:cs="Times New Roman"/>
          <w:szCs w:val="24"/>
          <w:lang w:val="cs-CZ" w:bidi="he-IL"/>
        </w:rPr>
      </w:pPr>
    </w:p>
    <w:p w:rsidR="00AC54F8" w:rsidRPr="00EE2325" w:rsidRDefault="00AC54F8">
      <w:pPr>
        <w:keepNext/>
        <w:keepLines/>
        <w:ind w:left="720"/>
        <w:jc w:val="both"/>
        <w:rPr>
          <w:rFonts w:ascii="Times New Roman" w:hAnsi="Times New Roman" w:cs="Times New Roman"/>
          <w:szCs w:val="24"/>
          <w:lang w:val="cs-CZ" w:bidi="he-IL"/>
        </w:rPr>
      </w:pPr>
    </w:p>
    <w:sectPr w:rsidR="00AC54F8" w:rsidRPr="00EE2325" w:rsidSect="002B44C1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91" w:rsidRDefault="00402291">
      <w:pPr>
        <w:rPr>
          <w:rFonts w:cs="Times New Roman"/>
          <w:szCs w:val="24"/>
          <w:lang w:val="cs-CZ" w:bidi="he-IL"/>
        </w:rPr>
      </w:pPr>
      <w:r>
        <w:rPr>
          <w:rFonts w:cs="Times New Roman"/>
          <w:szCs w:val="24"/>
          <w:lang w:val="cs-CZ" w:bidi="he-IL"/>
        </w:rPr>
        <w:separator/>
      </w:r>
    </w:p>
  </w:endnote>
  <w:endnote w:type="continuationSeparator" w:id="0">
    <w:p w:rsidR="00402291" w:rsidRDefault="00402291">
      <w:pPr>
        <w:rPr>
          <w:rFonts w:cs="Times New Roman"/>
          <w:szCs w:val="24"/>
          <w:lang w:val="cs-CZ" w:bidi="he-IL"/>
        </w:rPr>
      </w:pPr>
      <w:r>
        <w:rPr>
          <w:rFonts w:cs="Times New Roman"/>
          <w:szCs w:val="24"/>
          <w:lang w:val="cs-CZ"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F8" w:rsidRDefault="00AC54F8">
    <w:pPr>
      <w:pStyle w:val="Zpat"/>
      <w:pBdr>
        <w:top w:val="single" w:sz="4" w:space="1" w:color="auto"/>
      </w:pBdr>
      <w:jc w:val="center"/>
      <w:rPr>
        <w:rFonts w:cs="Times New Roman"/>
        <w:szCs w:val="24"/>
        <w:lang w:val="cs-CZ" w:bidi="he-IL"/>
      </w:rPr>
    </w:pPr>
  </w:p>
  <w:p w:rsidR="00AC54F8" w:rsidRDefault="00AC54F8" w:rsidP="00990BE3">
    <w:pPr>
      <w:pStyle w:val="Zhlav"/>
      <w:jc w:val="center"/>
      <w:rPr>
        <w:rStyle w:val="slostrnky"/>
        <w:rFonts w:ascii="Book Antiqua" w:hAnsi="Book Antiqua"/>
        <w:szCs w:val="24"/>
        <w:lang w:val="cs-CZ" w:bidi="he-IL"/>
      </w:rPr>
    </w:pPr>
    <w:r>
      <w:rPr>
        <w:rStyle w:val="slostrnky"/>
        <w:rFonts w:ascii="Book Antiqua" w:hAnsi="Book Antiqua"/>
        <w:szCs w:val="24"/>
        <w:lang w:val="cs-CZ" w:bidi="he-IL"/>
      </w:rPr>
      <w:t xml:space="preserve">Strana </w:t>
    </w:r>
    <w:r>
      <w:rPr>
        <w:rStyle w:val="slostrnky"/>
        <w:rFonts w:ascii="Book Antiqua" w:hAnsi="Book Antiqua"/>
        <w:szCs w:val="24"/>
        <w:lang w:val="cs-CZ" w:bidi="he-IL"/>
      </w:rPr>
      <w:fldChar w:fldCharType="begin"/>
    </w:r>
    <w:r>
      <w:rPr>
        <w:rStyle w:val="slostrnky"/>
        <w:rFonts w:ascii="Book Antiqua" w:hAnsi="Book Antiqua"/>
        <w:szCs w:val="24"/>
        <w:lang w:val="cs-CZ" w:bidi="he-IL"/>
      </w:rPr>
      <w:instrText xml:space="preserve"> PAGE </w:instrText>
    </w:r>
    <w:r>
      <w:rPr>
        <w:rStyle w:val="slostrnky"/>
        <w:rFonts w:ascii="Book Antiqua" w:hAnsi="Book Antiqua"/>
        <w:szCs w:val="24"/>
        <w:lang w:val="cs-CZ" w:bidi="he-IL"/>
      </w:rPr>
      <w:fldChar w:fldCharType="separate"/>
    </w:r>
    <w:r w:rsidR="00EE2325">
      <w:rPr>
        <w:rStyle w:val="slostrnky"/>
        <w:rFonts w:ascii="Book Antiqua" w:hAnsi="Book Antiqua"/>
        <w:noProof/>
        <w:szCs w:val="24"/>
        <w:lang w:val="cs-CZ" w:bidi="he-IL"/>
      </w:rPr>
      <w:t>2</w:t>
    </w:r>
    <w:r>
      <w:rPr>
        <w:rStyle w:val="slostrnky"/>
        <w:rFonts w:ascii="Book Antiqua" w:hAnsi="Book Antiqua"/>
        <w:szCs w:val="24"/>
        <w:lang w:val="cs-CZ" w:bidi="he-IL"/>
      </w:rPr>
      <w:fldChar w:fldCharType="end"/>
    </w:r>
    <w:r>
      <w:rPr>
        <w:rStyle w:val="slostrnky"/>
        <w:rFonts w:ascii="Book Antiqua" w:hAnsi="Book Antiqua"/>
        <w:szCs w:val="24"/>
        <w:lang w:val="cs-CZ" w:bidi="he-IL"/>
      </w:rPr>
      <w:t xml:space="preserve"> z </w:t>
    </w:r>
    <w:r>
      <w:rPr>
        <w:rStyle w:val="slostrnky"/>
        <w:rFonts w:ascii="Book Antiqua" w:hAnsi="Book Antiqua"/>
        <w:szCs w:val="24"/>
        <w:lang w:val="cs-CZ" w:bidi="he-IL"/>
      </w:rPr>
      <w:fldChar w:fldCharType="begin"/>
    </w:r>
    <w:r>
      <w:rPr>
        <w:rStyle w:val="slostrnky"/>
        <w:rFonts w:ascii="Book Antiqua" w:hAnsi="Book Antiqua"/>
        <w:szCs w:val="24"/>
        <w:lang w:val="cs-CZ" w:bidi="he-IL"/>
      </w:rPr>
      <w:instrText xml:space="preserve"> NUMPAGES </w:instrText>
    </w:r>
    <w:r>
      <w:rPr>
        <w:rStyle w:val="slostrnky"/>
        <w:rFonts w:ascii="Book Antiqua" w:hAnsi="Book Antiqua"/>
        <w:szCs w:val="24"/>
        <w:lang w:val="cs-CZ" w:bidi="he-IL"/>
      </w:rPr>
      <w:fldChar w:fldCharType="separate"/>
    </w:r>
    <w:r w:rsidR="00EE2325">
      <w:rPr>
        <w:rStyle w:val="slostrnky"/>
        <w:rFonts w:ascii="Book Antiqua" w:hAnsi="Book Antiqua"/>
        <w:noProof/>
        <w:szCs w:val="24"/>
        <w:lang w:val="cs-CZ" w:bidi="he-IL"/>
      </w:rPr>
      <w:t>4</w:t>
    </w:r>
    <w:r>
      <w:rPr>
        <w:rStyle w:val="slostrnky"/>
        <w:rFonts w:ascii="Book Antiqua" w:hAnsi="Book Antiqua"/>
        <w:szCs w:val="24"/>
        <w:lang w:val="cs-CZ" w:bidi="he-I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91" w:rsidRDefault="00402291">
      <w:pPr>
        <w:rPr>
          <w:rFonts w:cs="Times New Roman"/>
          <w:szCs w:val="24"/>
          <w:lang w:val="cs-CZ" w:bidi="he-IL"/>
        </w:rPr>
      </w:pPr>
      <w:r>
        <w:rPr>
          <w:rFonts w:cs="Times New Roman"/>
          <w:szCs w:val="24"/>
          <w:lang w:val="cs-CZ" w:bidi="he-IL"/>
        </w:rPr>
        <w:separator/>
      </w:r>
    </w:p>
  </w:footnote>
  <w:footnote w:type="continuationSeparator" w:id="0">
    <w:p w:rsidR="00402291" w:rsidRDefault="00402291">
      <w:pPr>
        <w:rPr>
          <w:rFonts w:cs="Times New Roman"/>
          <w:szCs w:val="24"/>
          <w:lang w:val="cs-CZ" w:bidi="he-IL"/>
        </w:rPr>
      </w:pPr>
      <w:r>
        <w:rPr>
          <w:rFonts w:cs="Times New Roman"/>
          <w:szCs w:val="24"/>
          <w:lang w:val="cs-CZ"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9F" w:rsidRDefault="0008129F" w:rsidP="00EE2325">
    <w:pPr>
      <w:pStyle w:val="Zhlav"/>
      <w:pBdr>
        <w:top w:val="single" w:sz="4" w:space="1" w:color="auto"/>
        <w:bottom w:val="single" w:sz="4" w:space="1" w:color="auto"/>
      </w:pBdr>
      <w:rPr>
        <w:rFonts w:ascii="Book Antiqua" w:hAnsi="Book Antiqua" w:cs="Times New Roman"/>
        <w:szCs w:val="24"/>
        <w:lang w:val="cs-CZ" w:bidi="he-IL"/>
      </w:rPr>
    </w:pPr>
    <w:r>
      <w:rPr>
        <w:rFonts w:ascii="Book Antiqua" w:hAnsi="Book Antiqua" w:cs="Times New Roman"/>
        <w:szCs w:val="24"/>
        <w:lang w:val="cs-CZ" w:bidi="he-IL"/>
      </w:rPr>
      <w:t xml:space="preserve"> </w:t>
    </w:r>
  </w:p>
  <w:p w:rsidR="00AC54F8" w:rsidRDefault="00AC54F8" w:rsidP="00990BE3">
    <w:pPr>
      <w:pStyle w:val="Zhlav"/>
      <w:pBdr>
        <w:top w:val="single" w:sz="4" w:space="1" w:color="auto"/>
        <w:bottom w:val="single" w:sz="4" w:space="1" w:color="auto"/>
      </w:pBdr>
      <w:jc w:val="center"/>
      <w:rPr>
        <w:rFonts w:ascii="Book Antiqua" w:hAnsi="Book Antiqua" w:cs="Times New Roman"/>
        <w:szCs w:val="24"/>
        <w:lang w:val="cs-CZ" w:bidi="he-IL"/>
      </w:rPr>
    </w:pPr>
    <w:r>
      <w:rPr>
        <w:rFonts w:ascii="Book Antiqua" w:hAnsi="Book Antiqua" w:cs="Times New Roman"/>
        <w:szCs w:val="24"/>
        <w:lang w:val="cs-CZ" w:bidi="he-IL"/>
      </w:rPr>
      <w:t>SOUHRN ÚDAJŮ O PŘÍPRAVKU</w:t>
    </w:r>
  </w:p>
  <w:p w:rsidR="00AC54F8" w:rsidRDefault="00AC54F8" w:rsidP="00990BE3">
    <w:pPr>
      <w:pStyle w:val="Zhlav"/>
      <w:pBdr>
        <w:bottom w:val="single" w:sz="4" w:space="1" w:color="auto"/>
      </w:pBdr>
      <w:tabs>
        <w:tab w:val="right" w:pos="9000"/>
      </w:tabs>
      <w:rPr>
        <w:rFonts w:ascii="Book Antiqua" w:hAnsi="Book Antiqua" w:cs="Times New Roman"/>
        <w:szCs w:val="24"/>
        <w:lang w:val="cs-CZ" w:bidi="he-IL"/>
      </w:rPr>
    </w:pPr>
    <w:r>
      <w:rPr>
        <w:rFonts w:ascii="Book Antiqua" w:hAnsi="Book Antiqua" w:cs="Times New Roman"/>
        <w:b/>
        <w:caps/>
        <w:szCs w:val="24"/>
        <w:lang w:val="cs-CZ" w:bidi="he-IL"/>
      </w:rPr>
      <w:t xml:space="preserve">Pharmasin 250 mg/g orální granule </w:t>
    </w:r>
    <w:proofErr w:type="spellStart"/>
    <w:r>
      <w:rPr>
        <w:rFonts w:ascii="Book Antiqua" w:hAnsi="Book Antiqua" w:cs="Times New Roman"/>
        <w:szCs w:val="24"/>
        <w:lang w:val="cs-CZ" w:bidi="he-IL"/>
      </w:rPr>
      <w:t>Huvepharma</w:t>
    </w:r>
    <w:proofErr w:type="spellEnd"/>
    <w:r>
      <w:rPr>
        <w:rFonts w:ascii="Book Antiqua" w:hAnsi="Book Antiqua" w:cs="Times New Roman"/>
        <w:szCs w:val="24"/>
        <w:lang w:val="cs-CZ" w:bidi="he-IL"/>
      </w:rPr>
      <w:t xml:space="preserve"> NV</w:t>
    </w:r>
  </w:p>
  <w:p w:rsidR="00AC54F8" w:rsidRDefault="00AC54F8">
    <w:pPr>
      <w:pStyle w:val="Zhlav"/>
      <w:jc w:val="center"/>
      <w:rPr>
        <w:rFonts w:ascii="Book Antiqua" w:hAnsi="Book Antiqua" w:cs="Times New Roman"/>
        <w:szCs w:val="24"/>
        <w:lang w:val="cs-CZ" w:bidi="he-I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21A8"/>
    <w:multiLevelType w:val="hybridMultilevel"/>
    <w:tmpl w:val="BD68C4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40952EB"/>
    <w:multiLevelType w:val="hybridMultilevel"/>
    <w:tmpl w:val="FE581AA8"/>
    <w:lvl w:ilvl="0" w:tplc="3CCA60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8003FFD"/>
    <w:multiLevelType w:val="hybridMultilevel"/>
    <w:tmpl w:val="3BC21326"/>
    <w:lvl w:ilvl="0" w:tplc="4FE80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7C445C"/>
    <w:multiLevelType w:val="multilevel"/>
    <w:tmpl w:val="9BC41EEA"/>
    <w:lvl w:ilvl="0">
      <w:start w:val="1"/>
      <w:numFmt w:val="none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none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none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none"/>
      <w:lvlText w:val="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none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22"/>
    <w:rsid w:val="0000572E"/>
    <w:rsid w:val="0004332A"/>
    <w:rsid w:val="0008129F"/>
    <w:rsid w:val="00091869"/>
    <w:rsid w:val="000E352E"/>
    <w:rsid w:val="000F6744"/>
    <w:rsid w:val="00116502"/>
    <w:rsid w:val="0012417C"/>
    <w:rsid w:val="001344E7"/>
    <w:rsid w:val="00150252"/>
    <w:rsid w:val="0017183F"/>
    <w:rsid w:val="00174290"/>
    <w:rsid w:val="00176311"/>
    <w:rsid w:val="001B3187"/>
    <w:rsid w:val="001B5486"/>
    <w:rsid w:val="001D4144"/>
    <w:rsid w:val="001D67F8"/>
    <w:rsid w:val="001F5EC8"/>
    <w:rsid w:val="001F6D6C"/>
    <w:rsid w:val="00204394"/>
    <w:rsid w:val="002B428F"/>
    <w:rsid w:val="002B44C1"/>
    <w:rsid w:val="002B4FA6"/>
    <w:rsid w:val="002C59FA"/>
    <w:rsid w:val="00317298"/>
    <w:rsid w:val="003852F1"/>
    <w:rsid w:val="003D7501"/>
    <w:rsid w:val="003E414E"/>
    <w:rsid w:val="003E4150"/>
    <w:rsid w:val="003F1FA1"/>
    <w:rsid w:val="003F2642"/>
    <w:rsid w:val="003F3FD6"/>
    <w:rsid w:val="00402291"/>
    <w:rsid w:val="00415EDA"/>
    <w:rsid w:val="0042732D"/>
    <w:rsid w:val="004539F8"/>
    <w:rsid w:val="004A2D22"/>
    <w:rsid w:val="004B01A9"/>
    <w:rsid w:val="004B71C8"/>
    <w:rsid w:val="00502701"/>
    <w:rsid w:val="00521A86"/>
    <w:rsid w:val="005337CB"/>
    <w:rsid w:val="005A06E2"/>
    <w:rsid w:val="005D6B6E"/>
    <w:rsid w:val="005F3D4F"/>
    <w:rsid w:val="006622E1"/>
    <w:rsid w:val="006625CD"/>
    <w:rsid w:val="006822F6"/>
    <w:rsid w:val="006B488C"/>
    <w:rsid w:val="006E6606"/>
    <w:rsid w:val="00715CE0"/>
    <w:rsid w:val="00733DD1"/>
    <w:rsid w:val="007437D8"/>
    <w:rsid w:val="00761D41"/>
    <w:rsid w:val="00770773"/>
    <w:rsid w:val="0078044A"/>
    <w:rsid w:val="007C3741"/>
    <w:rsid w:val="00812DC0"/>
    <w:rsid w:val="00826F32"/>
    <w:rsid w:val="00846FD6"/>
    <w:rsid w:val="00850BE9"/>
    <w:rsid w:val="00863F63"/>
    <w:rsid w:val="008A1610"/>
    <w:rsid w:val="008D29CF"/>
    <w:rsid w:val="00915F40"/>
    <w:rsid w:val="009344C2"/>
    <w:rsid w:val="00965C41"/>
    <w:rsid w:val="0096732B"/>
    <w:rsid w:val="00985DD1"/>
    <w:rsid w:val="0099085D"/>
    <w:rsid w:val="00990BE3"/>
    <w:rsid w:val="009C0D99"/>
    <w:rsid w:val="009E080F"/>
    <w:rsid w:val="009F143E"/>
    <w:rsid w:val="00A00F68"/>
    <w:rsid w:val="00A23895"/>
    <w:rsid w:val="00A25513"/>
    <w:rsid w:val="00A65781"/>
    <w:rsid w:val="00A67975"/>
    <w:rsid w:val="00A81262"/>
    <w:rsid w:val="00AA113F"/>
    <w:rsid w:val="00AC54F8"/>
    <w:rsid w:val="00AD3415"/>
    <w:rsid w:val="00AF5BFE"/>
    <w:rsid w:val="00B04665"/>
    <w:rsid w:val="00B67BEA"/>
    <w:rsid w:val="00BA3492"/>
    <w:rsid w:val="00BA509E"/>
    <w:rsid w:val="00BE710B"/>
    <w:rsid w:val="00C11165"/>
    <w:rsid w:val="00C80913"/>
    <w:rsid w:val="00C97DE0"/>
    <w:rsid w:val="00D548DC"/>
    <w:rsid w:val="00D8208B"/>
    <w:rsid w:val="00E40DC5"/>
    <w:rsid w:val="00E46E74"/>
    <w:rsid w:val="00E50F52"/>
    <w:rsid w:val="00E5672F"/>
    <w:rsid w:val="00E7250E"/>
    <w:rsid w:val="00ED77CA"/>
    <w:rsid w:val="00EE2325"/>
    <w:rsid w:val="00F135EA"/>
    <w:rsid w:val="00F5267F"/>
    <w:rsid w:val="00F70AD9"/>
    <w:rsid w:val="00F75554"/>
    <w:rsid w:val="00F811CE"/>
    <w:rsid w:val="00F81D2A"/>
    <w:rsid w:val="00F82DEC"/>
    <w:rsid w:val="00F9114C"/>
    <w:rsid w:val="00F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4C1"/>
    <w:rPr>
      <w:rFonts w:ascii="Arial" w:hAnsi="Arial" w:cs="Arial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B44C1"/>
    <w:pPr>
      <w:tabs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49A5"/>
    <w:rPr>
      <w:rFonts w:ascii="Arial" w:hAnsi="Arial" w:cs="Arial"/>
      <w:lang w:val="en-GB" w:eastAsia="zh-CN"/>
    </w:rPr>
  </w:style>
  <w:style w:type="paragraph" w:styleId="Zpat">
    <w:name w:val="footer"/>
    <w:basedOn w:val="Normln"/>
    <w:link w:val="ZpatChar"/>
    <w:uiPriority w:val="99"/>
    <w:rsid w:val="002B44C1"/>
    <w:pPr>
      <w:tabs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49A5"/>
    <w:rPr>
      <w:rFonts w:ascii="Arial" w:hAnsi="Arial" w:cs="Arial"/>
      <w:lang w:val="en-GB" w:eastAsia="zh-CN"/>
    </w:rPr>
  </w:style>
  <w:style w:type="character" w:styleId="slostrnky">
    <w:name w:val="page number"/>
    <w:basedOn w:val="Standardnpsmoodstavce"/>
    <w:uiPriority w:val="99"/>
    <w:rsid w:val="002B44C1"/>
    <w:rPr>
      <w:rFonts w:ascii="Arial" w:hAnsi="Arial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2B44C1"/>
    <w:rPr>
      <w:rFonts w:ascii="Times New Roman" w:hAnsi="Times New Roman"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9A5"/>
    <w:rPr>
      <w:rFonts w:cs="Arial"/>
      <w:sz w:val="0"/>
      <w:szCs w:val="0"/>
      <w:lang w:val="en-GB" w:eastAsia="zh-CN"/>
    </w:rPr>
  </w:style>
  <w:style w:type="character" w:customStyle="1" w:styleId="tw4winMark">
    <w:name w:val="tw4winMark"/>
    <w:uiPriority w:val="99"/>
    <w:rsid w:val="002B44C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2B44C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B44C1"/>
    <w:rPr>
      <w:color w:val="0000FF"/>
    </w:rPr>
  </w:style>
  <w:style w:type="character" w:customStyle="1" w:styleId="tw4winPopup">
    <w:name w:val="tw4winPopup"/>
    <w:uiPriority w:val="99"/>
    <w:rsid w:val="002B44C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B44C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2B44C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2B44C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2B44C1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4C1"/>
    <w:rPr>
      <w:rFonts w:ascii="Arial" w:hAnsi="Arial" w:cs="Arial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B44C1"/>
    <w:pPr>
      <w:tabs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49A5"/>
    <w:rPr>
      <w:rFonts w:ascii="Arial" w:hAnsi="Arial" w:cs="Arial"/>
      <w:lang w:val="en-GB" w:eastAsia="zh-CN"/>
    </w:rPr>
  </w:style>
  <w:style w:type="paragraph" w:styleId="Zpat">
    <w:name w:val="footer"/>
    <w:basedOn w:val="Normln"/>
    <w:link w:val="ZpatChar"/>
    <w:uiPriority w:val="99"/>
    <w:rsid w:val="002B44C1"/>
    <w:pPr>
      <w:tabs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49A5"/>
    <w:rPr>
      <w:rFonts w:ascii="Arial" w:hAnsi="Arial" w:cs="Arial"/>
      <w:lang w:val="en-GB" w:eastAsia="zh-CN"/>
    </w:rPr>
  </w:style>
  <w:style w:type="character" w:styleId="slostrnky">
    <w:name w:val="page number"/>
    <w:basedOn w:val="Standardnpsmoodstavce"/>
    <w:uiPriority w:val="99"/>
    <w:rsid w:val="002B44C1"/>
    <w:rPr>
      <w:rFonts w:ascii="Arial" w:hAnsi="Arial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2B44C1"/>
    <w:rPr>
      <w:rFonts w:ascii="Times New Roman" w:hAnsi="Times New Roman"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9A5"/>
    <w:rPr>
      <w:rFonts w:cs="Arial"/>
      <w:sz w:val="0"/>
      <w:szCs w:val="0"/>
      <w:lang w:val="en-GB" w:eastAsia="zh-CN"/>
    </w:rPr>
  </w:style>
  <w:style w:type="character" w:customStyle="1" w:styleId="tw4winMark">
    <w:name w:val="tw4winMark"/>
    <w:uiPriority w:val="99"/>
    <w:rsid w:val="002B44C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2B44C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B44C1"/>
    <w:rPr>
      <w:color w:val="0000FF"/>
    </w:rPr>
  </w:style>
  <w:style w:type="character" w:customStyle="1" w:styleId="tw4winPopup">
    <w:name w:val="tw4winPopup"/>
    <w:uiPriority w:val="99"/>
    <w:rsid w:val="002B44C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B44C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2B44C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2B44C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2B44C1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994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VMD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kearsr</dc:creator>
  <dc:description>TQBlAG0AbwBRACAAQgBSAFQARgAgAE4AIABQAGgAYQByAG0AYQBzAGkAbgAgADIAJQAgAE8AcgBhAGwAIABHAHIAYQBuAHUAbABlAHMALQAgAFMAUABDACAAIABQAEkATAAgAFIATQBTACAARABBAFkAMgAxADAAIABDAEwARQBBAE4AIAA=</dc:description>
  <cp:lastModifiedBy>Dušek Daniel</cp:lastModifiedBy>
  <cp:revision>19</cp:revision>
  <cp:lastPrinted>2009-12-16T08:35:00Z</cp:lastPrinted>
  <dcterms:created xsi:type="dcterms:W3CDTF">2015-02-20T10:42:00Z</dcterms:created>
  <dcterms:modified xsi:type="dcterms:W3CDTF">2015-05-05T06:26:00Z</dcterms:modified>
</cp:coreProperties>
</file>