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CF" w:rsidRDefault="007C52CF" w:rsidP="00545E57">
      <w:pPr>
        <w:ind w:right="113"/>
        <w:jc w:val="center"/>
        <w:rPr>
          <w:b/>
        </w:rPr>
      </w:pPr>
    </w:p>
    <w:p w:rsidR="002E4252" w:rsidRDefault="002E4252" w:rsidP="00545E57">
      <w:pPr>
        <w:ind w:right="113"/>
        <w:jc w:val="center"/>
        <w:rPr>
          <w:b/>
        </w:rPr>
      </w:pPr>
    </w:p>
    <w:p w:rsidR="002E4252" w:rsidRDefault="002E4252" w:rsidP="00545E57">
      <w:pPr>
        <w:ind w:right="113"/>
        <w:jc w:val="center"/>
        <w:rPr>
          <w:b/>
        </w:rPr>
      </w:pPr>
    </w:p>
    <w:p w:rsidR="002E4252" w:rsidRDefault="002E4252" w:rsidP="00545E57">
      <w:pPr>
        <w:ind w:right="113"/>
        <w:jc w:val="center"/>
        <w:rPr>
          <w:b/>
        </w:rPr>
      </w:pPr>
    </w:p>
    <w:p w:rsidR="002E4252" w:rsidRDefault="002E4252" w:rsidP="00545E57">
      <w:pPr>
        <w:ind w:right="113"/>
        <w:jc w:val="center"/>
        <w:rPr>
          <w:b/>
        </w:rPr>
      </w:pPr>
    </w:p>
    <w:p w:rsidR="002E4252" w:rsidRDefault="002E4252" w:rsidP="00545E57">
      <w:pPr>
        <w:ind w:right="113"/>
        <w:jc w:val="center"/>
        <w:rPr>
          <w:b/>
        </w:rPr>
      </w:pPr>
    </w:p>
    <w:p w:rsidR="002E4252" w:rsidRDefault="002E4252" w:rsidP="00545E57">
      <w:pPr>
        <w:ind w:right="113"/>
        <w:jc w:val="center"/>
        <w:rPr>
          <w:b/>
        </w:rPr>
      </w:pPr>
    </w:p>
    <w:p w:rsidR="002E4252" w:rsidRDefault="002E4252" w:rsidP="00545E57">
      <w:pPr>
        <w:ind w:right="113"/>
        <w:jc w:val="center"/>
        <w:rPr>
          <w:b/>
        </w:rPr>
      </w:pPr>
    </w:p>
    <w:p w:rsidR="002E4252" w:rsidRDefault="002E4252" w:rsidP="00545E57">
      <w:pPr>
        <w:ind w:right="113"/>
        <w:jc w:val="center"/>
        <w:rPr>
          <w:b/>
        </w:rPr>
      </w:pPr>
      <w:bookmarkStart w:id="0" w:name="_GoBack"/>
      <w:bookmarkEnd w:id="0"/>
    </w:p>
    <w:p w:rsidR="007C52CF" w:rsidRDefault="007C52CF" w:rsidP="00545E57">
      <w:pPr>
        <w:ind w:right="113"/>
        <w:jc w:val="center"/>
        <w:rPr>
          <w:b/>
        </w:rPr>
      </w:pPr>
    </w:p>
    <w:p w:rsidR="007C52CF" w:rsidRDefault="007C52CF" w:rsidP="00545E57">
      <w:pPr>
        <w:ind w:right="113"/>
        <w:jc w:val="center"/>
        <w:rPr>
          <w:b/>
        </w:rPr>
      </w:pPr>
    </w:p>
    <w:p w:rsidR="007C52CF" w:rsidRDefault="007C52CF" w:rsidP="00545E57">
      <w:pPr>
        <w:ind w:right="113"/>
        <w:jc w:val="center"/>
        <w:rPr>
          <w:b/>
        </w:rPr>
      </w:pPr>
    </w:p>
    <w:p w:rsidR="007C52CF" w:rsidRDefault="007C52CF" w:rsidP="00545E57">
      <w:pPr>
        <w:ind w:right="113"/>
        <w:jc w:val="center"/>
        <w:rPr>
          <w:b/>
        </w:rPr>
      </w:pPr>
    </w:p>
    <w:p w:rsidR="007C52CF" w:rsidRDefault="007C52CF" w:rsidP="00545E57">
      <w:pPr>
        <w:ind w:right="113"/>
        <w:jc w:val="center"/>
        <w:rPr>
          <w:b/>
        </w:rPr>
      </w:pPr>
    </w:p>
    <w:p w:rsidR="007C52CF" w:rsidRDefault="007C52CF" w:rsidP="00545E57">
      <w:pPr>
        <w:ind w:right="113"/>
        <w:jc w:val="center"/>
        <w:rPr>
          <w:b/>
        </w:rPr>
      </w:pPr>
    </w:p>
    <w:p w:rsidR="007C52CF" w:rsidRDefault="007C52CF" w:rsidP="00545E57">
      <w:pPr>
        <w:ind w:right="113"/>
        <w:jc w:val="center"/>
        <w:rPr>
          <w:b/>
        </w:rPr>
      </w:pPr>
    </w:p>
    <w:p w:rsidR="007C52CF" w:rsidRDefault="007C52CF" w:rsidP="00545E57">
      <w:pPr>
        <w:ind w:right="113"/>
        <w:jc w:val="center"/>
        <w:rPr>
          <w:b/>
        </w:rPr>
      </w:pPr>
    </w:p>
    <w:p w:rsidR="007C52CF" w:rsidRDefault="007C52CF" w:rsidP="00545E57">
      <w:pPr>
        <w:ind w:right="113"/>
        <w:jc w:val="center"/>
        <w:rPr>
          <w:b/>
        </w:rPr>
      </w:pPr>
    </w:p>
    <w:p w:rsidR="007C52CF" w:rsidRDefault="007C52CF" w:rsidP="00545E57">
      <w:pPr>
        <w:ind w:right="113"/>
        <w:jc w:val="center"/>
        <w:rPr>
          <w:b/>
        </w:rPr>
      </w:pPr>
    </w:p>
    <w:p w:rsidR="007C52CF" w:rsidRDefault="007C52CF" w:rsidP="00545E57">
      <w:pPr>
        <w:ind w:right="113"/>
        <w:jc w:val="center"/>
        <w:rPr>
          <w:b/>
        </w:rPr>
      </w:pPr>
    </w:p>
    <w:p w:rsidR="007C52CF" w:rsidRDefault="007C52CF" w:rsidP="00545E57">
      <w:pPr>
        <w:ind w:right="113"/>
        <w:jc w:val="center"/>
        <w:rPr>
          <w:b/>
        </w:rPr>
      </w:pPr>
    </w:p>
    <w:p w:rsidR="007C52CF" w:rsidRDefault="007C52CF" w:rsidP="00545E57">
      <w:pPr>
        <w:ind w:right="113"/>
        <w:jc w:val="center"/>
        <w:rPr>
          <w:b/>
        </w:rPr>
      </w:pPr>
    </w:p>
    <w:p w:rsidR="007C52CF" w:rsidRDefault="007C52CF" w:rsidP="00545E57">
      <w:pPr>
        <w:ind w:right="113"/>
        <w:jc w:val="center"/>
        <w:rPr>
          <w:b/>
        </w:rPr>
      </w:pPr>
    </w:p>
    <w:p w:rsidR="00545E57" w:rsidRDefault="00545E57" w:rsidP="00545E57">
      <w:pPr>
        <w:ind w:right="113"/>
        <w:jc w:val="center"/>
      </w:pPr>
      <w:r>
        <w:rPr>
          <w:b/>
        </w:rPr>
        <w:t>B. PŘÍBALOVÁ INFORMACE</w:t>
      </w:r>
    </w:p>
    <w:p w:rsidR="00545E57" w:rsidRPr="00545E57" w:rsidRDefault="00545E57" w:rsidP="00545E57">
      <w:pPr>
        <w:jc w:val="center"/>
      </w:pPr>
      <w:r>
        <w:br w:type="page"/>
      </w:r>
      <w:r>
        <w:rPr>
          <w:b/>
        </w:rPr>
        <w:lastRenderedPageBreak/>
        <w:t xml:space="preserve">PŘÍBALOVÁ INFORMACE </w:t>
      </w:r>
    </w:p>
    <w:p w:rsidR="00545E57" w:rsidRDefault="00545E57" w:rsidP="00545E57">
      <w:pPr>
        <w:jc w:val="center"/>
      </w:pPr>
      <w:r>
        <w:rPr>
          <w:color w:val="000000"/>
          <w:spacing w:val="-1"/>
        </w:rPr>
        <w:t>CEVAZURIL 50 mg/ml perorální suspenze pro selata</w:t>
      </w:r>
      <w:r w:rsidR="00B81F8E">
        <w:rPr>
          <w:color w:val="000000"/>
          <w:spacing w:val="-1"/>
        </w:rPr>
        <w:t xml:space="preserve"> a telata</w:t>
      </w:r>
    </w:p>
    <w:p w:rsidR="00545E57" w:rsidRDefault="00545E57" w:rsidP="00545E57"/>
    <w:p w:rsidR="00545E57" w:rsidRDefault="00545E57" w:rsidP="00545E57"/>
    <w:p w:rsidR="00545E57" w:rsidRDefault="00545E57" w:rsidP="00545E57">
      <w:pPr>
        <w:rPr>
          <w:b/>
        </w:rPr>
      </w:pPr>
      <w:r>
        <w:rPr>
          <w:b/>
        </w:rPr>
        <w:t>1.</w:t>
      </w:r>
      <w:r>
        <w:rPr>
          <w:b/>
        </w:rPr>
        <w:tab/>
        <w:t>JMÉNO A ADRESA DRŽITELE ROZHODNUTÍ O REGISTRACI A DRŽITELE POVOLENÍ K VÝROBĚ ODPOVĚDNÉHO ZA UVOLNĚNÍ ŠARŽE, POKUD SE NESHODUJE</w:t>
      </w:r>
    </w:p>
    <w:p w:rsidR="00545E57" w:rsidRDefault="00545E57" w:rsidP="00545E57">
      <w:pPr>
        <w:rPr>
          <w:b/>
        </w:rPr>
      </w:pPr>
    </w:p>
    <w:p w:rsidR="00545E57" w:rsidRDefault="00545E57" w:rsidP="00545E57">
      <w:pPr>
        <w:rPr>
          <w:iCs/>
        </w:rPr>
      </w:pPr>
      <w:r>
        <w:rPr>
          <w:iCs/>
          <w:u w:val="single"/>
        </w:rPr>
        <w:t>Držitel rozhodnutí o registraci:</w:t>
      </w:r>
    </w:p>
    <w:p w:rsidR="00545E57" w:rsidRDefault="009D0863" w:rsidP="00545E57">
      <w:proofErr w:type="spellStart"/>
      <w:r>
        <w:rPr>
          <w:color w:val="000000"/>
        </w:rPr>
        <w:t>Ceva</w:t>
      </w:r>
      <w:proofErr w:type="spellEnd"/>
      <w:r>
        <w:rPr>
          <w:color w:val="000000"/>
        </w:rPr>
        <w:t xml:space="preserve"> Sante </w:t>
      </w:r>
      <w:proofErr w:type="spellStart"/>
      <w:r>
        <w:rPr>
          <w:color w:val="000000"/>
        </w:rPr>
        <w:t>Anmale</w:t>
      </w:r>
      <w:proofErr w:type="spellEnd"/>
      <w:r w:rsidR="00545E57">
        <w:rPr>
          <w:color w:val="000000"/>
        </w:rPr>
        <w:t xml:space="preserve">, Z.I. </w:t>
      </w:r>
      <w:r w:rsidR="00545E57" w:rsidRPr="001C6B2F">
        <w:rPr>
          <w:color w:val="000000"/>
          <w:lang w:val="it-IT"/>
        </w:rPr>
        <w:t xml:space="preserve">La </w:t>
      </w:r>
      <w:proofErr w:type="spellStart"/>
      <w:r w:rsidR="00545E57">
        <w:rPr>
          <w:color w:val="000000"/>
        </w:rPr>
        <w:t>Ballasti</w:t>
      </w:r>
      <w:r w:rsidR="00E6063E">
        <w:rPr>
          <w:color w:val="000000"/>
        </w:rPr>
        <w:t>è</w:t>
      </w:r>
      <w:r w:rsidR="00545E57">
        <w:rPr>
          <w:color w:val="000000"/>
        </w:rPr>
        <w:t>re</w:t>
      </w:r>
      <w:proofErr w:type="spellEnd"/>
      <w:r>
        <w:rPr>
          <w:color w:val="000000"/>
        </w:rPr>
        <w:t>,</w:t>
      </w:r>
      <w:r w:rsidR="00545E57">
        <w:rPr>
          <w:color w:val="000000"/>
        </w:rPr>
        <w:t xml:space="preserve"> 33500, </w:t>
      </w:r>
      <w:proofErr w:type="spellStart"/>
      <w:r w:rsidR="00545E57">
        <w:rPr>
          <w:color w:val="000000"/>
        </w:rPr>
        <w:t>Libourne</w:t>
      </w:r>
      <w:proofErr w:type="spellEnd"/>
      <w:r w:rsidR="00545E57">
        <w:rPr>
          <w:color w:val="000000"/>
        </w:rPr>
        <w:t>, Francie</w:t>
      </w:r>
    </w:p>
    <w:p w:rsidR="00545E57" w:rsidRDefault="00545E57" w:rsidP="00545E57">
      <w:pPr>
        <w:rPr>
          <w:bCs/>
          <w:u w:val="single"/>
        </w:rPr>
      </w:pPr>
      <w:r>
        <w:rPr>
          <w:bCs/>
          <w:u w:val="single"/>
        </w:rPr>
        <w:t>Výrobce odpovědný za uvolnění šarže</w:t>
      </w:r>
      <w:r>
        <w:t>:</w:t>
      </w:r>
    </w:p>
    <w:p w:rsidR="00545E57" w:rsidRDefault="00E6063E" w:rsidP="00545E57">
      <w:pPr>
        <w:rPr>
          <w:color w:val="000000"/>
        </w:rPr>
      </w:pPr>
      <w:proofErr w:type="spellStart"/>
      <w:r>
        <w:rPr>
          <w:color w:val="000000"/>
        </w:rPr>
        <w:t>Ceva</w:t>
      </w:r>
      <w:proofErr w:type="spellEnd"/>
      <w:r>
        <w:rPr>
          <w:color w:val="000000"/>
        </w:rPr>
        <w:t xml:space="preserve"> Sante Animale, 10, </w:t>
      </w:r>
      <w:proofErr w:type="spellStart"/>
      <w:r>
        <w:rPr>
          <w:color w:val="000000"/>
        </w:rPr>
        <w:t>av</w:t>
      </w:r>
      <w:proofErr w:type="spellEnd"/>
      <w:r>
        <w:rPr>
          <w:color w:val="000000"/>
        </w:rPr>
        <w:t xml:space="preserve">. </w:t>
      </w:r>
      <w:r w:rsidR="009D0863">
        <w:rPr>
          <w:color w:val="000000"/>
        </w:rPr>
        <w:t>d</w:t>
      </w:r>
      <w:r>
        <w:rPr>
          <w:color w:val="000000"/>
        </w:rPr>
        <w:t xml:space="preserve">e la </w:t>
      </w:r>
      <w:proofErr w:type="spellStart"/>
      <w:r w:rsidR="00545E57">
        <w:rPr>
          <w:color w:val="000000"/>
        </w:rPr>
        <w:t>Ballasti</w:t>
      </w:r>
      <w:r>
        <w:rPr>
          <w:color w:val="000000"/>
        </w:rPr>
        <w:t>è</w:t>
      </w:r>
      <w:r w:rsidR="00545E57">
        <w:rPr>
          <w:color w:val="000000"/>
        </w:rPr>
        <w:t>re</w:t>
      </w:r>
      <w:proofErr w:type="spellEnd"/>
      <w:r w:rsidR="009D0863">
        <w:rPr>
          <w:color w:val="000000"/>
        </w:rPr>
        <w:t>,</w:t>
      </w:r>
      <w:r w:rsidR="00545E57">
        <w:rPr>
          <w:color w:val="000000"/>
        </w:rPr>
        <w:t xml:space="preserve"> 33500 </w:t>
      </w:r>
      <w:proofErr w:type="spellStart"/>
      <w:r>
        <w:rPr>
          <w:color w:val="000000"/>
        </w:rPr>
        <w:t>Libourne</w:t>
      </w:r>
      <w:proofErr w:type="spellEnd"/>
      <w:r>
        <w:rPr>
          <w:color w:val="000000"/>
        </w:rPr>
        <w:t>,</w:t>
      </w:r>
      <w:r w:rsidR="00545E57">
        <w:rPr>
          <w:color w:val="000000"/>
        </w:rPr>
        <w:t xml:space="preserve"> Francie</w:t>
      </w:r>
    </w:p>
    <w:p w:rsidR="00545E57" w:rsidRDefault="00545E57" w:rsidP="00545E57"/>
    <w:p w:rsidR="00545E57" w:rsidRDefault="00545E57" w:rsidP="00545E57">
      <w:pPr>
        <w:rPr>
          <w:b/>
        </w:rPr>
      </w:pPr>
      <w:r>
        <w:rPr>
          <w:b/>
        </w:rPr>
        <w:t>2.</w:t>
      </w:r>
      <w:r>
        <w:rPr>
          <w:b/>
        </w:rPr>
        <w:tab/>
        <w:t>NÁZEV VETERINÁRNÍHO LÉČIVÉHO PŘÍPRAVKU</w:t>
      </w:r>
    </w:p>
    <w:p w:rsidR="00545E57" w:rsidRDefault="00545E57" w:rsidP="00545E57"/>
    <w:p w:rsidR="00545E57" w:rsidRDefault="00545E57" w:rsidP="00545E57">
      <w:pPr>
        <w:rPr>
          <w:color w:val="000000"/>
          <w:spacing w:val="-1"/>
        </w:rPr>
      </w:pPr>
      <w:r>
        <w:rPr>
          <w:color w:val="000000"/>
          <w:spacing w:val="-1"/>
        </w:rPr>
        <w:t>CEVAZURIL 50 mg/ml perorální suspenze pro selata</w:t>
      </w:r>
      <w:r w:rsidR="00B81F8E">
        <w:rPr>
          <w:color w:val="000000"/>
          <w:spacing w:val="-1"/>
        </w:rPr>
        <w:t xml:space="preserve"> a telata</w:t>
      </w:r>
    </w:p>
    <w:p w:rsidR="00545E57" w:rsidRPr="00545E57" w:rsidRDefault="00545E57" w:rsidP="00545E57">
      <w:pPr>
        <w:rPr>
          <w:color w:val="000000"/>
          <w:spacing w:val="-1"/>
        </w:rPr>
      </w:pPr>
      <w:proofErr w:type="spellStart"/>
      <w:r>
        <w:rPr>
          <w:color w:val="000000"/>
        </w:rPr>
        <w:t>Toltrazurilum</w:t>
      </w:r>
      <w:proofErr w:type="spellEnd"/>
    </w:p>
    <w:p w:rsidR="00545E57" w:rsidRDefault="00545E57" w:rsidP="00545E57">
      <w:pPr>
        <w:rPr>
          <w:b/>
        </w:rPr>
      </w:pPr>
    </w:p>
    <w:p w:rsidR="00545E57" w:rsidRDefault="00545E57" w:rsidP="00545E57">
      <w:pPr>
        <w:rPr>
          <w:b/>
        </w:rPr>
      </w:pPr>
      <w:r>
        <w:rPr>
          <w:b/>
        </w:rPr>
        <w:t>3.</w:t>
      </w:r>
      <w:r>
        <w:rPr>
          <w:b/>
        </w:rPr>
        <w:tab/>
        <w:t>OBSAH LÉČIVÝCH A OSTATNÍCH LÁTEK</w:t>
      </w:r>
    </w:p>
    <w:p w:rsidR="005469FC" w:rsidRDefault="005469FC" w:rsidP="00545E57">
      <w:pPr>
        <w:shd w:val="clear" w:color="auto" w:fill="FFFFFF"/>
        <w:tabs>
          <w:tab w:val="left" w:leader="dot" w:pos="2597"/>
        </w:tabs>
        <w:spacing w:line="547" w:lineRule="exact"/>
        <w:ind w:left="62" w:right="5530"/>
        <w:rPr>
          <w:color w:val="000000"/>
        </w:rPr>
      </w:pPr>
      <w:r>
        <w:rPr>
          <w:color w:val="000000"/>
        </w:rPr>
        <w:t xml:space="preserve">1 </w:t>
      </w:r>
      <w:r w:rsidR="00545E57">
        <w:rPr>
          <w:color w:val="000000"/>
        </w:rPr>
        <w:t>ml obsahuje:</w:t>
      </w:r>
    </w:p>
    <w:p w:rsidR="005469FC" w:rsidRDefault="005469FC" w:rsidP="00114927">
      <w:pPr>
        <w:shd w:val="clear" w:color="auto" w:fill="FFFFFF"/>
        <w:tabs>
          <w:tab w:val="left" w:leader="dot" w:pos="2597"/>
        </w:tabs>
        <w:ind w:left="62" w:right="5528"/>
        <w:rPr>
          <w:color w:val="000000"/>
        </w:rPr>
      </w:pPr>
    </w:p>
    <w:p w:rsidR="00545E57" w:rsidRDefault="005469FC" w:rsidP="00114927">
      <w:pPr>
        <w:shd w:val="clear" w:color="auto" w:fill="FFFFFF"/>
        <w:tabs>
          <w:tab w:val="left" w:leader="dot" w:pos="2597"/>
        </w:tabs>
        <w:ind w:left="62" w:right="5528"/>
      </w:pPr>
      <w:r w:rsidRPr="00114927">
        <w:rPr>
          <w:b/>
          <w:color w:val="000000"/>
        </w:rPr>
        <w:t>Léčivá látka</w:t>
      </w:r>
      <w:r>
        <w:rPr>
          <w:color w:val="000000"/>
        </w:rPr>
        <w:t>:</w:t>
      </w:r>
      <w:r w:rsidR="00545E57">
        <w:rPr>
          <w:color w:val="000000"/>
        </w:rPr>
        <w:br/>
      </w:r>
      <w:proofErr w:type="spellStart"/>
      <w:r w:rsidR="00545E57">
        <w:rPr>
          <w:color w:val="000000"/>
          <w:spacing w:val="-1"/>
        </w:rPr>
        <w:t>Toltrazurilum</w:t>
      </w:r>
      <w:proofErr w:type="spellEnd"/>
      <w:r w:rsidR="00E6063E">
        <w:rPr>
          <w:color w:val="000000"/>
          <w:spacing w:val="-1"/>
        </w:rPr>
        <w:t>:</w:t>
      </w:r>
      <w:r w:rsidR="00545E57">
        <w:rPr>
          <w:color w:val="000000"/>
        </w:rPr>
        <w:t xml:space="preserve"> </w:t>
      </w:r>
      <w:r w:rsidR="001B61ED">
        <w:rPr>
          <w:color w:val="000000"/>
        </w:rPr>
        <w:t>…………..</w:t>
      </w:r>
      <w:r w:rsidR="00545E57">
        <w:rPr>
          <w:color w:val="000000"/>
          <w:spacing w:val="-3"/>
        </w:rPr>
        <w:t>50,0 mg</w:t>
      </w:r>
    </w:p>
    <w:p w:rsidR="00545E57" w:rsidRDefault="00545E57" w:rsidP="00545E57">
      <w:pPr>
        <w:shd w:val="clear" w:color="auto" w:fill="FFFFFF"/>
        <w:spacing w:before="10" w:line="547" w:lineRule="exact"/>
        <w:ind w:left="58"/>
      </w:pPr>
      <w:r>
        <w:rPr>
          <w:b/>
          <w:bCs/>
          <w:color w:val="000000"/>
          <w:spacing w:val="-2"/>
        </w:rPr>
        <w:t>Pomocné látky:</w:t>
      </w:r>
    </w:p>
    <w:p w:rsidR="00377282" w:rsidRPr="005469FC" w:rsidRDefault="00377282" w:rsidP="00377282">
      <w:pPr>
        <w:shd w:val="clear" w:color="auto" w:fill="FFFFFF"/>
        <w:tabs>
          <w:tab w:val="left" w:leader="dot" w:pos="2626"/>
        </w:tabs>
      </w:pPr>
      <w:r w:rsidRPr="00114927">
        <w:rPr>
          <w:color w:val="000000"/>
          <w:spacing w:val="-3"/>
        </w:rPr>
        <w:t>Natrium</w:t>
      </w:r>
      <w:r w:rsidR="005469FC" w:rsidRPr="00114927">
        <w:rPr>
          <w:color w:val="000000"/>
          <w:spacing w:val="-3"/>
        </w:rPr>
        <w:t>-</w:t>
      </w:r>
      <w:r w:rsidRPr="00114927">
        <w:rPr>
          <w:color w:val="000000"/>
          <w:spacing w:val="-3"/>
        </w:rPr>
        <w:t>benzoát</w:t>
      </w:r>
      <w:r w:rsidRPr="005469FC">
        <w:rPr>
          <w:color w:val="000000"/>
          <w:spacing w:val="-3"/>
        </w:rPr>
        <w:t xml:space="preserve"> (E211)</w:t>
      </w:r>
      <w:r w:rsidRPr="005469FC">
        <w:rPr>
          <w:color w:val="000000"/>
        </w:rPr>
        <w:tab/>
        <w:t xml:space="preserve"> </w:t>
      </w:r>
      <w:r w:rsidRPr="005469FC">
        <w:rPr>
          <w:color w:val="000000"/>
          <w:spacing w:val="-4"/>
        </w:rPr>
        <w:t>2,1 mg</w:t>
      </w:r>
    </w:p>
    <w:p w:rsidR="00377282" w:rsidRDefault="00377282" w:rsidP="00377282">
      <w:pPr>
        <w:shd w:val="clear" w:color="auto" w:fill="FFFFFF"/>
        <w:tabs>
          <w:tab w:val="left" w:leader="dot" w:pos="2626"/>
        </w:tabs>
        <w:rPr>
          <w:color w:val="000000"/>
          <w:spacing w:val="-4"/>
          <w:lang w:eastAsia="de-DE"/>
        </w:rPr>
      </w:pPr>
      <w:r w:rsidRPr="00114927">
        <w:rPr>
          <w:color w:val="000000"/>
          <w:spacing w:val="-5"/>
          <w:lang w:eastAsia="de-DE"/>
        </w:rPr>
        <w:t>Natrium</w:t>
      </w:r>
      <w:r w:rsidR="005469FC" w:rsidRPr="00114927">
        <w:rPr>
          <w:color w:val="000000"/>
          <w:spacing w:val="-5"/>
          <w:lang w:eastAsia="de-DE"/>
        </w:rPr>
        <w:t>-</w:t>
      </w:r>
      <w:r w:rsidRPr="00114927">
        <w:rPr>
          <w:color w:val="000000"/>
          <w:spacing w:val="-5"/>
          <w:lang w:eastAsia="de-DE"/>
        </w:rPr>
        <w:t>propionát</w:t>
      </w:r>
      <w:r w:rsidRPr="006A57F6">
        <w:rPr>
          <w:color w:val="000000"/>
          <w:spacing w:val="-5"/>
          <w:lang w:eastAsia="de-DE"/>
        </w:rPr>
        <w:t xml:space="preserve"> (E281)</w:t>
      </w:r>
      <w:r w:rsidRPr="006A57F6">
        <w:rPr>
          <w:color w:val="000000"/>
          <w:lang w:eastAsia="de-DE"/>
        </w:rPr>
        <w:tab/>
        <w:t xml:space="preserve"> </w:t>
      </w:r>
      <w:r w:rsidRPr="006A57F6">
        <w:rPr>
          <w:color w:val="000000"/>
          <w:spacing w:val="-4"/>
          <w:lang w:eastAsia="de-DE"/>
        </w:rPr>
        <w:t>2,1 mg</w:t>
      </w:r>
    </w:p>
    <w:p w:rsidR="00E6063E" w:rsidRDefault="00E6063E" w:rsidP="00377282">
      <w:pPr>
        <w:shd w:val="clear" w:color="auto" w:fill="FFFFFF"/>
        <w:tabs>
          <w:tab w:val="left" w:leader="dot" w:pos="2626"/>
        </w:tabs>
        <w:rPr>
          <w:color w:val="000000"/>
          <w:spacing w:val="-4"/>
          <w:lang w:eastAsia="de-DE"/>
        </w:rPr>
      </w:pPr>
    </w:p>
    <w:p w:rsidR="00E6063E" w:rsidRPr="006A57F6" w:rsidRDefault="00E6063E" w:rsidP="00377282">
      <w:pPr>
        <w:shd w:val="clear" w:color="auto" w:fill="FFFFFF"/>
        <w:tabs>
          <w:tab w:val="left" w:leader="dot" w:pos="2626"/>
        </w:tabs>
      </w:pPr>
      <w:r>
        <w:rPr>
          <w:color w:val="000000"/>
          <w:spacing w:val="-4"/>
          <w:lang w:eastAsia="de-DE"/>
        </w:rPr>
        <w:t>Bílá homogenní suspenze</w:t>
      </w:r>
    </w:p>
    <w:p w:rsidR="00545E57" w:rsidRDefault="00545E57" w:rsidP="00545E57">
      <w:pPr>
        <w:rPr>
          <w:b/>
        </w:rPr>
      </w:pPr>
    </w:p>
    <w:p w:rsidR="00545E57" w:rsidRDefault="00545E57" w:rsidP="00545E57">
      <w:pPr>
        <w:rPr>
          <w:b/>
        </w:rPr>
      </w:pPr>
      <w:r>
        <w:rPr>
          <w:b/>
        </w:rPr>
        <w:t>4.</w:t>
      </w:r>
      <w:r>
        <w:rPr>
          <w:b/>
        </w:rPr>
        <w:tab/>
        <w:t>INDIKACE</w:t>
      </w:r>
    </w:p>
    <w:p w:rsidR="00545E57" w:rsidRDefault="00545E57" w:rsidP="00545E57">
      <w:pPr>
        <w:rPr>
          <w:color w:val="008000"/>
        </w:rPr>
      </w:pPr>
    </w:p>
    <w:p w:rsidR="00B81F8E" w:rsidRPr="00114927" w:rsidRDefault="00B81F8E" w:rsidP="00545E57">
      <w:pPr>
        <w:rPr>
          <w:color w:val="008000"/>
          <w:u w:val="single"/>
        </w:rPr>
      </w:pPr>
      <w:r w:rsidRPr="00114927">
        <w:rPr>
          <w:color w:val="008000"/>
          <w:u w:val="single"/>
        </w:rPr>
        <w:t>Selata:</w:t>
      </w:r>
    </w:p>
    <w:p w:rsidR="00545E57" w:rsidRDefault="00545E57" w:rsidP="00545E57">
      <w:pPr>
        <w:rPr>
          <w:i/>
          <w:iCs/>
          <w:color w:val="000000"/>
        </w:rPr>
      </w:pPr>
      <w:r>
        <w:rPr>
          <w:color w:val="000000"/>
          <w:spacing w:val="-1"/>
        </w:rPr>
        <w:t>Prevence klinických příznaků kokcidiózy novorozených selat v</w:t>
      </w:r>
      <w:r w:rsidR="000C3DFF">
        <w:rPr>
          <w:color w:val="000000"/>
          <w:spacing w:val="-1"/>
        </w:rPr>
        <w:t> </w:t>
      </w:r>
      <w:r>
        <w:rPr>
          <w:color w:val="000000"/>
          <w:spacing w:val="-1"/>
        </w:rPr>
        <w:t>chovech</w:t>
      </w:r>
      <w:r w:rsidR="000C3DFF">
        <w:rPr>
          <w:color w:val="000000"/>
          <w:spacing w:val="-1"/>
        </w:rPr>
        <w:t>,</w:t>
      </w:r>
      <w:r>
        <w:rPr>
          <w:color w:val="000000"/>
          <w:spacing w:val="-1"/>
        </w:rPr>
        <w:t xml:space="preserve"> kde byl potvrzen </w:t>
      </w:r>
      <w:r>
        <w:rPr>
          <w:color w:val="000000"/>
        </w:rPr>
        <w:t xml:space="preserve">výskyt kokcidiózy způsobené </w:t>
      </w:r>
      <w:proofErr w:type="spellStart"/>
      <w:r>
        <w:rPr>
          <w:i/>
          <w:iCs/>
          <w:color w:val="000000"/>
        </w:rPr>
        <w:t>Isospora</w:t>
      </w:r>
      <w:proofErr w:type="spellEnd"/>
      <w:r>
        <w:rPr>
          <w:i/>
          <w:iCs/>
          <w:color w:val="000000"/>
        </w:rPr>
        <w:t xml:space="preserve"> </w:t>
      </w:r>
      <w:proofErr w:type="spellStart"/>
      <w:r w:rsidRPr="001C6B2F">
        <w:rPr>
          <w:i/>
          <w:iCs/>
          <w:color w:val="000000"/>
        </w:rPr>
        <w:t>suis</w:t>
      </w:r>
      <w:proofErr w:type="spellEnd"/>
      <w:r w:rsidRPr="001C6B2F">
        <w:rPr>
          <w:i/>
          <w:iCs/>
          <w:color w:val="000000"/>
        </w:rPr>
        <w:t>.</w:t>
      </w:r>
    </w:p>
    <w:p w:rsidR="00377282" w:rsidRPr="006A57F6" w:rsidRDefault="00377282" w:rsidP="00377282">
      <w:pPr>
        <w:shd w:val="clear" w:color="auto" w:fill="FFFFFF"/>
        <w:rPr>
          <w:iCs/>
          <w:color w:val="000000"/>
        </w:rPr>
      </w:pPr>
      <w:r w:rsidRPr="006A57F6">
        <w:rPr>
          <w:iCs/>
          <w:color w:val="000000"/>
        </w:rPr>
        <w:t>Telata:</w:t>
      </w:r>
    </w:p>
    <w:p w:rsidR="00377282" w:rsidRPr="006A57F6" w:rsidRDefault="00377282" w:rsidP="00377282">
      <w:pPr>
        <w:shd w:val="clear" w:color="auto" w:fill="FFFFFF"/>
      </w:pPr>
      <w:r w:rsidRPr="006A57F6">
        <w:t xml:space="preserve">Prevence klinických příznaků kokcidiózy a snížení </w:t>
      </w:r>
      <w:r>
        <w:t xml:space="preserve">vylučování </w:t>
      </w:r>
      <w:r w:rsidRPr="006A57F6">
        <w:t>kokcidií u</w:t>
      </w:r>
      <w:r>
        <w:t xml:space="preserve"> ustájených </w:t>
      </w:r>
      <w:r w:rsidRPr="006A57F6">
        <w:t xml:space="preserve">telat </w:t>
      </w:r>
      <w:r>
        <w:t xml:space="preserve">chovaných za účelem náhrady brakovaných dojnic mléčného skotu v hospodářstvích s  anamnézou </w:t>
      </w:r>
      <w:r w:rsidRPr="006A57F6">
        <w:t>potvrzen</w:t>
      </w:r>
      <w:r>
        <w:t xml:space="preserve">ého </w:t>
      </w:r>
      <w:r w:rsidRPr="006A57F6">
        <w:t>výskyt</w:t>
      </w:r>
      <w:r>
        <w:t>u</w:t>
      </w:r>
      <w:r w:rsidRPr="006A57F6">
        <w:t xml:space="preserve"> kokcid</w:t>
      </w:r>
      <w:r w:rsidR="00367CA9">
        <w:t>i</w:t>
      </w:r>
      <w:r w:rsidRPr="006A57F6">
        <w:t xml:space="preserve">ózy způsobené </w:t>
      </w:r>
      <w:proofErr w:type="spellStart"/>
      <w:r w:rsidRPr="00114927">
        <w:rPr>
          <w:i/>
        </w:rPr>
        <w:t>Eimeria</w:t>
      </w:r>
      <w:proofErr w:type="spellEnd"/>
      <w:r w:rsidRPr="00114927">
        <w:rPr>
          <w:i/>
        </w:rPr>
        <w:t xml:space="preserve"> </w:t>
      </w:r>
      <w:proofErr w:type="spellStart"/>
      <w:r w:rsidRPr="00114927">
        <w:rPr>
          <w:i/>
        </w:rPr>
        <w:t>bovis</w:t>
      </w:r>
      <w:proofErr w:type="spellEnd"/>
      <w:r w:rsidRPr="006A57F6">
        <w:t xml:space="preserve"> nebo </w:t>
      </w:r>
      <w:proofErr w:type="spellStart"/>
      <w:r w:rsidRPr="00114927">
        <w:rPr>
          <w:i/>
        </w:rPr>
        <w:t>Eimeria</w:t>
      </w:r>
      <w:proofErr w:type="spellEnd"/>
      <w:r w:rsidRPr="00114927">
        <w:rPr>
          <w:i/>
        </w:rPr>
        <w:t xml:space="preserve"> </w:t>
      </w:r>
      <w:proofErr w:type="spellStart"/>
      <w:r w:rsidRPr="00114927">
        <w:rPr>
          <w:i/>
        </w:rPr>
        <w:t>zuernii</w:t>
      </w:r>
      <w:proofErr w:type="spellEnd"/>
      <w:r w:rsidRPr="006A57F6">
        <w:t>.</w:t>
      </w:r>
    </w:p>
    <w:p w:rsidR="00B81F8E" w:rsidRPr="00114927" w:rsidRDefault="00B81F8E" w:rsidP="00545E57">
      <w:pPr>
        <w:rPr>
          <w:u w:val="single"/>
        </w:rPr>
      </w:pPr>
    </w:p>
    <w:p w:rsidR="00545E57" w:rsidRDefault="00545E57" w:rsidP="00545E57">
      <w:pPr>
        <w:rPr>
          <w:b/>
        </w:rPr>
      </w:pPr>
      <w:r>
        <w:rPr>
          <w:b/>
        </w:rPr>
        <w:t xml:space="preserve">5. </w:t>
      </w:r>
      <w:r>
        <w:rPr>
          <w:b/>
        </w:rPr>
        <w:tab/>
        <w:t>KONTRAINDIKACE</w:t>
      </w:r>
    </w:p>
    <w:p w:rsidR="00545E57" w:rsidRDefault="00545E57" w:rsidP="00545E57"/>
    <w:p w:rsidR="004C5738" w:rsidRDefault="004C5738" w:rsidP="004C5738">
      <w:pPr>
        <w:shd w:val="clear" w:color="auto" w:fill="FFFFFF"/>
        <w:tabs>
          <w:tab w:val="left" w:pos="682"/>
        </w:tabs>
        <w:rPr>
          <w:color w:val="000000"/>
          <w:spacing w:val="-7"/>
        </w:rPr>
      </w:pPr>
      <w:r w:rsidRPr="006A57F6">
        <w:rPr>
          <w:color w:val="000000"/>
          <w:spacing w:val="-7"/>
        </w:rPr>
        <w:t xml:space="preserve">Nepoužívat v případě </w:t>
      </w:r>
      <w:r>
        <w:t xml:space="preserve">známé </w:t>
      </w:r>
      <w:r w:rsidRPr="006A57F6">
        <w:rPr>
          <w:color w:val="000000"/>
          <w:spacing w:val="-7"/>
        </w:rPr>
        <w:t>přecitlivělosti na léčivou látku nebo na některou z pomocných látek.</w:t>
      </w:r>
    </w:p>
    <w:p w:rsidR="00043379" w:rsidRPr="006A57F6" w:rsidRDefault="00043379" w:rsidP="004C5738">
      <w:pPr>
        <w:shd w:val="clear" w:color="auto" w:fill="FFFFFF"/>
        <w:tabs>
          <w:tab w:val="left" w:pos="682"/>
        </w:tabs>
        <w:rPr>
          <w:color w:val="000000"/>
          <w:spacing w:val="-7"/>
        </w:rPr>
      </w:pPr>
    </w:p>
    <w:p w:rsidR="00377282" w:rsidRPr="006A57F6" w:rsidRDefault="00043379" w:rsidP="00377282">
      <w:pPr>
        <w:shd w:val="clear" w:color="auto" w:fill="FFFFFF"/>
        <w:tabs>
          <w:tab w:val="left" w:pos="682"/>
        </w:tabs>
        <w:rPr>
          <w:color w:val="000000"/>
          <w:spacing w:val="-7"/>
        </w:rPr>
      </w:pPr>
      <w:r>
        <w:t>Skot (z</w:t>
      </w:r>
      <w:r w:rsidR="00377282" w:rsidRPr="006A57F6">
        <w:rPr>
          <w:color w:val="000000"/>
          <w:spacing w:val="-7"/>
        </w:rPr>
        <w:t xml:space="preserve"> důvodů ochrany životního prostředí</w:t>
      </w:r>
      <w:r>
        <w:rPr>
          <w:color w:val="000000"/>
          <w:spacing w:val="-7"/>
        </w:rPr>
        <w:t>)</w:t>
      </w:r>
      <w:r w:rsidR="00377282" w:rsidRPr="006A57F6">
        <w:rPr>
          <w:color w:val="000000"/>
          <w:spacing w:val="-7"/>
        </w:rPr>
        <w:t>:</w:t>
      </w:r>
    </w:p>
    <w:p w:rsidR="00377282" w:rsidRPr="006A57F6" w:rsidRDefault="00377282" w:rsidP="00377282">
      <w:pPr>
        <w:shd w:val="clear" w:color="auto" w:fill="FFFFFF"/>
        <w:tabs>
          <w:tab w:val="left" w:pos="682"/>
        </w:tabs>
        <w:rPr>
          <w:color w:val="000000"/>
          <w:spacing w:val="-7"/>
        </w:rPr>
      </w:pPr>
      <w:r w:rsidRPr="006A57F6">
        <w:rPr>
          <w:color w:val="000000"/>
          <w:spacing w:val="-7"/>
        </w:rPr>
        <w:t xml:space="preserve">Nepoužívejte u telat o hmotnosti </w:t>
      </w:r>
      <w:r w:rsidR="00367CA9">
        <w:rPr>
          <w:color w:val="000000"/>
          <w:spacing w:val="-7"/>
        </w:rPr>
        <w:t>vyšší</w:t>
      </w:r>
      <w:r w:rsidR="00136B64">
        <w:rPr>
          <w:color w:val="000000"/>
          <w:spacing w:val="-7"/>
        </w:rPr>
        <w:t xml:space="preserve"> </w:t>
      </w:r>
      <w:r w:rsidRPr="006A57F6">
        <w:rPr>
          <w:color w:val="000000"/>
          <w:spacing w:val="-7"/>
        </w:rPr>
        <w:t xml:space="preserve">než </w:t>
      </w:r>
      <w:smartTag w:uri="urn:schemas-microsoft-com:office:smarttags" w:element="metricconverter">
        <w:smartTagPr>
          <w:attr w:name="ProductID" w:val="80 kg"/>
        </w:smartTagPr>
        <w:r w:rsidRPr="006A57F6">
          <w:rPr>
            <w:color w:val="000000"/>
            <w:spacing w:val="-7"/>
          </w:rPr>
          <w:t>80 kg</w:t>
        </w:r>
      </w:smartTag>
      <w:r w:rsidRPr="006A57F6">
        <w:rPr>
          <w:color w:val="000000"/>
          <w:spacing w:val="-7"/>
        </w:rPr>
        <w:t xml:space="preserve"> ž</w:t>
      </w:r>
      <w:r w:rsidR="00367CA9">
        <w:rPr>
          <w:color w:val="000000"/>
          <w:spacing w:val="-7"/>
        </w:rPr>
        <w:t>.</w:t>
      </w:r>
      <w:r w:rsidRPr="006A57F6">
        <w:rPr>
          <w:color w:val="000000"/>
          <w:spacing w:val="-7"/>
        </w:rPr>
        <w:t>hm</w:t>
      </w:r>
      <w:r w:rsidR="00367CA9">
        <w:rPr>
          <w:color w:val="000000"/>
          <w:spacing w:val="-7"/>
        </w:rPr>
        <w:t>.</w:t>
      </w:r>
      <w:r w:rsidRPr="006A57F6">
        <w:rPr>
          <w:color w:val="000000"/>
          <w:spacing w:val="-7"/>
        </w:rPr>
        <w:t>.</w:t>
      </w:r>
    </w:p>
    <w:p w:rsidR="00377282" w:rsidRPr="006A57F6" w:rsidRDefault="00377282" w:rsidP="00377282">
      <w:pPr>
        <w:shd w:val="clear" w:color="auto" w:fill="FFFFFF"/>
        <w:tabs>
          <w:tab w:val="left" w:pos="682"/>
        </w:tabs>
        <w:rPr>
          <w:color w:val="000000"/>
          <w:spacing w:val="-7"/>
        </w:rPr>
      </w:pPr>
      <w:r w:rsidRPr="006A57F6">
        <w:rPr>
          <w:color w:val="000000"/>
          <w:spacing w:val="-7"/>
        </w:rPr>
        <w:t xml:space="preserve">Nepoužívejte </w:t>
      </w:r>
      <w:r>
        <w:rPr>
          <w:color w:val="000000"/>
          <w:spacing w:val="-7"/>
        </w:rPr>
        <w:t xml:space="preserve">ve </w:t>
      </w:r>
      <w:r w:rsidRPr="006A57F6">
        <w:rPr>
          <w:color w:val="000000"/>
          <w:spacing w:val="-7"/>
        </w:rPr>
        <w:t xml:space="preserve">výkrmových </w:t>
      </w:r>
      <w:r>
        <w:rPr>
          <w:color w:val="000000"/>
          <w:spacing w:val="-7"/>
        </w:rPr>
        <w:t>chovech, jako jsou chovy určené k výkrmu telat nebo mladého skotu</w:t>
      </w:r>
      <w:r w:rsidR="004C5738">
        <w:rPr>
          <w:color w:val="000000"/>
          <w:spacing w:val="-7"/>
        </w:rPr>
        <w:t>.</w:t>
      </w:r>
    </w:p>
    <w:p w:rsidR="00377282" w:rsidRPr="006A57F6" w:rsidRDefault="00377282" w:rsidP="00377282">
      <w:pPr>
        <w:shd w:val="clear" w:color="auto" w:fill="FFFFFF"/>
        <w:tabs>
          <w:tab w:val="left" w:pos="682"/>
        </w:tabs>
        <w:rPr>
          <w:color w:val="000000"/>
          <w:spacing w:val="-7"/>
        </w:rPr>
      </w:pPr>
      <w:r w:rsidRPr="006A57F6">
        <w:rPr>
          <w:color w:val="000000"/>
          <w:spacing w:val="-7"/>
        </w:rPr>
        <w:t xml:space="preserve">Pro více informací, viz </w:t>
      </w:r>
      <w:r>
        <w:rPr>
          <w:color w:val="000000"/>
          <w:spacing w:val="-7"/>
        </w:rPr>
        <w:t xml:space="preserve">dále </w:t>
      </w:r>
      <w:r w:rsidRPr="006A57F6">
        <w:rPr>
          <w:color w:val="000000"/>
          <w:spacing w:val="-7"/>
        </w:rPr>
        <w:t>bod 4.5</w:t>
      </w:r>
      <w:r w:rsidR="004C5738">
        <w:rPr>
          <w:color w:val="000000"/>
          <w:spacing w:val="-7"/>
        </w:rPr>
        <w:t xml:space="preserve"> </w:t>
      </w:r>
      <w:r w:rsidRPr="006A57F6">
        <w:rPr>
          <w:color w:val="000000"/>
          <w:spacing w:val="-7"/>
        </w:rPr>
        <w:t xml:space="preserve"> jiná opatření a </w:t>
      </w:r>
      <w:r>
        <w:rPr>
          <w:color w:val="000000"/>
          <w:spacing w:val="-7"/>
        </w:rPr>
        <w:t xml:space="preserve">bod </w:t>
      </w:r>
      <w:r w:rsidRPr="006A57F6">
        <w:rPr>
          <w:color w:val="000000"/>
          <w:spacing w:val="-7"/>
        </w:rPr>
        <w:t>5</w:t>
      </w:r>
      <w:r w:rsidR="004C5738">
        <w:rPr>
          <w:color w:val="000000"/>
          <w:spacing w:val="-7"/>
        </w:rPr>
        <w:t xml:space="preserve"> </w:t>
      </w:r>
      <w:r>
        <w:rPr>
          <w:color w:val="000000"/>
          <w:spacing w:val="-7"/>
        </w:rPr>
        <w:t>rizika pro životní prostředí</w:t>
      </w:r>
      <w:r w:rsidRPr="006A57F6">
        <w:rPr>
          <w:color w:val="000000"/>
          <w:spacing w:val="-7"/>
        </w:rPr>
        <w:t>.</w:t>
      </w:r>
    </w:p>
    <w:p w:rsidR="00043379" w:rsidRDefault="00043379" w:rsidP="00545E57"/>
    <w:p w:rsidR="00043379" w:rsidRDefault="00043379" w:rsidP="00545E57"/>
    <w:p w:rsidR="00545E57" w:rsidRDefault="00545E57" w:rsidP="00545E57"/>
    <w:p w:rsidR="00545E57" w:rsidRDefault="00545E57" w:rsidP="00545E57">
      <w:r>
        <w:rPr>
          <w:b/>
        </w:rPr>
        <w:t>6.</w:t>
      </w:r>
      <w:r>
        <w:rPr>
          <w:b/>
        </w:rPr>
        <w:tab/>
        <w:t>NEŽÁDOUCÍ ÚČINKY</w:t>
      </w:r>
    </w:p>
    <w:p w:rsidR="00545E57" w:rsidRDefault="00545E57" w:rsidP="00545E57"/>
    <w:p w:rsidR="00545E57" w:rsidRDefault="00545E57" w:rsidP="00545E57">
      <w:pPr>
        <w:shd w:val="clear" w:color="auto" w:fill="FFFFFF"/>
      </w:pPr>
      <w:r>
        <w:rPr>
          <w:color w:val="000000"/>
          <w:spacing w:val="-1"/>
        </w:rPr>
        <w:t>Nejsou známy.</w:t>
      </w:r>
    </w:p>
    <w:p w:rsidR="00545E57" w:rsidRDefault="00545E57" w:rsidP="00545E57">
      <w:pPr>
        <w:shd w:val="clear" w:color="auto" w:fill="FFFFFF"/>
      </w:pPr>
      <w:r>
        <w:rPr>
          <w:color w:val="000000"/>
        </w:rPr>
        <w:t>Jestliže zaznamenáte jakékoliv závažné nežádoucí účinky či jiné reakce, které nejsou uvedeny</w:t>
      </w:r>
    </w:p>
    <w:p w:rsidR="00545E57" w:rsidRDefault="00545E57" w:rsidP="00545E57">
      <w:pPr>
        <w:shd w:val="clear" w:color="auto" w:fill="FFFFFF"/>
        <w:ind w:left="14"/>
      </w:pPr>
      <w:r>
        <w:rPr>
          <w:color w:val="000000"/>
        </w:rPr>
        <w:t>v této příbalové informaci, oznamte to prosím vašemu veterinárnímu lékaři.</w:t>
      </w:r>
    </w:p>
    <w:p w:rsidR="00545E57" w:rsidRDefault="00545E57" w:rsidP="00545E57"/>
    <w:p w:rsidR="00545E57" w:rsidRDefault="00545E57" w:rsidP="00545E57"/>
    <w:p w:rsidR="00545E57" w:rsidRDefault="00545E57" w:rsidP="00545E57">
      <w:r>
        <w:rPr>
          <w:b/>
        </w:rPr>
        <w:t>7.</w:t>
      </w:r>
      <w:r>
        <w:rPr>
          <w:b/>
        </w:rPr>
        <w:tab/>
        <w:t>CÍLOVÝ DRUH ZVÍŘAT</w:t>
      </w:r>
    </w:p>
    <w:p w:rsidR="00545E57" w:rsidRDefault="00545E57" w:rsidP="00545E57">
      <w:pPr>
        <w:rPr>
          <w:i/>
          <w:color w:val="008000"/>
        </w:rPr>
      </w:pPr>
    </w:p>
    <w:p w:rsidR="004C5738" w:rsidRPr="00702AD1" w:rsidRDefault="00A66340" w:rsidP="004C5738">
      <w:r>
        <w:t xml:space="preserve">Prasata </w:t>
      </w:r>
      <w:r w:rsidR="004C5738" w:rsidRPr="00702AD1">
        <w:t>(</w:t>
      </w:r>
      <w:r>
        <w:t xml:space="preserve">selata ve stáří </w:t>
      </w:r>
      <w:r w:rsidR="004C5738" w:rsidRPr="00702AD1">
        <w:t>3-5 dnů)</w:t>
      </w:r>
    </w:p>
    <w:p w:rsidR="004C5738" w:rsidRDefault="00A66340" w:rsidP="00545E57">
      <w:pPr>
        <w:rPr>
          <w:color w:val="222222"/>
        </w:rPr>
      </w:pPr>
      <w:r>
        <w:t>Skot</w:t>
      </w:r>
      <w:r w:rsidR="004C5738" w:rsidRPr="00702AD1">
        <w:t xml:space="preserve"> </w:t>
      </w:r>
      <w:r w:rsidR="004C5738" w:rsidRPr="00702AD1">
        <w:rPr>
          <w:rStyle w:val="hps"/>
          <w:color w:val="222222"/>
        </w:rPr>
        <w:t>(telata</w:t>
      </w:r>
      <w:r w:rsidR="004C5738" w:rsidRPr="00702AD1">
        <w:rPr>
          <w:color w:val="222222"/>
        </w:rPr>
        <w:t xml:space="preserve"> </w:t>
      </w:r>
      <w:r w:rsidR="004C5738" w:rsidRPr="00702AD1">
        <w:rPr>
          <w:rStyle w:val="hps"/>
          <w:color w:val="222222"/>
        </w:rPr>
        <w:t>na</w:t>
      </w:r>
      <w:r w:rsidR="004C5738" w:rsidRPr="00702AD1">
        <w:rPr>
          <w:color w:val="222222"/>
        </w:rPr>
        <w:t xml:space="preserve"> </w:t>
      </w:r>
      <w:r w:rsidR="004C5738" w:rsidRPr="00702AD1">
        <w:rPr>
          <w:rStyle w:val="hps"/>
          <w:color w:val="222222"/>
        </w:rPr>
        <w:t>mléčn</w:t>
      </w:r>
      <w:r>
        <w:rPr>
          <w:rStyle w:val="hps"/>
          <w:color w:val="222222"/>
        </w:rPr>
        <w:t>ých</w:t>
      </w:r>
      <w:r w:rsidR="004C5738" w:rsidRPr="00702AD1">
        <w:rPr>
          <w:rStyle w:val="hps"/>
          <w:color w:val="222222"/>
        </w:rPr>
        <w:t xml:space="preserve"> farm</w:t>
      </w:r>
      <w:r>
        <w:rPr>
          <w:rStyle w:val="hps"/>
          <w:color w:val="222222"/>
        </w:rPr>
        <w:t>ách</w:t>
      </w:r>
      <w:r>
        <w:rPr>
          <w:color w:val="222222"/>
        </w:rPr>
        <w:t>)</w:t>
      </w:r>
    </w:p>
    <w:p w:rsidR="00545E57" w:rsidRDefault="00545E57" w:rsidP="00545E57">
      <w:pPr>
        <w:rPr>
          <w:b/>
        </w:rPr>
      </w:pPr>
    </w:p>
    <w:p w:rsidR="00545E57" w:rsidRDefault="00545E57" w:rsidP="00545E57">
      <w:r>
        <w:rPr>
          <w:b/>
        </w:rPr>
        <w:t>8.</w:t>
      </w:r>
      <w:r>
        <w:rPr>
          <w:b/>
        </w:rPr>
        <w:tab/>
        <w:t>DÁVKOVÁNÍ PRO KAŽDÝ DRUH, CESTA(Y) A ZPŮSOB PODÁNÍ</w:t>
      </w:r>
    </w:p>
    <w:p w:rsidR="00545E57" w:rsidRDefault="00545E57" w:rsidP="00545E57"/>
    <w:p w:rsidR="00545E57" w:rsidRDefault="00545E57" w:rsidP="00545E57">
      <w:pPr>
        <w:rPr>
          <w:color w:val="000000"/>
          <w:spacing w:val="-2"/>
        </w:rPr>
      </w:pPr>
      <w:r>
        <w:rPr>
          <w:color w:val="000000"/>
          <w:spacing w:val="-2"/>
        </w:rPr>
        <w:t>Perorální použití.</w:t>
      </w:r>
    </w:p>
    <w:p w:rsidR="004C5738" w:rsidRPr="006A57F6" w:rsidRDefault="004C5738" w:rsidP="004C5738">
      <w:pPr>
        <w:shd w:val="clear" w:color="auto" w:fill="FFFFFF"/>
      </w:pPr>
      <w:r w:rsidRPr="006A57F6">
        <w:rPr>
          <w:color w:val="000000"/>
          <w:spacing w:val="-3"/>
        </w:rPr>
        <w:t xml:space="preserve">Suspenze musí být před použitím </w:t>
      </w:r>
      <w:r w:rsidR="00043379">
        <w:rPr>
          <w:color w:val="000000"/>
          <w:spacing w:val="-3"/>
        </w:rPr>
        <w:t xml:space="preserve">dobře </w:t>
      </w:r>
      <w:r w:rsidRPr="006A57F6">
        <w:rPr>
          <w:color w:val="000000"/>
          <w:spacing w:val="-3"/>
        </w:rPr>
        <w:t>protřepána.</w:t>
      </w:r>
    </w:p>
    <w:p w:rsidR="004C5738" w:rsidRDefault="004C5738" w:rsidP="00545E57">
      <w:pPr>
        <w:rPr>
          <w:color w:val="000000"/>
          <w:spacing w:val="-2"/>
        </w:rPr>
      </w:pPr>
    </w:p>
    <w:p w:rsidR="00B81F8E" w:rsidRDefault="00B81F8E" w:rsidP="00545E57">
      <w:pPr>
        <w:rPr>
          <w:color w:val="000000"/>
          <w:spacing w:val="-2"/>
        </w:rPr>
      </w:pPr>
      <w:r>
        <w:rPr>
          <w:color w:val="000000"/>
          <w:spacing w:val="-2"/>
        </w:rPr>
        <w:t>Selata:</w:t>
      </w:r>
    </w:p>
    <w:p w:rsidR="00545E57" w:rsidRDefault="00545E57" w:rsidP="00545E57">
      <w:pPr>
        <w:shd w:val="clear" w:color="auto" w:fill="FFFFFF"/>
        <w:spacing w:line="274" w:lineRule="exact"/>
      </w:pPr>
      <w:r>
        <w:rPr>
          <w:color w:val="000000"/>
          <w:spacing w:val="-2"/>
        </w:rPr>
        <w:t>K individuální léčbě.</w:t>
      </w:r>
    </w:p>
    <w:p w:rsidR="00545E57" w:rsidRDefault="00545E57" w:rsidP="00043379">
      <w:pPr>
        <w:shd w:val="clear" w:color="auto" w:fill="FFFFFF"/>
        <w:spacing w:line="274" w:lineRule="exact"/>
      </w:pPr>
      <w:r>
        <w:rPr>
          <w:color w:val="000000"/>
        </w:rPr>
        <w:t>Každé sele by mělo být léčeno 3.- 5. den po narození jednorázovou perorální dávkou</w:t>
      </w:r>
    </w:p>
    <w:p w:rsidR="00545E57" w:rsidRDefault="00545E57" w:rsidP="00043379">
      <w:pPr>
        <w:shd w:val="clear" w:color="auto" w:fill="FFFFFF"/>
        <w:spacing w:line="274" w:lineRule="exact"/>
      </w:pPr>
      <w:r>
        <w:rPr>
          <w:color w:val="000000"/>
        </w:rPr>
        <w:t xml:space="preserve">v množství 20 mg </w:t>
      </w:r>
      <w:proofErr w:type="spellStart"/>
      <w:r>
        <w:rPr>
          <w:color w:val="000000"/>
        </w:rPr>
        <w:t>totrazurilu</w:t>
      </w:r>
      <w:proofErr w:type="spellEnd"/>
      <w:r>
        <w:rPr>
          <w:color w:val="000000"/>
        </w:rPr>
        <w:t>/kg živé hmotnosti, což odpovídá 0,4 ml perorální suspenze na</w:t>
      </w:r>
    </w:p>
    <w:p w:rsidR="00545E57" w:rsidRDefault="00545E57" w:rsidP="00043379">
      <w:pPr>
        <w:shd w:val="clear" w:color="auto" w:fill="FFFFFF"/>
        <w:spacing w:line="274" w:lineRule="exact"/>
      </w:pPr>
      <w:r>
        <w:rPr>
          <w:color w:val="000000"/>
          <w:spacing w:val="-2"/>
        </w:rPr>
        <w:t>kg živé hmotnosti.</w:t>
      </w:r>
    </w:p>
    <w:p w:rsidR="00545E57" w:rsidRDefault="00545E57" w:rsidP="00043379">
      <w:pPr>
        <w:shd w:val="clear" w:color="auto" w:fill="FFFFFF"/>
        <w:spacing w:line="274" w:lineRule="exact"/>
      </w:pPr>
      <w:r>
        <w:rPr>
          <w:color w:val="000000"/>
        </w:rPr>
        <w:t>Léčba již probíhajícího onemocnění může mít u jednotlivých selat omezený účinek, protože</w:t>
      </w:r>
    </w:p>
    <w:p w:rsidR="009254A8" w:rsidRDefault="00545E57" w:rsidP="00545E57">
      <w:pPr>
        <w:rPr>
          <w:color w:val="000000"/>
        </w:rPr>
      </w:pPr>
      <w:r>
        <w:rPr>
          <w:color w:val="000000"/>
        </w:rPr>
        <w:t>již došlo k poškození tenkého střeva</w:t>
      </w:r>
    </w:p>
    <w:p w:rsidR="00545E57" w:rsidRPr="00043379" w:rsidRDefault="009254A8" w:rsidP="00545E57">
      <w:pPr>
        <w:rPr>
          <w:color w:val="000000"/>
        </w:rPr>
      </w:pPr>
      <w:r w:rsidRPr="00043379">
        <w:rPr>
          <w:color w:val="222222"/>
          <w:lang w:eastAsia="sk-SK"/>
        </w:rPr>
        <w:t>Vzhledem k malým objemům dávky potřebných k léčbě jednotlivých selat se doporučuje použití dávkovacího zařízení s přesností 0,1 ml</w:t>
      </w:r>
      <w:r w:rsidR="00545E57" w:rsidRPr="00043379">
        <w:rPr>
          <w:color w:val="000000"/>
        </w:rPr>
        <w:t>.</w:t>
      </w:r>
    </w:p>
    <w:p w:rsidR="009254A8" w:rsidRDefault="009254A8" w:rsidP="00545E57">
      <w:pPr>
        <w:rPr>
          <w:color w:val="000000"/>
        </w:rPr>
      </w:pPr>
    </w:p>
    <w:p w:rsidR="008841D8" w:rsidRPr="006A57F6" w:rsidRDefault="008841D8" w:rsidP="008841D8">
      <w:pPr>
        <w:shd w:val="clear" w:color="auto" w:fill="FFFFFF"/>
        <w:rPr>
          <w:color w:val="000000"/>
          <w:spacing w:val="-3"/>
        </w:rPr>
      </w:pPr>
      <w:r w:rsidRPr="006A57F6">
        <w:rPr>
          <w:color w:val="000000"/>
          <w:spacing w:val="-3"/>
        </w:rPr>
        <w:t>Telata:</w:t>
      </w:r>
    </w:p>
    <w:p w:rsidR="008841D8" w:rsidRPr="006A57F6" w:rsidRDefault="008841D8" w:rsidP="008841D8">
      <w:pPr>
        <w:shd w:val="clear" w:color="auto" w:fill="FFFFFF"/>
      </w:pPr>
      <w:r>
        <w:t xml:space="preserve">Každé tele by mělo být léčeno jednorázovou </w:t>
      </w:r>
      <w:r w:rsidRPr="006A57F6">
        <w:t>perorální dávk</w:t>
      </w:r>
      <w:r>
        <w:t>ou</w:t>
      </w:r>
      <w:r w:rsidRPr="006A57F6">
        <w:t xml:space="preserve"> 15 mg </w:t>
      </w:r>
      <w:proofErr w:type="spellStart"/>
      <w:r w:rsidRPr="006A57F6">
        <w:t>toltrazurilu</w:t>
      </w:r>
      <w:proofErr w:type="spellEnd"/>
      <w:r w:rsidRPr="006A57F6">
        <w:t xml:space="preserve"> / kg ž</w:t>
      </w:r>
      <w:r>
        <w:t>.</w:t>
      </w:r>
      <w:r w:rsidRPr="006A57F6">
        <w:t xml:space="preserve"> hm</w:t>
      </w:r>
      <w:r>
        <w:t>.</w:t>
      </w:r>
      <w:r w:rsidRPr="006A57F6">
        <w:t xml:space="preserve">, což odpovídá 3 ml perorální suspenze na </w:t>
      </w:r>
      <w:smartTag w:uri="urn:schemas-microsoft-com:office:smarttags" w:element="metricconverter">
        <w:smartTagPr>
          <w:attr w:name="ProductID" w:val="10 kg"/>
        </w:smartTagPr>
        <w:r w:rsidRPr="006A57F6">
          <w:t>10 kg</w:t>
        </w:r>
      </w:smartTag>
      <w:r w:rsidRPr="006A57F6">
        <w:t xml:space="preserve"> ž</w:t>
      </w:r>
      <w:r>
        <w:t>.</w:t>
      </w:r>
      <w:r w:rsidRPr="006A57F6">
        <w:t xml:space="preserve"> hm</w:t>
      </w:r>
      <w:r>
        <w:t>.</w:t>
      </w:r>
      <w:r w:rsidRPr="006A57F6">
        <w:t>.</w:t>
      </w:r>
    </w:p>
    <w:p w:rsidR="008841D8" w:rsidRPr="006A57F6" w:rsidRDefault="008841D8" w:rsidP="008841D8">
      <w:pPr>
        <w:shd w:val="clear" w:color="auto" w:fill="FFFFFF"/>
      </w:pPr>
      <w:r w:rsidRPr="006A57F6">
        <w:t>Pro léčbu skupiny zvířat stejného plemene a</w:t>
      </w:r>
      <w:r>
        <w:t> </w:t>
      </w:r>
      <w:r w:rsidRPr="006A57F6">
        <w:t>stejn</w:t>
      </w:r>
      <w:r>
        <w:t xml:space="preserve">ého </w:t>
      </w:r>
      <w:r w:rsidRPr="006A57F6">
        <w:t>nebo podobn</w:t>
      </w:r>
      <w:r>
        <w:t>ého stáří</w:t>
      </w:r>
      <w:r w:rsidRPr="006A57F6">
        <w:t xml:space="preserve"> by dávkování mělo být upraveno podle nejtěžšího zvířete této skupiny.</w:t>
      </w:r>
    </w:p>
    <w:p w:rsidR="008841D8" w:rsidRPr="006A57F6" w:rsidRDefault="008841D8" w:rsidP="008841D8">
      <w:pPr>
        <w:shd w:val="clear" w:color="auto" w:fill="FFFFFF"/>
      </w:pPr>
      <w:r w:rsidRPr="006A57F6">
        <w:t>Pro zajištění podání správné dávky, by měla být hmotnost stanovena co nejpřesněji.</w:t>
      </w:r>
    </w:p>
    <w:p w:rsidR="008841D8" w:rsidRPr="006A57F6" w:rsidRDefault="008841D8" w:rsidP="008841D8">
      <w:pPr>
        <w:shd w:val="clear" w:color="auto" w:fill="FFFFFF"/>
      </w:pPr>
    </w:p>
    <w:p w:rsidR="00545E57" w:rsidRDefault="00A66340" w:rsidP="00114927">
      <w:pPr>
        <w:tabs>
          <w:tab w:val="left" w:pos="2185"/>
        </w:tabs>
        <w:rPr>
          <w:b/>
        </w:rPr>
      </w:pPr>
      <w:r>
        <w:rPr>
          <w:b/>
        </w:rPr>
        <w:tab/>
      </w:r>
    </w:p>
    <w:p w:rsidR="00545E57" w:rsidRDefault="00545E57" w:rsidP="00545E57">
      <w:r>
        <w:rPr>
          <w:b/>
        </w:rPr>
        <w:t>9.</w:t>
      </w:r>
      <w:r>
        <w:rPr>
          <w:b/>
        </w:rPr>
        <w:tab/>
        <w:t>POKYNY PRO SPRÁVNÉ PODÁNÍ</w:t>
      </w:r>
    </w:p>
    <w:p w:rsidR="00545E57" w:rsidRDefault="00545E57" w:rsidP="00545E57"/>
    <w:p w:rsidR="00545E57" w:rsidRDefault="00545E57" w:rsidP="00545E57"/>
    <w:p w:rsidR="00545E57" w:rsidRDefault="00545E57" w:rsidP="00545E57">
      <w:r>
        <w:rPr>
          <w:b/>
        </w:rPr>
        <w:t>10.</w:t>
      </w:r>
      <w:r>
        <w:rPr>
          <w:b/>
        </w:rPr>
        <w:tab/>
        <w:t xml:space="preserve">OCHRANNÁ LHŮTA </w:t>
      </w:r>
    </w:p>
    <w:p w:rsidR="00545E57" w:rsidRDefault="00545E57" w:rsidP="00545E57"/>
    <w:p w:rsidR="009254A8" w:rsidRDefault="009254A8" w:rsidP="00545E57">
      <w:pPr>
        <w:rPr>
          <w:color w:val="000000"/>
        </w:rPr>
      </w:pPr>
      <w:r w:rsidRPr="009254A8">
        <w:rPr>
          <w:color w:val="000000"/>
        </w:rPr>
        <w:t>Maso:</w:t>
      </w:r>
    </w:p>
    <w:p w:rsidR="00545E57" w:rsidRDefault="00B81F8E" w:rsidP="00545E57">
      <w:r>
        <w:rPr>
          <w:color w:val="000000"/>
        </w:rPr>
        <w:t>Prasata (selata):</w:t>
      </w:r>
      <w:r w:rsidR="00545E57">
        <w:rPr>
          <w:color w:val="000000"/>
        </w:rPr>
        <w:t>77 dnů</w:t>
      </w:r>
    </w:p>
    <w:p w:rsidR="00545E57" w:rsidRDefault="00B81F8E" w:rsidP="00545E57">
      <w:pPr>
        <w:rPr>
          <w:iCs/>
        </w:rPr>
      </w:pPr>
      <w:r>
        <w:rPr>
          <w:iCs/>
        </w:rPr>
        <w:t>Skot (telata)</w:t>
      </w:r>
      <w:r w:rsidR="0070307E">
        <w:rPr>
          <w:iCs/>
        </w:rPr>
        <w:t>: 63 dnů</w:t>
      </w:r>
    </w:p>
    <w:p w:rsidR="008841D8" w:rsidRPr="006A57F6" w:rsidRDefault="008841D8" w:rsidP="008841D8">
      <w:pPr>
        <w:shd w:val="clear" w:color="auto" w:fill="FFFFFF"/>
        <w:tabs>
          <w:tab w:val="left" w:pos="6168"/>
          <w:tab w:val="left" w:pos="7128"/>
          <w:tab w:val="left" w:pos="7800"/>
        </w:tabs>
        <w:rPr>
          <w:color w:val="000000"/>
        </w:rPr>
      </w:pPr>
      <w:r w:rsidRPr="006A57F6">
        <w:rPr>
          <w:color w:val="000000"/>
        </w:rPr>
        <w:t>Nepoužívat u zvířat</w:t>
      </w:r>
      <w:r w:rsidR="00386691">
        <w:rPr>
          <w:color w:val="000000"/>
        </w:rPr>
        <w:t>, jejichž mléko je určeno</w:t>
      </w:r>
      <w:r w:rsidRPr="006A57F6">
        <w:rPr>
          <w:color w:val="000000"/>
        </w:rPr>
        <w:t xml:space="preserve"> pro lidsk</w:t>
      </w:r>
      <w:r>
        <w:rPr>
          <w:color w:val="000000"/>
        </w:rPr>
        <w:t>ou spotřebu</w:t>
      </w:r>
      <w:r w:rsidRPr="006A57F6">
        <w:rPr>
          <w:color w:val="000000"/>
        </w:rPr>
        <w:t>.</w:t>
      </w:r>
    </w:p>
    <w:p w:rsidR="0070307E" w:rsidRPr="0070307E" w:rsidRDefault="0070307E" w:rsidP="00545E57">
      <w:pPr>
        <w:rPr>
          <w:iCs/>
        </w:rPr>
      </w:pPr>
    </w:p>
    <w:p w:rsidR="00545E57" w:rsidRDefault="00545E57" w:rsidP="00545E57">
      <w:r>
        <w:rPr>
          <w:b/>
        </w:rPr>
        <w:t>11.</w:t>
      </w:r>
      <w:r>
        <w:rPr>
          <w:b/>
        </w:rPr>
        <w:tab/>
        <w:t>ZVLÁŠTNÍ OPATŘENÍ PRO UCHOVÁVÁNÍ</w:t>
      </w:r>
    </w:p>
    <w:p w:rsidR="00545E57" w:rsidRDefault="00545E57" w:rsidP="00545E57"/>
    <w:p w:rsidR="005469FC" w:rsidRDefault="005469FC" w:rsidP="00545E57">
      <w:pPr>
        <w:shd w:val="clear" w:color="auto" w:fill="FFFFFF"/>
        <w:spacing w:line="552" w:lineRule="exact"/>
        <w:ind w:left="58"/>
        <w:rPr>
          <w:color w:val="000000"/>
        </w:rPr>
      </w:pPr>
      <w:r>
        <w:rPr>
          <w:color w:val="000000"/>
        </w:rPr>
        <w:t>Uchovávat mimo dosah dětí.</w:t>
      </w:r>
    </w:p>
    <w:p w:rsidR="008841D8" w:rsidRDefault="00545E57" w:rsidP="00D74831">
      <w:pPr>
        <w:shd w:val="clear" w:color="auto" w:fill="FFFFFF"/>
        <w:spacing w:before="274" w:line="274" w:lineRule="exact"/>
        <w:ind w:left="48" w:right="10"/>
        <w:rPr>
          <w:color w:val="000000"/>
          <w:spacing w:val="-1"/>
        </w:rPr>
      </w:pPr>
      <w:r>
        <w:rPr>
          <w:color w:val="000000"/>
          <w:spacing w:val="-1"/>
        </w:rPr>
        <w:lastRenderedPageBreak/>
        <w:t xml:space="preserve">Nepoužívejte </w:t>
      </w:r>
      <w:r w:rsidR="008841D8">
        <w:rPr>
          <w:color w:val="000000"/>
          <w:spacing w:val="-1"/>
        </w:rPr>
        <w:t xml:space="preserve">tento veterinární léčivý přípravek </w:t>
      </w:r>
      <w:r>
        <w:rPr>
          <w:color w:val="000000"/>
          <w:spacing w:val="-1"/>
        </w:rPr>
        <w:t>po uplynutí doby</w:t>
      </w:r>
      <w:r w:rsidR="005469FC">
        <w:rPr>
          <w:color w:val="000000"/>
          <w:spacing w:val="-1"/>
        </w:rPr>
        <w:t xml:space="preserve"> </w:t>
      </w:r>
      <w:r>
        <w:rPr>
          <w:color w:val="000000"/>
          <w:spacing w:val="-1"/>
        </w:rPr>
        <w:t>použitelnosti uvedené na etiketě</w:t>
      </w:r>
      <w:r w:rsidR="005469FC">
        <w:rPr>
          <w:color w:val="000000"/>
          <w:spacing w:val="-1"/>
        </w:rPr>
        <w:t xml:space="preserve"> </w:t>
      </w:r>
      <w:r w:rsidR="005469FC" w:rsidRPr="00A66340">
        <w:rPr>
          <w:color w:val="000000"/>
          <w:spacing w:val="-1"/>
        </w:rPr>
        <w:t>po EXP</w:t>
      </w:r>
      <w:r w:rsidR="008841D8" w:rsidRPr="00A66340">
        <w:rPr>
          <w:color w:val="000000"/>
          <w:spacing w:val="-1"/>
        </w:rPr>
        <w:t>.</w:t>
      </w:r>
      <w:r w:rsidR="009254A8">
        <w:rPr>
          <w:color w:val="000000"/>
          <w:spacing w:val="-1"/>
        </w:rPr>
        <w:t xml:space="preserve"> </w:t>
      </w:r>
      <w:r w:rsidR="009254A8" w:rsidRPr="009254A8">
        <w:rPr>
          <w:color w:val="000000"/>
          <w:spacing w:val="-1"/>
        </w:rPr>
        <w:t xml:space="preserve">Doba použitelnosti </w:t>
      </w:r>
      <w:r w:rsidR="00E65CDC">
        <w:rPr>
          <w:color w:val="000000"/>
          <w:spacing w:val="-1"/>
        </w:rPr>
        <w:t>končí</w:t>
      </w:r>
      <w:r w:rsidR="009254A8" w:rsidRPr="009254A8">
        <w:rPr>
          <w:color w:val="000000"/>
          <w:spacing w:val="-1"/>
        </w:rPr>
        <w:t xml:space="preserve"> posledním dn</w:t>
      </w:r>
      <w:r w:rsidR="00E65CDC">
        <w:rPr>
          <w:color w:val="000000"/>
          <w:spacing w:val="-1"/>
        </w:rPr>
        <w:t>em</w:t>
      </w:r>
      <w:r w:rsidR="009254A8" w:rsidRPr="009254A8">
        <w:rPr>
          <w:color w:val="000000"/>
          <w:spacing w:val="-1"/>
        </w:rPr>
        <w:t xml:space="preserve"> </w:t>
      </w:r>
      <w:r w:rsidR="00E65CDC">
        <w:rPr>
          <w:color w:val="000000"/>
          <w:spacing w:val="-1"/>
        </w:rPr>
        <w:t xml:space="preserve">v </w:t>
      </w:r>
      <w:r w:rsidR="009254A8" w:rsidRPr="009254A8">
        <w:rPr>
          <w:color w:val="000000"/>
          <w:spacing w:val="-1"/>
        </w:rPr>
        <w:t>uvedené</w:t>
      </w:r>
      <w:r w:rsidR="00E65CDC">
        <w:rPr>
          <w:color w:val="000000"/>
          <w:spacing w:val="-1"/>
        </w:rPr>
        <w:t>m</w:t>
      </w:r>
      <w:r w:rsidR="009254A8" w:rsidRPr="009254A8">
        <w:rPr>
          <w:color w:val="000000"/>
          <w:spacing w:val="-1"/>
        </w:rPr>
        <w:t xml:space="preserve"> měsíc</w:t>
      </w:r>
      <w:r w:rsidR="00ED3950">
        <w:rPr>
          <w:color w:val="000000"/>
          <w:spacing w:val="-1"/>
        </w:rPr>
        <w:t>i</w:t>
      </w:r>
      <w:r w:rsidR="009254A8" w:rsidRPr="009254A8">
        <w:rPr>
          <w:color w:val="000000"/>
          <w:spacing w:val="-1"/>
        </w:rPr>
        <w:t>.</w:t>
      </w:r>
    </w:p>
    <w:p w:rsidR="009254A8" w:rsidRDefault="009254A8" w:rsidP="00D74831">
      <w:pPr>
        <w:shd w:val="clear" w:color="auto" w:fill="FFFFFF"/>
        <w:spacing w:line="552" w:lineRule="exact"/>
        <w:ind w:left="58" w:right="10"/>
      </w:pPr>
      <w:r>
        <w:rPr>
          <w:color w:val="000000"/>
        </w:rPr>
        <w:t>Doba použitelnosti po prvním otevření vnitřního obalu: 6 měsíců.</w:t>
      </w:r>
    </w:p>
    <w:p w:rsidR="00545E57" w:rsidRDefault="008841D8" w:rsidP="00D74831">
      <w:pPr>
        <w:shd w:val="clear" w:color="auto" w:fill="FFFFFF"/>
        <w:spacing w:before="274" w:line="274" w:lineRule="exact"/>
        <w:ind w:left="48" w:right="10"/>
      </w:pPr>
      <w:r>
        <w:rPr>
          <w:color w:val="000000"/>
          <w:spacing w:val="-1"/>
        </w:rPr>
        <w:t>Tento veterinární léčivý přípravek nevyžaduje žádné zvláštní podmínky uchovávání.</w:t>
      </w:r>
      <w:r w:rsidR="00545E57">
        <w:rPr>
          <w:color w:val="000000"/>
        </w:rPr>
        <w:t xml:space="preserve"> </w:t>
      </w:r>
    </w:p>
    <w:p w:rsidR="00545E57" w:rsidRDefault="00545E57" w:rsidP="00D74831">
      <w:pPr>
        <w:ind w:right="10"/>
      </w:pPr>
    </w:p>
    <w:p w:rsidR="00545E57" w:rsidRDefault="00545E57" w:rsidP="00545E57">
      <w:pPr>
        <w:rPr>
          <w:b/>
        </w:rPr>
      </w:pPr>
      <w:r>
        <w:rPr>
          <w:b/>
        </w:rPr>
        <w:t>12.</w:t>
      </w:r>
      <w:r>
        <w:rPr>
          <w:b/>
        </w:rPr>
        <w:tab/>
        <w:t>ZVLÁŠTNÍ UPOZORNĚNÍ</w:t>
      </w:r>
    </w:p>
    <w:p w:rsidR="00545E57" w:rsidRDefault="00545E57" w:rsidP="00545E57"/>
    <w:p w:rsidR="00545E57" w:rsidRDefault="00545E57" w:rsidP="00545E57">
      <w:pPr>
        <w:shd w:val="clear" w:color="auto" w:fill="FFFFFF"/>
        <w:spacing w:before="5" w:line="274" w:lineRule="exact"/>
        <w:ind w:left="34"/>
      </w:pPr>
      <w:r>
        <w:rPr>
          <w:b/>
          <w:bCs/>
          <w:color w:val="000000"/>
        </w:rPr>
        <w:t>Zvláštní upozornění pro každý cílový druh</w:t>
      </w:r>
    </w:p>
    <w:p w:rsidR="008841D8" w:rsidRPr="006A57F6" w:rsidRDefault="008841D8" w:rsidP="008841D8">
      <w:pPr>
        <w:shd w:val="clear" w:color="auto" w:fill="FFFFFF"/>
      </w:pPr>
      <w:r w:rsidRPr="006A57F6">
        <w:rPr>
          <w:color w:val="000000"/>
          <w:spacing w:val="-3"/>
        </w:rPr>
        <w:t xml:space="preserve">Tak jako u ostatních </w:t>
      </w:r>
      <w:proofErr w:type="spellStart"/>
      <w:r w:rsidRPr="006A57F6">
        <w:rPr>
          <w:color w:val="000000"/>
          <w:spacing w:val="-3"/>
        </w:rPr>
        <w:t>antiparazitik</w:t>
      </w:r>
      <w:proofErr w:type="spellEnd"/>
      <w:r w:rsidRPr="006A57F6">
        <w:rPr>
          <w:color w:val="000000"/>
          <w:spacing w:val="-3"/>
        </w:rPr>
        <w:t xml:space="preserve">, časté a opakované použití </w:t>
      </w:r>
      <w:proofErr w:type="spellStart"/>
      <w:r w:rsidRPr="006A57F6">
        <w:rPr>
          <w:color w:val="000000"/>
          <w:spacing w:val="-3"/>
        </w:rPr>
        <w:t>antiprotozoik</w:t>
      </w:r>
      <w:proofErr w:type="spellEnd"/>
      <w:r w:rsidRPr="006A57F6">
        <w:rPr>
          <w:color w:val="000000"/>
          <w:spacing w:val="-3"/>
        </w:rPr>
        <w:t xml:space="preserve"> stejné farmakologické</w:t>
      </w:r>
    </w:p>
    <w:p w:rsidR="008841D8" w:rsidRPr="006A57F6" w:rsidRDefault="008841D8" w:rsidP="008841D8">
      <w:pPr>
        <w:shd w:val="clear" w:color="auto" w:fill="FFFFFF"/>
      </w:pPr>
      <w:r w:rsidRPr="006A57F6">
        <w:rPr>
          <w:color w:val="000000"/>
          <w:spacing w:val="-3"/>
        </w:rPr>
        <w:t>skupiny může vést ke vzniku rezistence.</w:t>
      </w:r>
    </w:p>
    <w:p w:rsidR="008841D8" w:rsidRPr="006A57F6" w:rsidRDefault="008841D8" w:rsidP="008841D8">
      <w:pPr>
        <w:shd w:val="clear" w:color="auto" w:fill="FFFFFF"/>
        <w:rPr>
          <w:color w:val="000000"/>
        </w:rPr>
      </w:pPr>
      <w:r w:rsidRPr="006A57F6">
        <w:rPr>
          <w:color w:val="000000"/>
          <w:spacing w:val="-4"/>
        </w:rPr>
        <w:t>Doporučuje se léčit všechna selata ve vrhu</w:t>
      </w:r>
      <w:r>
        <w:rPr>
          <w:color w:val="000000"/>
          <w:spacing w:val="-4"/>
        </w:rPr>
        <w:t xml:space="preserve"> a všechn</w:t>
      </w:r>
      <w:r w:rsidR="00367CA9">
        <w:rPr>
          <w:color w:val="000000"/>
          <w:spacing w:val="-4"/>
        </w:rPr>
        <w:t>a</w:t>
      </w:r>
      <w:r>
        <w:rPr>
          <w:color w:val="000000"/>
          <w:spacing w:val="-4"/>
        </w:rPr>
        <w:t xml:space="preserve"> telata ustájená v jednom kotci</w:t>
      </w:r>
      <w:r w:rsidRPr="006A57F6">
        <w:rPr>
          <w:color w:val="000000"/>
          <w:spacing w:val="-4"/>
        </w:rPr>
        <w:t>.</w:t>
      </w:r>
      <w:r w:rsidRPr="006A57F6">
        <w:rPr>
          <w:color w:val="000000"/>
        </w:rPr>
        <w:tab/>
      </w:r>
    </w:p>
    <w:p w:rsidR="008841D8" w:rsidRPr="006A57F6" w:rsidRDefault="008841D8" w:rsidP="008841D8">
      <w:pPr>
        <w:shd w:val="clear" w:color="auto" w:fill="FFFFFF"/>
      </w:pPr>
      <w:r w:rsidRPr="006A57F6">
        <w:rPr>
          <w:color w:val="000000"/>
          <w:spacing w:val="-2"/>
        </w:rPr>
        <w:t>Hygienická opatření mohou přispět ke snížení rizika kokcidiózy prasat</w:t>
      </w:r>
      <w:r>
        <w:rPr>
          <w:color w:val="000000"/>
          <w:spacing w:val="-2"/>
        </w:rPr>
        <w:t xml:space="preserve"> a skotu</w:t>
      </w:r>
      <w:r w:rsidRPr="006A57F6">
        <w:rPr>
          <w:color w:val="000000"/>
          <w:spacing w:val="-2"/>
        </w:rPr>
        <w:t xml:space="preserve">. Doporučuje se </w:t>
      </w:r>
      <w:r>
        <w:rPr>
          <w:color w:val="000000"/>
          <w:spacing w:val="-2"/>
        </w:rPr>
        <w:t xml:space="preserve">proto současně </w:t>
      </w:r>
      <w:r w:rsidRPr="006A57F6">
        <w:rPr>
          <w:color w:val="000000"/>
          <w:spacing w:val="-3"/>
        </w:rPr>
        <w:t>s léčbou zlepšit hygienické podmínky na předmětné farmě, zejména vlhkost a čistotu.</w:t>
      </w:r>
    </w:p>
    <w:p w:rsidR="008841D8" w:rsidRPr="006A57F6" w:rsidRDefault="008841D8" w:rsidP="008841D8">
      <w:pPr>
        <w:shd w:val="clear" w:color="auto" w:fill="FFFFFF"/>
      </w:pPr>
      <w:r w:rsidRPr="006A57F6">
        <w:rPr>
          <w:color w:val="000000"/>
          <w:spacing w:val="-4"/>
        </w:rPr>
        <w:t>K zmírnění průběhu rozvinuté klinické kokcidiózy u jednotlivých zvířat s příznaky průjmů může</w:t>
      </w:r>
    </w:p>
    <w:p w:rsidR="008841D8" w:rsidRDefault="008841D8" w:rsidP="008841D8">
      <w:pPr>
        <w:shd w:val="clear" w:color="auto" w:fill="FFFFFF"/>
        <w:rPr>
          <w:color w:val="000000"/>
          <w:spacing w:val="-3"/>
        </w:rPr>
      </w:pPr>
      <w:r w:rsidRPr="006A57F6">
        <w:rPr>
          <w:color w:val="000000"/>
          <w:spacing w:val="-3"/>
        </w:rPr>
        <w:t>být nutná také podpůrná terapie.</w:t>
      </w:r>
    </w:p>
    <w:p w:rsidR="00F61E62" w:rsidRDefault="00F61E62" w:rsidP="008841D8">
      <w:pPr>
        <w:shd w:val="clear" w:color="auto" w:fill="FFFFFF"/>
        <w:rPr>
          <w:color w:val="000000"/>
          <w:spacing w:val="-3"/>
        </w:rPr>
      </w:pPr>
      <w:r w:rsidRPr="00F61E62">
        <w:rPr>
          <w:color w:val="000000"/>
          <w:spacing w:val="-3"/>
        </w:rPr>
        <w:t>K získ</w:t>
      </w:r>
      <w:r w:rsidR="00A66340">
        <w:rPr>
          <w:color w:val="000000"/>
          <w:spacing w:val="-3"/>
        </w:rPr>
        <w:t>á</w:t>
      </w:r>
      <w:r w:rsidRPr="00F61E62">
        <w:rPr>
          <w:color w:val="000000"/>
          <w:spacing w:val="-3"/>
        </w:rPr>
        <w:t xml:space="preserve">ní maximálního užitku, zvířata by měla být léčena před očekávaným nástupem klinických příznaků, tedy v </w:t>
      </w:r>
      <w:proofErr w:type="spellStart"/>
      <w:r w:rsidRPr="00F61E62">
        <w:rPr>
          <w:color w:val="000000"/>
          <w:spacing w:val="-3"/>
        </w:rPr>
        <w:t>prepatentním</w:t>
      </w:r>
      <w:proofErr w:type="spellEnd"/>
      <w:r w:rsidRPr="00F61E62">
        <w:rPr>
          <w:color w:val="000000"/>
          <w:spacing w:val="-3"/>
        </w:rPr>
        <w:t xml:space="preserve"> období.</w:t>
      </w:r>
    </w:p>
    <w:p w:rsidR="00F61E62" w:rsidRDefault="00F61E62" w:rsidP="00F61E62">
      <w:pPr>
        <w:shd w:val="clear" w:color="auto" w:fill="FFFFFF"/>
        <w:spacing w:before="278" w:line="274" w:lineRule="exact"/>
        <w:ind w:left="48"/>
      </w:pPr>
      <w:r>
        <w:rPr>
          <w:b/>
          <w:bCs/>
          <w:color w:val="000000"/>
        </w:rPr>
        <w:t>Zvláštní opatření pro použití u zvířat</w:t>
      </w:r>
    </w:p>
    <w:p w:rsidR="00F61E62" w:rsidRDefault="00F61E62" w:rsidP="00F61E62">
      <w:pPr>
        <w:shd w:val="clear" w:color="auto" w:fill="FFFFFF"/>
        <w:spacing w:line="274" w:lineRule="exact"/>
        <w:ind w:left="38"/>
        <w:rPr>
          <w:color w:val="000000"/>
          <w:spacing w:val="-2"/>
        </w:rPr>
      </w:pPr>
      <w:r>
        <w:rPr>
          <w:color w:val="000000"/>
          <w:spacing w:val="-2"/>
        </w:rPr>
        <w:t>Neuplatňuje se.</w:t>
      </w:r>
    </w:p>
    <w:p w:rsidR="00F61E62" w:rsidRDefault="00F61E62" w:rsidP="00F61E62">
      <w:pPr>
        <w:shd w:val="clear" w:color="auto" w:fill="FFFFFF"/>
        <w:spacing w:line="274" w:lineRule="exact"/>
        <w:ind w:left="38"/>
        <w:rPr>
          <w:color w:val="000000"/>
          <w:spacing w:val="-2"/>
        </w:rPr>
      </w:pPr>
    </w:p>
    <w:p w:rsidR="00F61E62" w:rsidRDefault="00F61E62" w:rsidP="00114927">
      <w:pPr>
        <w:shd w:val="clear" w:color="auto" w:fill="FFFFFF"/>
        <w:spacing w:before="5" w:line="274" w:lineRule="exact"/>
        <w:ind w:left="43"/>
        <w:jc w:val="both"/>
      </w:pPr>
      <w:r>
        <w:rPr>
          <w:b/>
          <w:bCs/>
          <w:color w:val="000000"/>
        </w:rPr>
        <w:t>Zvláštní opatření určené osobám, které podávají veterinární léčivý přípravek zvířatům</w:t>
      </w:r>
    </w:p>
    <w:p w:rsidR="00595109" w:rsidRPr="00595109" w:rsidRDefault="00595109" w:rsidP="00114927">
      <w:pPr>
        <w:shd w:val="clear" w:color="auto" w:fill="FFFFFF"/>
        <w:spacing w:before="5" w:line="274" w:lineRule="exact"/>
        <w:ind w:left="43"/>
        <w:jc w:val="both"/>
        <w:rPr>
          <w:color w:val="000000"/>
        </w:rPr>
      </w:pPr>
      <w:r w:rsidRPr="00595109">
        <w:rPr>
          <w:color w:val="000000"/>
        </w:rPr>
        <w:t xml:space="preserve">Zasaženou kůži nebo oči přípravkem ihned opláchněte vodou. </w:t>
      </w:r>
    </w:p>
    <w:p w:rsidR="00595109" w:rsidRPr="00595109" w:rsidRDefault="00595109" w:rsidP="00114927">
      <w:pPr>
        <w:shd w:val="clear" w:color="auto" w:fill="FFFFFF"/>
        <w:spacing w:before="5" w:line="274" w:lineRule="exact"/>
        <w:ind w:left="43"/>
        <w:jc w:val="both"/>
        <w:rPr>
          <w:color w:val="000000"/>
        </w:rPr>
      </w:pPr>
      <w:r w:rsidRPr="00595109">
        <w:rPr>
          <w:color w:val="000000"/>
        </w:rPr>
        <w:t>Po použití si umyjte ruce.</w:t>
      </w:r>
    </w:p>
    <w:p w:rsidR="00595109" w:rsidRDefault="00595109" w:rsidP="00114927">
      <w:pPr>
        <w:shd w:val="clear" w:color="auto" w:fill="FFFFFF"/>
        <w:ind w:left="43"/>
        <w:jc w:val="both"/>
        <w:rPr>
          <w:color w:val="000000"/>
        </w:rPr>
      </w:pPr>
      <w:r w:rsidRPr="00595109">
        <w:rPr>
          <w:color w:val="000000"/>
        </w:rPr>
        <w:t xml:space="preserve">Lidé se známou přecitlivělostí na kteroukoli látku přípravku by se měli vyhnout kontaktu </w:t>
      </w:r>
      <w:r>
        <w:rPr>
          <w:color w:val="000000"/>
        </w:rPr>
        <w:br/>
      </w:r>
      <w:r w:rsidRPr="00595109">
        <w:rPr>
          <w:color w:val="000000"/>
        </w:rPr>
        <w:t>s veterinárním léčivým přípravkem.</w:t>
      </w:r>
    </w:p>
    <w:p w:rsidR="00F61E62" w:rsidRDefault="00F61E62" w:rsidP="00114927">
      <w:pPr>
        <w:shd w:val="clear" w:color="auto" w:fill="FFFFFF"/>
        <w:ind w:left="43"/>
        <w:jc w:val="both"/>
      </w:pPr>
    </w:p>
    <w:p w:rsidR="00F61E62" w:rsidRPr="00702AD1" w:rsidRDefault="00F61E62" w:rsidP="00114927">
      <w:pPr>
        <w:shd w:val="clear" w:color="auto" w:fill="FFFFFF"/>
        <w:jc w:val="both"/>
        <w:rPr>
          <w:b/>
        </w:rPr>
      </w:pPr>
      <w:r w:rsidRPr="00702AD1">
        <w:rPr>
          <w:b/>
        </w:rPr>
        <w:t>Další opatření</w:t>
      </w:r>
    </w:p>
    <w:p w:rsidR="00595109" w:rsidRDefault="00595109">
      <w:pPr>
        <w:shd w:val="clear" w:color="auto" w:fill="FFFFFF"/>
        <w:jc w:val="both"/>
      </w:pPr>
      <w:r>
        <w:t xml:space="preserve">Hlavní metabolit </w:t>
      </w:r>
      <w:proofErr w:type="spellStart"/>
      <w:r>
        <w:t>toltrazurilu</w:t>
      </w:r>
      <w:proofErr w:type="spellEnd"/>
      <w:r>
        <w:t xml:space="preserve">, </w:t>
      </w:r>
      <w:proofErr w:type="spellStart"/>
      <w:r>
        <w:t>toltrazuril</w:t>
      </w:r>
      <w:proofErr w:type="spellEnd"/>
      <w:r>
        <w:t xml:space="preserve"> sulfon (</w:t>
      </w:r>
      <w:proofErr w:type="spellStart"/>
      <w:r>
        <w:t>ponazuril</w:t>
      </w:r>
      <w:proofErr w:type="spellEnd"/>
      <w:r>
        <w:t>), vykazuje jak perzistenci (poločas rozkladu &gt; 1 rok) a mobilitu v půdě, tak toxicitu pro rostliny.</w:t>
      </w:r>
    </w:p>
    <w:p w:rsidR="00595109" w:rsidRDefault="00595109" w:rsidP="00114927">
      <w:pPr>
        <w:shd w:val="clear" w:color="auto" w:fill="FFFFFF"/>
        <w:jc w:val="both"/>
      </w:pPr>
      <w:r>
        <w:t>Za účelem ochrany rostlin před toxickými účinky léčivé látky a ochrany před možnou kontaminací podzemních vod nesmí chovatelé rozmetávat hnůj od ošetřených zvířat, aniž by ho zředili hnojem od zvířat neošetřených. Hnůj od ošetřených zvířat musí být zředěn nejméně trojnásobným množstvím hnoje od neošetřených zvířat, než může být použit k hnojení půdy.</w:t>
      </w:r>
    </w:p>
    <w:p w:rsidR="00545E57" w:rsidRDefault="00545E57" w:rsidP="00114927">
      <w:pPr>
        <w:shd w:val="clear" w:color="auto" w:fill="FFFFFF"/>
        <w:spacing w:before="278"/>
      </w:pPr>
      <w:r>
        <w:rPr>
          <w:b/>
          <w:bCs/>
          <w:color w:val="000000"/>
        </w:rPr>
        <w:t>Použití v průběhu březosti, laktace nebo snášky</w:t>
      </w:r>
    </w:p>
    <w:p w:rsidR="00545E57" w:rsidRDefault="00545E57" w:rsidP="00545E57">
      <w:pPr>
        <w:shd w:val="clear" w:color="auto" w:fill="FFFFFF"/>
        <w:ind w:left="10"/>
      </w:pPr>
      <w:r>
        <w:rPr>
          <w:color w:val="000000"/>
          <w:spacing w:val="-2"/>
        </w:rPr>
        <w:t>Neuplatňuje se.</w:t>
      </w:r>
    </w:p>
    <w:p w:rsidR="00545E57" w:rsidRDefault="00545E57" w:rsidP="00545E57">
      <w:pPr>
        <w:shd w:val="clear" w:color="auto" w:fill="FFFFFF"/>
        <w:spacing w:before="283" w:line="274" w:lineRule="exact"/>
        <w:ind w:left="10"/>
      </w:pPr>
      <w:r>
        <w:rPr>
          <w:b/>
          <w:bCs/>
          <w:color w:val="000000"/>
        </w:rPr>
        <w:t>Interakce s dalšími léčivými přípravky a další formy interakce</w:t>
      </w:r>
    </w:p>
    <w:p w:rsidR="00545E57" w:rsidRDefault="00545E57" w:rsidP="00545E57">
      <w:pPr>
        <w:shd w:val="clear" w:color="auto" w:fill="FFFFFF"/>
        <w:spacing w:line="274" w:lineRule="exact"/>
      </w:pPr>
      <w:r>
        <w:rPr>
          <w:color w:val="000000"/>
          <w:spacing w:val="-2"/>
        </w:rPr>
        <w:t>Nejsou známy.</w:t>
      </w:r>
    </w:p>
    <w:p w:rsidR="00545E57" w:rsidRDefault="00545E57" w:rsidP="00545E57">
      <w:pPr>
        <w:shd w:val="clear" w:color="auto" w:fill="FFFFFF"/>
        <w:spacing w:before="5" w:line="274" w:lineRule="exact"/>
      </w:pPr>
      <w:r>
        <w:rPr>
          <w:color w:val="000000"/>
        </w:rPr>
        <w:t>Nedochází k interakcím při použití v kombinaci s doplňky železa.</w:t>
      </w:r>
    </w:p>
    <w:p w:rsidR="00545E57" w:rsidRDefault="00545E57" w:rsidP="00545E57">
      <w:pPr>
        <w:shd w:val="clear" w:color="auto" w:fill="FFFFFF"/>
        <w:spacing w:before="283"/>
        <w:ind w:left="5"/>
      </w:pPr>
      <w:r>
        <w:rPr>
          <w:b/>
          <w:bCs/>
          <w:color w:val="000000"/>
        </w:rPr>
        <w:t>P</w:t>
      </w:r>
      <w:r w:rsidR="008841D8">
        <w:rPr>
          <w:b/>
          <w:bCs/>
          <w:color w:val="000000"/>
        </w:rPr>
        <w:t>ř</w:t>
      </w:r>
      <w:r>
        <w:rPr>
          <w:b/>
          <w:bCs/>
          <w:color w:val="000000"/>
        </w:rPr>
        <w:t>edávkov</w:t>
      </w:r>
      <w:r w:rsidR="00367CA9">
        <w:rPr>
          <w:b/>
          <w:bCs/>
          <w:color w:val="000000"/>
        </w:rPr>
        <w:t>á</w:t>
      </w:r>
      <w:r>
        <w:rPr>
          <w:b/>
          <w:bCs/>
          <w:color w:val="000000"/>
        </w:rPr>
        <w:t xml:space="preserve">ní (symptomy, první pomoc, </w:t>
      </w:r>
      <w:proofErr w:type="spellStart"/>
      <w:r>
        <w:rPr>
          <w:b/>
          <w:bCs/>
          <w:color w:val="000000"/>
        </w:rPr>
        <w:t>antidota</w:t>
      </w:r>
      <w:proofErr w:type="spellEnd"/>
      <w:r>
        <w:rPr>
          <w:b/>
          <w:bCs/>
          <w:color w:val="000000"/>
        </w:rPr>
        <w:t>), pokud je to nutné</w:t>
      </w:r>
    </w:p>
    <w:p w:rsidR="00545E57" w:rsidRDefault="00545E57" w:rsidP="00545E57">
      <w:pPr>
        <w:shd w:val="clear" w:color="auto" w:fill="FFFFFF"/>
        <w:ind w:left="5"/>
        <w:rPr>
          <w:color w:val="000000"/>
        </w:rPr>
      </w:pPr>
      <w:r>
        <w:rPr>
          <w:color w:val="000000"/>
        </w:rPr>
        <w:t>Trojnásobné překročení dávky tolerují zdravá selata bez nepříznivých příznaků p</w:t>
      </w:r>
      <w:r w:rsidR="00367CA9">
        <w:rPr>
          <w:color w:val="000000"/>
        </w:rPr>
        <w:t>ř</w:t>
      </w:r>
      <w:r>
        <w:rPr>
          <w:color w:val="000000"/>
        </w:rPr>
        <w:t>edávkov</w:t>
      </w:r>
      <w:r w:rsidR="00367CA9">
        <w:rPr>
          <w:color w:val="000000"/>
        </w:rPr>
        <w:t>á</w:t>
      </w:r>
      <w:r>
        <w:rPr>
          <w:color w:val="000000"/>
        </w:rPr>
        <w:t>ní.</w:t>
      </w:r>
    </w:p>
    <w:p w:rsidR="00043379" w:rsidRDefault="00043379" w:rsidP="00545E57">
      <w:pPr>
        <w:shd w:val="clear" w:color="auto" w:fill="FFFFFF"/>
        <w:ind w:left="5"/>
        <w:rPr>
          <w:b/>
          <w:bCs/>
          <w:color w:val="000000"/>
          <w:spacing w:val="-1"/>
        </w:rPr>
      </w:pPr>
    </w:p>
    <w:p w:rsidR="00545E57" w:rsidRDefault="00545E57" w:rsidP="00545E57">
      <w:pPr>
        <w:shd w:val="clear" w:color="auto" w:fill="FFFFFF"/>
        <w:ind w:left="5"/>
      </w:pPr>
      <w:r>
        <w:rPr>
          <w:b/>
          <w:bCs/>
          <w:color w:val="000000"/>
          <w:spacing w:val="-1"/>
        </w:rPr>
        <w:t>Inkompatibility</w:t>
      </w:r>
    </w:p>
    <w:p w:rsidR="00F61E62" w:rsidRPr="00114927" w:rsidRDefault="00ED3950" w:rsidP="0070307E">
      <w:pPr>
        <w:rPr>
          <w:lang w:eastAsia="sk-SK"/>
        </w:rPr>
      </w:pPr>
      <w:r>
        <w:t>Studie kompatibility nejsou k dispozici, a proto tento veterinární léčivý přípravek nesmí být mísen s žádnými dalšími veterinárními léčivými přípravky.</w:t>
      </w:r>
    </w:p>
    <w:p w:rsidR="00F61E62" w:rsidRDefault="00F61E62" w:rsidP="0070307E">
      <w:pPr>
        <w:rPr>
          <w:sz w:val="22"/>
          <w:szCs w:val="22"/>
          <w:lang w:eastAsia="sk-SK"/>
        </w:rPr>
      </w:pPr>
    </w:p>
    <w:p w:rsidR="00F61E62" w:rsidRPr="00114927" w:rsidRDefault="00F61E62" w:rsidP="0070307E">
      <w:pPr>
        <w:rPr>
          <w:b/>
          <w:highlight w:val="yellow"/>
        </w:rPr>
      </w:pPr>
      <w:r w:rsidRPr="00114927">
        <w:rPr>
          <w:rStyle w:val="hps"/>
          <w:b/>
          <w:color w:val="222222"/>
        </w:rPr>
        <w:lastRenderedPageBreak/>
        <w:t>Environmentální vlastnosti</w:t>
      </w:r>
    </w:p>
    <w:p w:rsidR="008841D8" w:rsidRDefault="00D33143" w:rsidP="00114927">
      <w:pPr>
        <w:jc w:val="both"/>
        <w:rPr>
          <w:b/>
        </w:rPr>
      </w:pPr>
      <w:r w:rsidRPr="00D33143">
        <w:t xml:space="preserve">Metabolit </w:t>
      </w:r>
      <w:proofErr w:type="spellStart"/>
      <w:r w:rsidRPr="00D33143">
        <w:t>toltrazurilu</w:t>
      </w:r>
      <w:proofErr w:type="spellEnd"/>
      <w:r w:rsidRPr="00D33143">
        <w:t xml:space="preserve">, </w:t>
      </w:r>
      <w:proofErr w:type="spellStart"/>
      <w:r w:rsidRPr="00D33143">
        <w:t>toltrazuril</w:t>
      </w:r>
      <w:proofErr w:type="spellEnd"/>
      <w:r w:rsidRPr="00D33143">
        <w:t xml:space="preserve"> sulfon (</w:t>
      </w:r>
      <w:proofErr w:type="spellStart"/>
      <w:r w:rsidRPr="00D33143">
        <w:t>ponazuril</w:t>
      </w:r>
      <w:proofErr w:type="spellEnd"/>
      <w:r w:rsidRPr="00D33143">
        <w:t xml:space="preserve">) je v půdě perzistentní (poločas rozpadu &gt; l rok) a mobilní sloučenina, která má nepříznivý vliv jak na růst, tak na vývoj rostlin. Díky perzistenci </w:t>
      </w:r>
      <w:proofErr w:type="spellStart"/>
      <w:r w:rsidRPr="00D33143">
        <w:t>ponazurilu</w:t>
      </w:r>
      <w:proofErr w:type="spellEnd"/>
      <w:r w:rsidRPr="00D33143">
        <w:t xml:space="preserve"> může opakované rozmetání hnoje od ošetřených zvířat vést ke kumulaci v půdě, a následně může představovat riziko pro rostliny. Kumulace a mobilita </w:t>
      </w:r>
      <w:proofErr w:type="spellStart"/>
      <w:r w:rsidRPr="00D33143">
        <w:t>ponazurilu</w:t>
      </w:r>
      <w:proofErr w:type="spellEnd"/>
      <w:r w:rsidRPr="00D33143">
        <w:t xml:space="preserve"> v půdě nese také riziko vyplavování látky do podzemních vod. Viz části „Kontraindikace" a “Zvláštní opatření pro použití“.</w:t>
      </w:r>
    </w:p>
    <w:p w:rsidR="0070307E" w:rsidRDefault="0070307E" w:rsidP="0070307E"/>
    <w:p w:rsidR="00545E57" w:rsidRDefault="00545E57" w:rsidP="00545E57">
      <w:pPr>
        <w:rPr>
          <w:b/>
        </w:rPr>
      </w:pPr>
      <w:r>
        <w:rPr>
          <w:b/>
        </w:rPr>
        <w:t>13.</w:t>
      </w:r>
      <w:r>
        <w:rPr>
          <w:b/>
        </w:rPr>
        <w:tab/>
        <w:t>ZVLÁŠTNÍ OPATŘENÍ PRO ZNEŠKODŇOVÁNÍ NEPOUŽITÝCH PŘÍPRAVKŮ NEBO ODPADU,  POKUD  JE JICH TŘEBA</w:t>
      </w:r>
    </w:p>
    <w:p w:rsidR="00545E57" w:rsidRDefault="00545E57" w:rsidP="00545E57">
      <w:pPr>
        <w:shd w:val="clear" w:color="auto" w:fill="FFFFFF"/>
        <w:spacing w:before="269" w:line="274" w:lineRule="exact"/>
        <w:ind w:left="34"/>
      </w:pPr>
      <w:r>
        <w:rPr>
          <w:color w:val="000000"/>
          <w:spacing w:val="-1"/>
        </w:rPr>
        <w:t xml:space="preserve">Všechen nepoužitý veterinární léčivý přípravek nebo odpad, který pochází z tohoto přípravku, </w:t>
      </w:r>
      <w:r>
        <w:rPr>
          <w:color w:val="000000"/>
        </w:rPr>
        <w:t>musí být likvidován podle místních právních předpisů.</w:t>
      </w:r>
    </w:p>
    <w:p w:rsidR="00545E57" w:rsidRDefault="00545E57" w:rsidP="00545E57">
      <w:pPr>
        <w:rPr>
          <w:b/>
        </w:rPr>
      </w:pPr>
    </w:p>
    <w:p w:rsidR="00545E57" w:rsidRDefault="00545E57" w:rsidP="00545E57">
      <w:pPr>
        <w:rPr>
          <w:b/>
        </w:rPr>
      </w:pPr>
    </w:p>
    <w:p w:rsidR="00545E57" w:rsidRDefault="00545E57" w:rsidP="00545E57">
      <w:r>
        <w:rPr>
          <w:b/>
        </w:rPr>
        <w:t>14.</w:t>
      </w:r>
      <w:r>
        <w:rPr>
          <w:b/>
        </w:rPr>
        <w:tab/>
        <w:t>DATUM POSLEDNÍ REVIZE PŘÍBALOVÉ INFORMACE</w:t>
      </w:r>
    </w:p>
    <w:p w:rsidR="00545E57" w:rsidRDefault="00545E57" w:rsidP="00545E57">
      <w:pPr>
        <w:ind w:right="-318"/>
      </w:pPr>
    </w:p>
    <w:p w:rsidR="00545E57" w:rsidRDefault="00136B64" w:rsidP="00545E57">
      <w:pPr>
        <w:ind w:right="-318"/>
      </w:pPr>
      <w:r>
        <w:t xml:space="preserve">Duben </w:t>
      </w:r>
      <w:r w:rsidR="00114927">
        <w:t>2015</w:t>
      </w:r>
    </w:p>
    <w:p w:rsidR="00114927" w:rsidRDefault="00114927" w:rsidP="00545E57">
      <w:pPr>
        <w:ind w:right="-318"/>
      </w:pPr>
    </w:p>
    <w:p w:rsidR="00545E57" w:rsidRDefault="00545E57" w:rsidP="00545E57">
      <w:r>
        <w:rPr>
          <w:b/>
        </w:rPr>
        <w:t>15.</w:t>
      </w:r>
      <w:r>
        <w:rPr>
          <w:b/>
        </w:rPr>
        <w:tab/>
        <w:t>DALŠÍ INFORMACE</w:t>
      </w:r>
    </w:p>
    <w:p w:rsidR="00545E57" w:rsidRDefault="00545E57" w:rsidP="00545E57"/>
    <w:p w:rsidR="00F42A03" w:rsidRDefault="00F42A03" w:rsidP="00F42A03">
      <w:r>
        <w:t>Pouze pro zvířata.</w:t>
      </w:r>
    </w:p>
    <w:p w:rsidR="00F42A03" w:rsidRDefault="00F42A03" w:rsidP="00F42A03">
      <w:r>
        <w:t>Veterinární léčivý přípravek je vydáván pouze na předpis.</w:t>
      </w:r>
    </w:p>
    <w:p w:rsidR="00F42A03" w:rsidRDefault="00F42A03" w:rsidP="00545E57"/>
    <w:p w:rsidR="00ED3950" w:rsidRPr="00114927" w:rsidRDefault="00ED3950" w:rsidP="00545E57">
      <w:pPr>
        <w:rPr>
          <w:b/>
        </w:rPr>
      </w:pPr>
      <w:r w:rsidRPr="00114927">
        <w:rPr>
          <w:b/>
        </w:rPr>
        <w:t>Velikost balení</w:t>
      </w:r>
    </w:p>
    <w:p w:rsidR="00ED3950" w:rsidRDefault="00ED3950" w:rsidP="00ED3950">
      <w:pPr>
        <w:shd w:val="clear" w:color="auto" w:fill="FFFFFF"/>
        <w:rPr>
          <w:color w:val="000000"/>
          <w:spacing w:val="-4"/>
        </w:rPr>
      </w:pPr>
      <w:r w:rsidRPr="006A57F6">
        <w:rPr>
          <w:color w:val="000000"/>
          <w:spacing w:val="-4"/>
        </w:rPr>
        <w:t xml:space="preserve">Papírová krabice </w:t>
      </w:r>
      <w:r>
        <w:rPr>
          <w:color w:val="000000"/>
          <w:spacing w:val="-4"/>
        </w:rPr>
        <w:t xml:space="preserve">se </w:t>
      </w:r>
      <w:r w:rsidRPr="006A57F6">
        <w:rPr>
          <w:color w:val="000000"/>
          <w:spacing w:val="-4"/>
        </w:rPr>
        <w:t>100ml</w:t>
      </w:r>
      <w:r>
        <w:rPr>
          <w:color w:val="000000"/>
          <w:spacing w:val="-4"/>
        </w:rPr>
        <w:t xml:space="preserve"> lahvičkou</w:t>
      </w:r>
    </w:p>
    <w:p w:rsidR="00ED3950" w:rsidRDefault="00ED3950" w:rsidP="00ED3950">
      <w:pPr>
        <w:shd w:val="clear" w:color="auto" w:fill="FFFFFF"/>
        <w:rPr>
          <w:color w:val="000000"/>
          <w:spacing w:val="-4"/>
        </w:rPr>
      </w:pPr>
      <w:r>
        <w:rPr>
          <w:color w:val="000000"/>
          <w:spacing w:val="-4"/>
        </w:rPr>
        <w:t>Papírová krabice s </w:t>
      </w:r>
      <w:r w:rsidRPr="006A57F6">
        <w:rPr>
          <w:color w:val="000000"/>
          <w:spacing w:val="-4"/>
        </w:rPr>
        <w:t>250ml</w:t>
      </w:r>
      <w:r>
        <w:rPr>
          <w:color w:val="000000"/>
          <w:spacing w:val="-4"/>
        </w:rPr>
        <w:t xml:space="preserve"> lahvičkou</w:t>
      </w:r>
    </w:p>
    <w:p w:rsidR="005469FC" w:rsidRPr="006A57F6" w:rsidRDefault="00ED3950" w:rsidP="00ED3950">
      <w:pPr>
        <w:shd w:val="clear" w:color="auto" w:fill="FFFFFF"/>
      </w:pPr>
      <w:r>
        <w:rPr>
          <w:color w:val="000000"/>
          <w:spacing w:val="-4"/>
        </w:rPr>
        <w:t>1</w:t>
      </w:r>
      <w:r>
        <w:rPr>
          <w:color w:val="000000"/>
        </w:rPr>
        <w:t xml:space="preserve">l </w:t>
      </w:r>
      <w:r w:rsidRPr="006A57F6">
        <w:rPr>
          <w:color w:val="000000"/>
        </w:rPr>
        <w:t>láhev</w:t>
      </w:r>
    </w:p>
    <w:p w:rsidR="00545E57" w:rsidRDefault="00545E57" w:rsidP="00545E57">
      <w:pPr>
        <w:shd w:val="clear" w:color="auto" w:fill="FFFFFF"/>
        <w:spacing w:before="269"/>
        <w:ind w:left="14"/>
      </w:pPr>
      <w:r>
        <w:rPr>
          <w:color w:val="000000"/>
        </w:rPr>
        <w:t>Na trhu nemusí být všechny velikosti balení.</w:t>
      </w:r>
    </w:p>
    <w:p w:rsidR="00625AF9" w:rsidRDefault="00625AF9"/>
    <w:sectPr w:rsidR="00625AF9">
      <w:headerReference w:type="default" r:id="rId7"/>
      <w:footerReference w:type="default" r:id="rId8"/>
      <w:headerReference w:type="first" r:id="rId9"/>
      <w:footerReference w:type="first" r:id="rId10"/>
      <w:pgSz w:w="11918" w:h="16840" w:code="9"/>
      <w:pgMar w:top="1134" w:right="1418" w:bottom="1134" w:left="1418"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20C" w:rsidRDefault="001A120C">
      <w:r>
        <w:separator/>
      </w:r>
    </w:p>
  </w:endnote>
  <w:endnote w:type="continuationSeparator" w:id="0">
    <w:p w:rsidR="001A120C" w:rsidRDefault="001A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3B" w:rsidRDefault="00F2273B">
    <w:pPr>
      <w:pStyle w:val="Zpat"/>
      <w:tabs>
        <w:tab w:val="clear" w:pos="8930"/>
        <w:tab w:val="right" w:pos="8931"/>
      </w:tabs>
      <w:rPr>
        <w:rFonts w:ascii="Times New Roman" w:hAnsi="Times New Roman"/>
        <w:lang w:val="el-GR"/>
      </w:rPr>
    </w:pPr>
  </w:p>
  <w:p w:rsidR="00F2273B" w:rsidRDefault="00F2273B">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2E4252">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3B" w:rsidRDefault="00F2273B">
    <w:pPr>
      <w:pStyle w:val="Zpat"/>
      <w:tabs>
        <w:tab w:val="clear" w:pos="8930"/>
        <w:tab w:val="right" w:pos="8931"/>
      </w:tabs>
    </w:pPr>
  </w:p>
  <w:p w:rsidR="00F2273B" w:rsidRDefault="00F2273B">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2E425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20C" w:rsidRDefault="001A120C">
      <w:r>
        <w:separator/>
      </w:r>
    </w:p>
  </w:footnote>
  <w:footnote w:type="continuationSeparator" w:id="0">
    <w:p w:rsidR="001A120C" w:rsidRDefault="001A1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3B" w:rsidRDefault="00F2273B">
    <w:pPr>
      <w:pStyle w:val="Zhlav"/>
      <w:rPr>
        <w:lang w:val="cs-CZ"/>
      </w:rPr>
    </w:pPr>
  </w:p>
  <w:p w:rsidR="00F2273B" w:rsidRDefault="00F2273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3B" w:rsidRDefault="00F2273B">
    <w:pPr>
      <w:pStyle w:val="Zhlav"/>
      <w:rPr>
        <w:lang w:val="cs-CZ"/>
      </w:rPr>
    </w:pPr>
    <w:r>
      <w:rPr>
        <w:lang w:val="cs-CZ"/>
      </w:rPr>
      <w:t xml:space="preserve">  </w:t>
    </w:r>
  </w:p>
  <w:p w:rsidR="00F2273B" w:rsidRPr="00114927" w:rsidRDefault="00F2273B">
    <w:pPr>
      <w:pStyle w:val="Zhlav"/>
      <w:rPr>
        <w:lang w:val="cs-CZ"/>
      </w:rPr>
    </w:pPr>
    <w:r>
      <w:rPr>
        <w:lang w:val="cs-CZ"/>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57"/>
    <w:rsid w:val="00035890"/>
    <w:rsid w:val="00043379"/>
    <w:rsid w:val="00045F4F"/>
    <w:rsid w:val="000762C4"/>
    <w:rsid w:val="000B35A8"/>
    <w:rsid w:val="000C3DFF"/>
    <w:rsid w:val="00114927"/>
    <w:rsid w:val="00136B64"/>
    <w:rsid w:val="00141CEE"/>
    <w:rsid w:val="001506A7"/>
    <w:rsid w:val="001A120C"/>
    <w:rsid w:val="001B2459"/>
    <w:rsid w:val="001B61ED"/>
    <w:rsid w:val="001C0485"/>
    <w:rsid w:val="002076BB"/>
    <w:rsid w:val="00215E08"/>
    <w:rsid w:val="002262D4"/>
    <w:rsid w:val="00252550"/>
    <w:rsid w:val="002B034A"/>
    <w:rsid w:val="002E4252"/>
    <w:rsid w:val="00335F0E"/>
    <w:rsid w:val="00367CA9"/>
    <w:rsid w:val="00377282"/>
    <w:rsid w:val="00386691"/>
    <w:rsid w:val="003E3523"/>
    <w:rsid w:val="003F4503"/>
    <w:rsid w:val="00405955"/>
    <w:rsid w:val="00414EF3"/>
    <w:rsid w:val="00424EE1"/>
    <w:rsid w:val="004348F9"/>
    <w:rsid w:val="00437997"/>
    <w:rsid w:val="00437BE7"/>
    <w:rsid w:val="004418DC"/>
    <w:rsid w:val="00456F62"/>
    <w:rsid w:val="00466178"/>
    <w:rsid w:val="00477FC1"/>
    <w:rsid w:val="00490E69"/>
    <w:rsid w:val="004A4365"/>
    <w:rsid w:val="004B29B9"/>
    <w:rsid w:val="004C2284"/>
    <w:rsid w:val="004C5738"/>
    <w:rsid w:val="004E0339"/>
    <w:rsid w:val="0051205F"/>
    <w:rsid w:val="0052577C"/>
    <w:rsid w:val="00531ED1"/>
    <w:rsid w:val="00541191"/>
    <w:rsid w:val="00545E57"/>
    <w:rsid w:val="005469FC"/>
    <w:rsid w:val="00567EB4"/>
    <w:rsid w:val="00595109"/>
    <w:rsid w:val="005A6525"/>
    <w:rsid w:val="005E3595"/>
    <w:rsid w:val="005F6290"/>
    <w:rsid w:val="00603C8E"/>
    <w:rsid w:val="006041BD"/>
    <w:rsid w:val="00625AF9"/>
    <w:rsid w:val="006C6FC1"/>
    <w:rsid w:val="006D2A23"/>
    <w:rsid w:val="0070307E"/>
    <w:rsid w:val="00740369"/>
    <w:rsid w:val="00746EC0"/>
    <w:rsid w:val="0075222E"/>
    <w:rsid w:val="007858EE"/>
    <w:rsid w:val="00786E79"/>
    <w:rsid w:val="007C52CF"/>
    <w:rsid w:val="007E18E1"/>
    <w:rsid w:val="008624F7"/>
    <w:rsid w:val="00872032"/>
    <w:rsid w:val="008841D8"/>
    <w:rsid w:val="0088604E"/>
    <w:rsid w:val="008C00EF"/>
    <w:rsid w:val="009254A8"/>
    <w:rsid w:val="00932634"/>
    <w:rsid w:val="00982544"/>
    <w:rsid w:val="009B3AA5"/>
    <w:rsid w:val="009D0863"/>
    <w:rsid w:val="009E17BD"/>
    <w:rsid w:val="009E61D1"/>
    <w:rsid w:val="00A27E84"/>
    <w:rsid w:val="00A36BA6"/>
    <w:rsid w:val="00A66340"/>
    <w:rsid w:val="00A742B8"/>
    <w:rsid w:val="00AA6D67"/>
    <w:rsid w:val="00B5754C"/>
    <w:rsid w:val="00B81F8E"/>
    <w:rsid w:val="00B83CC3"/>
    <w:rsid w:val="00B848CE"/>
    <w:rsid w:val="00B9307F"/>
    <w:rsid w:val="00BC5F38"/>
    <w:rsid w:val="00BE0982"/>
    <w:rsid w:val="00C27326"/>
    <w:rsid w:val="00C44834"/>
    <w:rsid w:val="00C47301"/>
    <w:rsid w:val="00C54C23"/>
    <w:rsid w:val="00CA0AB0"/>
    <w:rsid w:val="00CB002D"/>
    <w:rsid w:val="00CC0017"/>
    <w:rsid w:val="00CC601D"/>
    <w:rsid w:val="00D27AC1"/>
    <w:rsid w:val="00D33143"/>
    <w:rsid w:val="00D74831"/>
    <w:rsid w:val="00D74CCA"/>
    <w:rsid w:val="00D82B1E"/>
    <w:rsid w:val="00D90E70"/>
    <w:rsid w:val="00D97582"/>
    <w:rsid w:val="00DA597A"/>
    <w:rsid w:val="00DA72FE"/>
    <w:rsid w:val="00DB473C"/>
    <w:rsid w:val="00DE3024"/>
    <w:rsid w:val="00E16F7C"/>
    <w:rsid w:val="00E6063E"/>
    <w:rsid w:val="00E65CDC"/>
    <w:rsid w:val="00E931D7"/>
    <w:rsid w:val="00ED3950"/>
    <w:rsid w:val="00F22127"/>
    <w:rsid w:val="00F22675"/>
    <w:rsid w:val="00F2273B"/>
    <w:rsid w:val="00F32FC6"/>
    <w:rsid w:val="00F42A03"/>
    <w:rsid w:val="00F61E62"/>
    <w:rsid w:val="00F96855"/>
    <w:rsid w:val="00FA3868"/>
    <w:rsid w:val="00FA47CA"/>
    <w:rsid w:val="00FC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67EB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545E57"/>
    <w:pPr>
      <w:ind w:left="567" w:hanging="567"/>
      <w:jc w:val="both"/>
    </w:pPr>
    <w:rPr>
      <w:b/>
      <w:sz w:val="22"/>
      <w:szCs w:val="20"/>
      <w:lang w:eastAsia="en-US"/>
    </w:rPr>
  </w:style>
  <w:style w:type="paragraph" w:styleId="Zpat">
    <w:name w:val="footer"/>
    <w:basedOn w:val="Normln"/>
    <w:rsid w:val="00545E57"/>
    <w:pPr>
      <w:tabs>
        <w:tab w:val="center" w:pos="4536"/>
        <w:tab w:val="center" w:pos="8930"/>
      </w:tabs>
      <w:ind w:left="567" w:hanging="567"/>
    </w:pPr>
    <w:rPr>
      <w:rFonts w:ascii="Helvetica" w:hAnsi="Helvetica"/>
      <w:sz w:val="16"/>
      <w:szCs w:val="20"/>
      <w:lang w:eastAsia="en-US"/>
    </w:rPr>
  </w:style>
  <w:style w:type="paragraph" w:styleId="Zhlav">
    <w:name w:val="header"/>
    <w:basedOn w:val="Normln"/>
    <w:rsid w:val="00545E57"/>
    <w:pPr>
      <w:tabs>
        <w:tab w:val="center" w:pos="4153"/>
        <w:tab w:val="right" w:pos="8306"/>
      </w:tabs>
    </w:pPr>
    <w:rPr>
      <w:lang w:val="en-GB" w:eastAsia="fr-FR"/>
    </w:rPr>
  </w:style>
  <w:style w:type="character" w:styleId="slostrnky">
    <w:name w:val="page number"/>
    <w:basedOn w:val="Standardnpsmoodstavce"/>
    <w:rsid w:val="00545E57"/>
  </w:style>
  <w:style w:type="paragraph" w:styleId="Textbubliny">
    <w:name w:val="Balloon Text"/>
    <w:basedOn w:val="Normln"/>
    <w:semiHidden/>
    <w:rsid w:val="00B81F8E"/>
    <w:rPr>
      <w:rFonts w:ascii="Tahoma" w:hAnsi="Tahoma" w:cs="Tahoma"/>
      <w:sz w:val="16"/>
      <w:szCs w:val="16"/>
    </w:rPr>
  </w:style>
  <w:style w:type="character" w:customStyle="1" w:styleId="hps">
    <w:name w:val="hps"/>
    <w:rsid w:val="004B29B9"/>
  </w:style>
  <w:style w:type="character" w:customStyle="1" w:styleId="atn">
    <w:name w:val="atn"/>
    <w:rsid w:val="00541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67EB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545E57"/>
    <w:pPr>
      <w:ind w:left="567" w:hanging="567"/>
      <w:jc w:val="both"/>
    </w:pPr>
    <w:rPr>
      <w:b/>
      <w:sz w:val="22"/>
      <w:szCs w:val="20"/>
      <w:lang w:eastAsia="en-US"/>
    </w:rPr>
  </w:style>
  <w:style w:type="paragraph" w:styleId="Zpat">
    <w:name w:val="footer"/>
    <w:basedOn w:val="Normln"/>
    <w:rsid w:val="00545E57"/>
    <w:pPr>
      <w:tabs>
        <w:tab w:val="center" w:pos="4536"/>
        <w:tab w:val="center" w:pos="8930"/>
      </w:tabs>
      <w:ind w:left="567" w:hanging="567"/>
    </w:pPr>
    <w:rPr>
      <w:rFonts w:ascii="Helvetica" w:hAnsi="Helvetica"/>
      <w:sz w:val="16"/>
      <w:szCs w:val="20"/>
      <w:lang w:eastAsia="en-US"/>
    </w:rPr>
  </w:style>
  <w:style w:type="paragraph" w:styleId="Zhlav">
    <w:name w:val="header"/>
    <w:basedOn w:val="Normln"/>
    <w:rsid w:val="00545E57"/>
    <w:pPr>
      <w:tabs>
        <w:tab w:val="center" w:pos="4153"/>
        <w:tab w:val="right" w:pos="8306"/>
      </w:tabs>
    </w:pPr>
    <w:rPr>
      <w:lang w:val="en-GB" w:eastAsia="fr-FR"/>
    </w:rPr>
  </w:style>
  <w:style w:type="character" w:styleId="slostrnky">
    <w:name w:val="page number"/>
    <w:basedOn w:val="Standardnpsmoodstavce"/>
    <w:rsid w:val="00545E57"/>
  </w:style>
  <w:style w:type="paragraph" w:styleId="Textbubliny">
    <w:name w:val="Balloon Text"/>
    <w:basedOn w:val="Normln"/>
    <w:semiHidden/>
    <w:rsid w:val="00B81F8E"/>
    <w:rPr>
      <w:rFonts w:ascii="Tahoma" w:hAnsi="Tahoma" w:cs="Tahoma"/>
      <w:sz w:val="16"/>
      <w:szCs w:val="16"/>
    </w:rPr>
  </w:style>
  <w:style w:type="character" w:customStyle="1" w:styleId="hps">
    <w:name w:val="hps"/>
    <w:rsid w:val="004B29B9"/>
  </w:style>
  <w:style w:type="character" w:customStyle="1" w:styleId="atn">
    <w:name w:val="atn"/>
    <w:rsid w:val="00541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966</Words>
  <Characters>5705</Characters>
  <Application>Microsoft Office Word</Application>
  <DocSecurity>0</DocSecurity>
  <Lines>47</Lines>
  <Paragraphs>13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Brano</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Domaci</dc:creator>
  <cp:lastModifiedBy>Neugebauerová Kateřina</cp:lastModifiedBy>
  <cp:revision>4</cp:revision>
  <cp:lastPrinted>2015-04-01T09:48:00Z</cp:lastPrinted>
  <dcterms:created xsi:type="dcterms:W3CDTF">2015-04-22T11:34:00Z</dcterms:created>
  <dcterms:modified xsi:type="dcterms:W3CDTF">2015-04-22T11:35:00Z</dcterms:modified>
</cp:coreProperties>
</file>