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Default="00256C84" w:rsidP="00E11EEC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</w:rPr>
        <w:t>B. PŘÍBALOVÁ INFORMACE</w:t>
      </w:r>
      <w:bookmarkStart w:id="0" w:name="_GoBack"/>
      <w:bookmarkEnd w:id="0"/>
    </w:p>
    <w:p w:rsidR="00D02641" w:rsidRDefault="00D02641" w:rsidP="00D02641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D02641" w:rsidRDefault="00D02641" w:rsidP="00D02641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D02641" w:rsidRDefault="00D02641" w:rsidP="00D02641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</w:rPr>
        <w:t>PODROBNÉ ÚDAJE UVÁDĚNÉ NA VNITŘNÍM OBALU – ETIKETA 1l BALENÍ</w:t>
      </w:r>
    </w:p>
    <w:p w:rsidR="00D02641" w:rsidRPr="00C47650" w:rsidRDefault="00D02641" w:rsidP="00D02641">
      <w:pPr>
        <w:tabs>
          <w:tab w:val="left" w:pos="-720"/>
        </w:tabs>
        <w:suppressAutoHyphens/>
        <w:jc w:val="center"/>
        <w:rPr>
          <w:sz w:val="22"/>
          <w:szCs w:val="22"/>
        </w:rPr>
      </w:pPr>
      <w:r>
        <w:rPr>
          <w:i/>
          <w:sz w:val="22"/>
        </w:rPr>
        <w:t>Všechny potřebné informace jsou uvedeny na obalu</w:t>
      </w:r>
    </w:p>
    <w:p w:rsidR="00256C84" w:rsidRPr="00C47650" w:rsidRDefault="00256C84" w:rsidP="00E11EEC">
      <w:pPr>
        <w:tabs>
          <w:tab w:val="left" w:pos="708"/>
        </w:tabs>
        <w:jc w:val="center"/>
        <w:rPr>
          <w:sz w:val="20"/>
          <w:szCs w:val="22"/>
        </w:rPr>
      </w:pPr>
      <w:r>
        <w:br w:type="page"/>
      </w:r>
      <w:r>
        <w:rPr>
          <w:b/>
          <w:sz w:val="22"/>
        </w:rPr>
        <w:lastRenderedPageBreak/>
        <w:t>PŘÍBALOVÁ INFORMACE PRO:</w:t>
      </w:r>
    </w:p>
    <w:p w:rsidR="00256C84" w:rsidRPr="00C47650" w:rsidRDefault="00370871" w:rsidP="00E11EEC">
      <w:pPr>
        <w:tabs>
          <w:tab w:val="left" w:pos="708"/>
        </w:tabs>
        <w:jc w:val="center"/>
        <w:rPr>
          <w:b/>
          <w:bCs/>
          <w:sz w:val="22"/>
          <w:szCs w:val="22"/>
        </w:rPr>
      </w:pPr>
      <w:bookmarkStart w:id="1" w:name="OLE_LINK9"/>
      <w:r>
        <w:rPr>
          <w:sz w:val="22"/>
        </w:rPr>
        <w:t>Espacox 50 mg/ml perorální suspenze pro prasata</w:t>
      </w:r>
    </w:p>
    <w:bookmarkEnd w:id="1"/>
    <w:p w:rsidR="00256C84" w:rsidRPr="00C47650" w:rsidRDefault="00256C84" w:rsidP="00E11EEC">
      <w:pPr>
        <w:tabs>
          <w:tab w:val="left" w:pos="708"/>
        </w:tabs>
        <w:jc w:val="center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</w:rPr>
        <w:t>1.</w:t>
      </w:r>
      <w:r>
        <w:tab/>
      </w:r>
      <w:r>
        <w:rPr>
          <w:b/>
          <w:sz w:val="22"/>
        </w:rPr>
        <w:t>JMÉNO A ADRESA DRŽITELE ROZHODNUTÍ O REGISTRACI A DRŽITELE POVOLENÍ K VÝROBĚ ODPOVĚDNÉHO ZA UVOLNĚNÍ ŠARŽE, POKUD SE NESHODUJE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370871" w:rsidP="00726786">
      <w:pPr>
        <w:tabs>
          <w:tab w:val="left" w:pos="708"/>
        </w:tabs>
        <w:jc w:val="both"/>
        <w:rPr>
          <w:iCs/>
          <w:sz w:val="22"/>
          <w:szCs w:val="22"/>
        </w:rPr>
      </w:pPr>
      <w:bookmarkStart w:id="2" w:name="OLE_LINK1"/>
      <w:bookmarkStart w:id="3" w:name="OLE_LINK2"/>
      <w:r>
        <w:rPr>
          <w:sz w:val="22"/>
          <w:u w:val="single"/>
        </w:rPr>
        <w:t>Držitel rozhodnutí o registraci a výrobce odpovědný za uvolnění šarže</w:t>
      </w:r>
      <w:r>
        <w:rPr>
          <w:sz w:val="22"/>
        </w:rPr>
        <w:t>:</w:t>
      </w:r>
    </w:p>
    <w:bookmarkEnd w:id="2"/>
    <w:bookmarkEnd w:id="3"/>
    <w:p w:rsidR="00846A81" w:rsidRPr="006E5309" w:rsidRDefault="00846A81" w:rsidP="00726786">
      <w:pPr>
        <w:jc w:val="both"/>
        <w:rPr>
          <w:sz w:val="22"/>
          <w:szCs w:val="22"/>
        </w:rPr>
      </w:pPr>
      <w:r>
        <w:rPr>
          <w:sz w:val="22"/>
        </w:rPr>
        <w:t>Industrial Veterinaria, S.A.</w:t>
      </w:r>
    </w:p>
    <w:p w:rsidR="00846A81" w:rsidRPr="00C47650" w:rsidRDefault="00846A81" w:rsidP="00726786">
      <w:pPr>
        <w:jc w:val="both"/>
        <w:rPr>
          <w:sz w:val="22"/>
          <w:szCs w:val="22"/>
        </w:rPr>
      </w:pPr>
      <w:r>
        <w:rPr>
          <w:sz w:val="22"/>
        </w:rPr>
        <w:t>Esmeralda, 19</w:t>
      </w:r>
    </w:p>
    <w:p w:rsidR="00846A81" w:rsidRPr="00C47650" w:rsidRDefault="00846A81" w:rsidP="00726786">
      <w:pPr>
        <w:jc w:val="both"/>
        <w:rPr>
          <w:sz w:val="22"/>
          <w:szCs w:val="22"/>
        </w:rPr>
      </w:pPr>
      <w:r>
        <w:rPr>
          <w:sz w:val="22"/>
        </w:rPr>
        <w:t>E-08950 Esplugues de Llobregat (Barcelona), Španělsko</w:t>
      </w:r>
    </w:p>
    <w:p w:rsidR="00260278" w:rsidRPr="00C47650" w:rsidRDefault="00260278" w:rsidP="00726786">
      <w:pPr>
        <w:tabs>
          <w:tab w:val="left" w:pos="708"/>
        </w:tabs>
        <w:jc w:val="both"/>
        <w:rPr>
          <w:iCs/>
          <w:sz w:val="22"/>
          <w:szCs w:val="22"/>
          <w:u w:val="single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</w:rPr>
        <w:t>2.</w:t>
      </w:r>
      <w:r>
        <w:tab/>
      </w:r>
      <w:r>
        <w:rPr>
          <w:b/>
          <w:sz w:val="22"/>
        </w:rPr>
        <w:t>NÁZEV VETERINÁRNÍHO LÉČIVÉHO PŘÍPRAVKU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370871" w:rsidP="00726786">
      <w:pPr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sz w:val="22"/>
        </w:rPr>
        <w:t>Espacox 50 mg/ml perorální suspenze pro prasata</w:t>
      </w:r>
    </w:p>
    <w:p w:rsidR="00256C84" w:rsidRPr="00331912" w:rsidRDefault="00370871" w:rsidP="00726786">
      <w:pPr>
        <w:tabs>
          <w:tab w:val="left" w:pos="708"/>
        </w:tabs>
        <w:jc w:val="both"/>
        <w:rPr>
          <w:sz w:val="22"/>
          <w:szCs w:val="22"/>
        </w:rPr>
      </w:pPr>
      <w:r w:rsidRPr="006519A8">
        <w:rPr>
          <w:sz w:val="22"/>
        </w:rPr>
        <w:t>Toltrazuril</w:t>
      </w:r>
      <w:r w:rsidR="00704502">
        <w:rPr>
          <w:sz w:val="22"/>
        </w:rPr>
        <w:t>um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</w:rPr>
        <w:t>3.</w:t>
      </w:r>
      <w:r>
        <w:tab/>
      </w:r>
      <w:r>
        <w:rPr>
          <w:b/>
          <w:sz w:val="22"/>
        </w:rPr>
        <w:t>OBSAH LÉČIVÝCH A OSTATNÍCH LÁTEK</w:t>
      </w:r>
    </w:p>
    <w:p w:rsidR="00256C84" w:rsidRPr="00C47650" w:rsidRDefault="00256C84" w:rsidP="00726786">
      <w:pPr>
        <w:tabs>
          <w:tab w:val="left" w:pos="708"/>
        </w:tabs>
        <w:jc w:val="both"/>
        <w:rPr>
          <w:iCs/>
          <w:sz w:val="22"/>
          <w:szCs w:val="22"/>
        </w:rPr>
      </w:pP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Jeden ml obsahuje:</w:t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tab/>
      </w:r>
    </w:p>
    <w:p w:rsidR="00370871" w:rsidRPr="00C47650" w:rsidRDefault="00370871" w:rsidP="003708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Léčivá látka:</w:t>
      </w:r>
      <w:r>
        <w:tab/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Toltrazuril</w:t>
      </w:r>
      <w:r w:rsidR="00704502">
        <w:rPr>
          <w:color w:val="000000"/>
          <w:sz w:val="22"/>
        </w:rPr>
        <w:t>um</w:t>
      </w:r>
      <w:r>
        <w:tab/>
      </w:r>
      <w:r>
        <w:tab/>
      </w:r>
      <w:r>
        <w:tab/>
      </w:r>
      <w:r>
        <w:rPr>
          <w:color w:val="000000"/>
          <w:sz w:val="22"/>
        </w:rPr>
        <w:t>50 mg</w:t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</w:p>
    <w:p w:rsidR="00370871" w:rsidRPr="00C47650" w:rsidRDefault="00370871" w:rsidP="003708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Pomocné látky:</w:t>
      </w:r>
      <w:r>
        <w:tab/>
      </w:r>
    </w:p>
    <w:p w:rsidR="00370871" w:rsidRPr="00C47650" w:rsidRDefault="00704502" w:rsidP="00370871">
      <w:pPr>
        <w:jc w:val="both"/>
        <w:rPr>
          <w:color w:val="000000"/>
          <w:sz w:val="22"/>
          <w:szCs w:val="22"/>
        </w:rPr>
      </w:pPr>
      <w:r w:rsidRPr="006519A8">
        <w:rPr>
          <w:color w:val="000000"/>
          <w:sz w:val="22"/>
          <w:szCs w:val="22"/>
        </w:rPr>
        <w:t>Natrium-benzoát</w:t>
      </w:r>
      <w:r w:rsidR="00370871">
        <w:rPr>
          <w:color w:val="000000"/>
          <w:sz w:val="22"/>
        </w:rPr>
        <w:t xml:space="preserve"> (E211)</w:t>
      </w:r>
      <w:r w:rsidR="00370871">
        <w:tab/>
      </w:r>
      <w:r w:rsidR="00370871">
        <w:rPr>
          <w:color w:val="000000"/>
          <w:sz w:val="22"/>
        </w:rPr>
        <w:t>2,1 mg</w:t>
      </w:r>
    </w:p>
    <w:p w:rsidR="00370871" w:rsidRPr="00C47650" w:rsidRDefault="00704502" w:rsidP="00370871">
      <w:pPr>
        <w:jc w:val="both"/>
        <w:rPr>
          <w:color w:val="000000"/>
          <w:sz w:val="22"/>
          <w:szCs w:val="22"/>
        </w:rPr>
      </w:pPr>
      <w:r w:rsidRPr="006519A8">
        <w:rPr>
          <w:color w:val="000000"/>
          <w:sz w:val="22"/>
          <w:szCs w:val="22"/>
        </w:rPr>
        <w:t>Natrium-propionát</w:t>
      </w:r>
      <w:r w:rsidR="00370871">
        <w:rPr>
          <w:color w:val="000000"/>
          <w:sz w:val="22"/>
        </w:rPr>
        <w:t xml:space="preserve"> (E281)</w:t>
      </w:r>
      <w:r w:rsidR="00370871">
        <w:tab/>
      </w:r>
      <w:r w:rsidR="00370871">
        <w:rPr>
          <w:color w:val="000000"/>
          <w:sz w:val="22"/>
        </w:rPr>
        <w:t>2,1 mg</w:t>
      </w:r>
    </w:p>
    <w:p w:rsidR="00B10EF2" w:rsidRDefault="00B10EF2" w:rsidP="00726786">
      <w:pPr>
        <w:tabs>
          <w:tab w:val="num" w:pos="284"/>
        </w:tabs>
        <w:jc w:val="both"/>
        <w:rPr>
          <w:sz w:val="22"/>
          <w:szCs w:val="22"/>
        </w:rPr>
      </w:pPr>
    </w:p>
    <w:p w:rsidR="00C51ED3" w:rsidRDefault="00C51ED3" w:rsidP="00726786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</w:rPr>
        <w:t>Bílá nebo nažloutlá suspenze</w:t>
      </w:r>
    </w:p>
    <w:p w:rsidR="00C51ED3" w:rsidRPr="00C47650" w:rsidRDefault="00C51ED3" w:rsidP="00726786">
      <w:pPr>
        <w:tabs>
          <w:tab w:val="num" w:pos="284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</w:rPr>
        <w:t>4.</w:t>
      </w:r>
      <w:r>
        <w:tab/>
      </w:r>
      <w:r>
        <w:rPr>
          <w:b/>
          <w:sz w:val="22"/>
        </w:rPr>
        <w:t>INDIKACE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924F0B" w:rsidRPr="00C47650" w:rsidRDefault="00370871" w:rsidP="00726786">
      <w:pPr>
        <w:tabs>
          <w:tab w:val="left" w:pos="70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Prevence klinických příznaků kokcidiózy u novorozených selat (3-5 dní starých) na farmách s dřívějším výskytem kokcidiózy způsobené druhem </w:t>
      </w:r>
      <w:r>
        <w:rPr>
          <w:i/>
          <w:color w:val="000000"/>
          <w:sz w:val="22"/>
        </w:rPr>
        <w:t>Isospora suis</w:t>
      </w:r>
      <w:r>
        <w:rPr>
          <w:color w:val="000000"/>
          <w:sz w:val="22"/>
        </w:rPr>
        <w:t>.</w:t>
      </w:r>
    </w:p>
    <w:p w:rsidR="00370871" w:rsidRPr="00C47650" w:rsidRDefault="00370871" w:rsidP="00726786">
      <w:pPr>
        <w:tabs>
          <w:tab w:val="left" w:pos="708"/>
        </w:tabs>
        <w:jc w:val="both"/>
        <w:rPr>
          <w:b/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</w:rPr>
        <w:t>5.</w:t>
      </w:r>
      <w:r>
        <w:tab/>
      </w:r>
      <w:r>
        <w:rPr>
          <w:b/>
          <w:sz w:val="22"/>
        </w:rPr>
        <w:t>KONTRAINDIKACE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FC1A7A" w:rsidRDefault="00A06978" w:rsidP="00FC1A7A">
      <w:pPr>
        <w:tabs>
          <w:tab w:val="left" w:pos="708"/>
        </w:tabs>
        <w:jc w:val="both"/>
        <w:rPr>
          <w:color w:val="000000"/>
          <w:sz w:val="22"/>
          <w:szCs w:val="22"/>
        </w:rPr>
      </w:pPr>
      <w:bookmarkStart w:id="4" w:name="OLE_LINK11"/>
      <w:r>
        <w:rPr>
          <w:color w:val="000000"/>
          <w:sz w:val="22"/>
        </w:rPr>
        <w:t>Nepoužívat v případě přecitlivělosti na léčivou látku nebo na některou z pomocných látek.</w:t>
      </w:r>
    </w:p>
    <w:p w:rsidR="00A06978" w:rsidRPr="00C47650" w:rsidRDefault="00A06978" w:rsidP="00726786">
      <w:pPr>
        <w:tabs>
          <w:tab w:val="left" w:pos="851"/>
          <w:tab w:val="left" w:pos="6804"/>
        </w:tabs>
        <w:jc w:val="both"/>
        <w:rPr>
          <w:sz w:val="22"/>
          <w:szCs w:val="22"/>
        </w:rPr>
      </w:pPr>
    </w:p>
    <w:bookmarkEnd w:id="4"/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</w:rPr>
        <w:t>6.</w:t>
      </w:r>
      <w:r>
        <w:tab/>
      </w:r>
      <w:r>
        <w:rPr>
          <w:b/>
          <w:sz w:val="22"/>
        </w:rPr>
        <w:t>NEŽÁDOUCÍ ÚČINKY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370871" w:rsidRPr="00C47650" w:rsidRDefault="00370871" w:rsidP="00370871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</w:rPr>
        <w:t>Nejsou známy.</w:t>
      </w:r>
    </w:p>
    <w:p w:rsidR="00370871" w:rsidRPr="00C47650" w:rsidRDefault="00370871" w:rsidP="00370871">
      <w:pPr>
        <w:tabs>
          <w:tab w:val="num" w:pos="284"/>
        </w:tabs>
        <w:jc w:val="both"/>
        <w:rPr>
          <w:sz w:val="22"/>
          <w:szCs w:val="22"/>
        </w:rPr>
      </w:pPr>
    </w:p>
    <w:p w:rsidR="00370871" w:rsidRPr="00C47650" w:rsidRDefault="00370871" w:rsidP="00370871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</w:rPr>
        <w:t>Jestliže zaznamenáte jakékoliv závažné nežádoucí účinky či jiné reakce, které nejsou uvedeny v této příbalové informaci, oznamte to prosím vašemu veterinárnímu lékaři.</w:t>
      </w:r>
    </w:p>
    <w:p w:rsidR="00256C84" w:rsidRPr="00C47650" w:rsidRDefault="00256C84" w:rsidP="00370871">
      <w:pPr>
        <w:tabs>
          <w:tab w:val="num" w:pos="284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</w:rPr>
        <w:t>7.</w:t>
      </w:r>
      <w:r>
        <w:tab/>
      </w:r>
      <w:r>
        <w:rPr>
          <w:b/>
          <w:sz w:val="22"/>
        </w:rPr>
        <w:t>CÍLOVÝ DRUH ZVÍŘAT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Prasata (selata, 3-5 dní stará).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</w:rPr>
        <w:t>8.</w:t>
      </w:r>
      <w:r>
        <w:tab/>
      </w:r>
      <w:r>
        <w:rPr>
          <w:b/>
          <w:sz w:val="22"/>
        </w:rPr>
        <w:t>DÁVKOVÁNÍ PRO KAŽDÝ DRUH, CESTA(Y) A ZPŮSOB PODÁNÍ</w:t>
      </w:r>
    </w:p>
    <w:p w:rsidR="00A035D8" w:rsidRPr="00C47650" w:rsidRDefault="00A035D8" w:rsidP="00726786">
      <w:pPr>
        <w:tabs>
          <w:tab w:val="left" w:pos="708"/>
        </w:tabs>
        <w:jc w:val="both"/>
        <w:rPr>
          <w:b/>
          <w:sz w:val="22"/>
          <w:szCs w:val="22"/>
          <w:highlight w:val="yellow"/>
        </w:rPr>
      </w:pPr>
    </w:p>
    <w:p w:rsidR="00370871" w:rsidRPr="00C47650" w:rsidRDefault="00370871" w:rsidP="003708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Perorální podání.</w:t>
      </w:r>
    </w:p>
    <w:p w:rsidR="00370871" w:rsidRPr="00C47650" w:rsidRDefault="00370871" w:rsidP="003708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Individuální léčba jednotlivých zvířat.</w:t>
      </w:r>
    </w:p>
    <w:p w:rsidR="00370871" w:rsidRPr="00E53632" w:rsidRDefault="00370871" w:rsidP="00E53632">
      <w:pPr>
        <w:pStyle w:val="Textkomente"/>
      </w:pPr>
      <w:r>
        <w:rPr>
          <w:color w:val="000000"/>
          <w:sz w:val="22"/>
        </w:rPr>
        <w:lastRenderedPageBreak/>
        <w:t xml:space="preserve">Každé prase 3.-5. den života obdrží perorálně jednu dávku 20 mg toltrazurilu/kg </w:t>
      </w:r>
      <w:r w:rsidR="00E53632">
        <w:t>ž.hm.</w:t>
      </w:r>
      <w:r w:rsidR="00E53632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tj. 0,4 ml perorální suspenze na kg hmotnosti.</w:t>
      </w:r>
    </w:p>
    <w:p w:rsidR="00370871" w:rsidRPr="00C47650" w:rsidRDefault="00370871" w:rsidP="003708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Vzhledem k malým objemům dávek pro každé sele se doporučuje použít dávkovací zařízení s přesností na 0,1 ml. </w:t>
      </w:r>
    </w:p>
    <w:p w:rsidR="00370871" w:rsidRPr="00C47650" w:rsidRDefault="00370871" w:rsidP="003708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Perorální suspenzi je třeba před použitím protřepat.</w:t>
      </w:r>
    </w:p>
    <w:p w:rsidR="00370871" w:rsidRPr="00C47650" w:rsidRDefault="00370871" w:rsidP="00370871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99"/>
        </w:rPr>
      </w:pPr>
      <w:r>
        <w:rPr>
          <w:color w:val="000000"/>
          <w:sz w:val="22"/>
        </w:rPr>
        <w:t>Léčba při vypuknutí choroby má u napadeného zvířete jen omezenou hodnotu, protože již došlo k poškození tenkého střeva.</w:t>
      </w:r>
    </w:p>
    <w:p w:rsidR="00A035D8" w:rsidRPr="00C47650" w:rsidRDefault="00A035D8" w:rsidP="00726786">
      <w:pPr>
        <w:tabs>
          <w:tab w:val="num" w:pos="284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</w:rPr>
        <w:t>9.</w:t>
      </w:r>
      <w:r>
        <w:tab/>
      </w:r>
      <w:r>
        <w:rPr>
          <w:b/>
          <w:sz w:val="22"/>
        </w:rPr>
        <w:t>POKYNY PRO SPRÁVNÉ PODÁNÍ</w:t>
      </w:r>
    </w:p>
    <w:p w:rsidR="00B93AFB" w:rsidRPr="00C47650" w:rsidRDefault="00B93AFB" w:rsidP="00726786">
      <w:pPr>
        <w:tabs>
          <w:tab w:val="left" w:pos="6804"/>
        </w:tabs>
        <w:jc w:val="both"/>
        <w:rPr>
          <w:sz w:val="22"/>
          <w:szCs w:val="22"/>
        </w:rPr>
      </w:pPr>
    </w:p>
    <w:p w:rsidR="00726786" w:rsidRPr="00C47650" w:rsidRDefault="00726786" w:rsidP="00726786">
      <w:pPr>
        <w:tabs>
          <w:tab w:val="left" w:pos="6804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</w:rPr>
        <w:t>10.</w:t>
      </w:r>
      <w:r>
        <w:tab/>
      </w:r>
      <w:r>
        <w:rPr>
          <w:b/>
          <w:sz w:val="22"/>
        </w:rPr>
        <w:t>OCHRANNÁ LHŮTA</w:t>
      </w:r>
    </w:p>
    <w:p w:rsidR="00256C84" w:rsidRPr="00C47650" w:rsidRDefault="00256C84" w:rsidP="00726786">
      <w:pPr>
        <w:tabs>
          <w:tab w:val="left" w:pos="708"/>
        </w:tabs>
        <w:jc w:val="both"/>
        <w:rPr>
          <w:iCs/>
          <w:sz w:val="22"/>
          <w:szCs w:val="22"/>
          <w:highlight w:val="yellow"/>
        </w:rPr>
      </w:pPr>
    </w:p>
    <w:p w:rsidR="00370871" w:rsidRPr="006E5309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Maso:   73 dní</w:t>
      </w:r>
    </w:p>
    <w:p w:rsidR="00256C84" w:rsidRPr="006E5309" w:rsidRDefault="00256C84" w:rsidP="00726786">
      <w:pPr>
        <w:tabs>
          <w:tab w:val="left" w:pos="708"/>
        </w:tabs>
        <w:jc w:val="both"/>
        <w:rPr>
          <w:iCs/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</w:rPr>
        <w:t>11.</w:t>
      </w:r>
      <w:r>
        <w:tab/>
      </w:r>
      <w:r>
        <w:rPr>
          <w:b/>
          <w:sz w:val="22"/>
        </w:rPr>
        <w:t>ZVLÁŠTNÍ OPATŘENÍ PRO UCHOVÁVÁNÍ</w:t>
      </w:r>
    </w:p>
    <w:p w:rsidR="00256C84" w:rsidRPr="00C47650" w:rsidRDefault="00256C84" w:rsidP="00726786">
      <w:pPr>
        <w:numPr>
          <w:ilvl w:val="12"/>
          <w:numId w:val="0"/>
        </w:numPr>
        <w:tabs>
          <w:tab w:val="left" w:pos="567"/>
        </w:tabs>
        <w:spacing w:line="260" w:lineRule="exact"/>
        <w:jc w:val="both"/>
        <w:rPr>
          <w:sz w:val="22"/>
          <w:szCs w:val="22"/>
          <w:highlight w:val="yellow"/>
        </w:rPr>
      </w:pPr>
    </w:p>
    <w:p w:rsidR="00D85078" w:rsidRPr="00C47650" w:rsidRDefault="00D85078" w:rsidP="00726786">
      <w:pPr>
        <w:jc w:val="both"/>
        <w:rPr>
          <w:sz w:val="22"/>
          <w:szCs w:val="22"/>
        </w:rPr>
      </w:pPr>
      <w:r>
        <w:rPr>
          <w:sz w:val="22"/>
        </w:rPr>
        <w:t>Uchovávat mimo dosah dětí.</w:t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Tento veterinární léčivý přípravek nevyžaduje žádné zvláštní podmínky uchovávání.</w:t>
      </w:r>
    </w:p>
    <w:p w:rsidR="00370871" w:rsidRPr="00C47650" w:rsidRDefault="00370871" w:rsidP="00726786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</w:p>
    <w:p w:rsidR="000A0F38" w:rsidRPr="00A43875" w:rsidRDefault="000A0F38" w:rsidP="000A0F38">
      <w:pPr>
        <w:tabs>
          <w:tab w:val="left" w:pos="567"/>
        </w:tabs>
        <w:spacing w:line="260" w:lineRule="exact"/>
        <w:jc w:val="both"/>
        <w:rPr>
          <w:sz w:val="22"/>
          <w:szCs w:val="20"/>
        </w:rPr>
      </w:pPr>
      <w:r>
        <w:rPr>
          <w:sz w:val="22"/>
        </w:rPr>
        <w:t>Nepoužívejte tento veterinární léčivý přípravek po uplynutí doby použitelnosti uvedené na etiketě.</w:t>
      </w:r>
    </w:p>
    <w:p w:rsidR="00370871" w:rsidRPr="00C47650" w:rsidRDefault="00370871" w:rsidP="00370871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</w:rPr>
        <w:t>Doba použitelnosti po prvním otevření vnitřního obalu: 6 měsíců.</w:t>
      </w:r>
    </w:p>
    <w:p w:rsidR="0026654A" w:rsidRPr="00E53632" w:rsidRDefault="0026654A" w:rsidP="00726786">
      <w:pPr>
        <w:pStyle w:val="Textvysvtlivek"/>
        <w:tabs>
          <w:tab w:val="clear" w:pos="567"/>
          <w:tab w:val="left" w:pos="708"/>
        </w:tabs>
        <w:jc w:val="both"/>
        <w:rPr>
          <w:szCs w:val="22"/>
          <w:highlight w:val="green"/>
          <w:lang w:val="nl-NL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</w:rPr>
        <w:t>12.</w:t>
      </w:r>
      <w:r>
        <w:tab/>
      </w:r>
      <w:r>
        <w:rPr>
          <w:b/>
          <w:sz w:val="22"/>
        </w:rPr>
        <w:t>ZVLÁŠTNÍ UPOZORNĚNÍ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370871" w:rsidRPr="00C47650" w:rsidRDefault="00370871" w:rsidP="00370871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</w:rPr>
        <w:t>Zvláštní upozornění pro každý cílový druh</w:t>
      </w:r>
    </w:p>
    <w:p w:rsidR="00370871" w:rsidRPr="00C47650" w:rsidRDefault="00370871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A06978" w:rsidRPr="00A06978" w:rsidRDefault="00A06978" w:rsidP="00A06978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>Přípravek se doporučuje podávat všem zvířatům v kotci.</w:t>
      </w:r>
    </w:p>
    <w:p w:rsidR="00A06978" w:rsidRPr="00C47650" w:rsidRDefault="00A06978" w:rsidP="00A06978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>Riziko kokcidiózy lze snížit pomocí hygienických opatření. Proto se doporučuje současně zlepšit hygienické podmínky v chovu, zejména zajistit sucho a čistotu.</w:t>
      </w:r>
    </w:p>
    <w:p w:rsidR="00370871" w:rsidRPr="00C47650" w:rsidRDefault="00370871" w:rsidP="00370871">
      <w:pPr>
        <w:tabs>
          <w:tab w:val="num" w:pos="284"/>
        </w:tabs>
        <w:jc w:val="both"/>
        <w:rPr>
          <w:sz w:val="22"/>
          <w:szCs w:val="22"/>
        </w:rPr>
      </w:pPr>
    </w:p>
    <w:p w:rsidR="00C443EA" w:rsidRPr="00C47650" w:rsidRDefault="00C443EA" w:rsidP="00726786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</w:rPr>
        <w:t>Zvláštní opatření pro použití u zvířat</w:t>
      </w:r>
    </w:p>
    <w:p w:rsidR="0026654A" w:rsidRPr="00C47650" w:rsidRDefault="0026654A" w:rsidP="00726786">
      <w:pPr>
        <w:jc w:val="both"/>
        <w:rPr>
          <w:sz w:val="22"/>
          <w:szCs w:val="22"/>
        </w:rPr>
      </w:pPr>
    </w:p>
    <w:p w:rsidR="00A06978" w:rsidRPr="00FC1A7A" w:rsidRDefault="00A06978" w:rsidP="00FC1A7A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 xml:space="preserve">K léčbě již nemocných zvířat se známkami průjmu může být zapotřebí další, podpůrná terapie. </w:t>
      </w:r>
    </w:p>
    <w:p w:rsidR="00A06978" w:rsidRPr="00FC1A7A" w:rsidRDefault="00A06978" w:rsidP="00FC1A7A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>Časté a opakované použití antiprotozik stejné třídy může – stejně jako u všech antiparazitik – vést ke vzniku rezistence.</w:t>
      </w:r>
    </w:p>
    <w:p w:rsidR="0026654A" w:rsidRPr="00A06978" w:rsidRDefault="0026654A" w:rsidP="00726786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552ED9" w:rsidRPr="00C47650" w:rsidRDefault="00552ED9" w:rsidP="00726786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</w:rPr>
        <w:t>Zvláštní opatření určené osobám, které podávají veterinární léčivý přípravek zvířatům</w:t>
      </w:r>
    </w:p>
    <w:p w:rsidR="00552ED9" w:rsidRPr="00C47650" w:rsidRDefault="00552ED9" w:rsidP="00726786">
      <w:pPr>
        <w:jc w:val="both"/>
        <w:rPr>
          <w:sz w:val="22"/>
          <w:szCs w:val="22"/>
          <w:highlight w:val="yellow"/>
        </w:rPr>
      </w:pPr>
    </w:p>
    <w:p w:rsidR="00370871" w:rsidRPr="008158BB" w:rsidRDefault="00370871" w:rsidP="00370871">
      <w:pPr>
        <w:jc w:val="both"/>
        <w:rPr>
          <w:sz w:val="22"/>
          <w:szCs w:val="22"/>
        </w:rPr>
      </w:pPr>
      <w:r w:rsidRPr="00922B47">
        <w:rPr>
          <w:sz w:val="22"/>
          <w:szCs w:val="22"/>
        </w:rPr>
        <w:t xml:space="preserve">V případě náhodného pozření vyhledejte ihned lékařskou pomoc a ukažte příbalovou informaci nebo etiketu praktickému lékaři.  </w:t>
      </w:r>
      <w:r w:rsidRPr="006519A8">
        <w:rPr>
          <w:sz w:val="22"/>
          <w:szCs w:val="22"/>
        </w:rPr>
        <w:tab/>
      </w:r>
    </w:p>
    <w:p w:rsidR="00370871" w:rsidRPr="008158BB" w:rsidRDefault="00370871" w:rsidP="00370871">
      <w:pPr>
        <w:jc w:val="both"/>
        <w:rPr>
          <w:sz w:val="22"/>
          <w:szCs w:val="22"/>
        </w:rPr>
      </w:pPr>
    </w:p>
    <w:p w:rsidR="00390818" w:rsidRPr="008158BB" w:rsidRDefault="00390818" w:rsidP="00390818">
      <w:pPr>
        <w:jc w:val="both"/>
        <w:rPr>
          <w:color w:val="000000"/>
          <w:sz w:val="22"/>
          <w:szCs w:val="22"/>
        </w:rPr>
      </w:pPr>
      <w:r w:rsidRPr="00922B47">
        <w:rPr>
          <w:color w:val="000000"/>
          <w:sz w:val="22"/>
          <w:szCs w:val="22"/>
        </w:rPr>
        <w:t>Lidé se známou přecitlivělostí na toltrazuril nebo některou z pomocných látek by se měli vyhnout kontaktu s veterinárním léčivým přípravkem.</w:t>
      </w:r>
    </w:p>
    <w:p w:rsidR="008158BB" w:rsidRPr="006519A8" w:rsidRDefault="008158BB" w:rsidP="008158BB">
      <w:pPr>
        <w:jc w:val="both"/>
        <w:rPr>
          <w:color w:val="000000"/>
          <w:sz w:val="22"/>
          <w:szCs w:val="22"/>
        </w:rPr>
      </w:pPr>
      <w:r w:rsidRPr="006519A8">
        <w:rPr>
          <w:color w:val="000000"/>
          <w:sz w:val="22"/>
          <w:szCs w:val="22"/>
        </w:rPr>
        <w:t xml:space="preserve">Zabraňte kontaktu přípravku s kůží a očima. </w:t>
      </w:r>
    </w:p>
    <w:p w:rsidR="008158BB" w:rsidRPr="006519A8" w:rsidRDefault="008158BB" w:rsidP="008158BB">
      <w:pPr>
        <w:jc w:val="both"/>
        <w:rPr>
          <w:color w:val="000000"/>
          <w:sz w:val="22"/>
          <w:szCs w:val="22"/>
        </w:rPr>
      </w:pPr>
      <w:r w:rsidRPr="006519A8">
        <w:rPr>
          <w:color w:val="000000"/>
          <w:sz w:val="22"/>
          <w:szCs w:val="22"/>
        </w:rPr>
        <w:t>Zasaženou kůži nebo oči ihned omyjte vodou.</w:t>
      </w:r>
    </w:p>
    <w:p w:rsidR="008158BB" w:rsidRPr="006519A8" w:rsidRDefault="008158BB" w:rsidP="008158BB">
      <w:pPr>
        <w:jc w:val="both"/>
        <w:rPr>
          <w:color w:val="000000"/>
          <w:sz w:val="22"/>
          <w:szCs w:val="22"/>
        </w:rPr>
      </w:pPr>
      <w:r w:rsidRPr="006519A8">
        <w:rPr>
          <w:color w:val="000000"/>
          <w:sz w:val="22"/>
          <w:szCs w:val="22"/>
        </w:rPr>
        <w:t>Při manipulaci s přípravkem nejezte, nepijte ani nekuřte.</w:t>
      </w:r>
    </w:p>
    <w:p w:rsidR="0081114E" w:rsidRPr="00E53632" w:rsidRDefault="0081114E" w:rsidP="00370871">
      <w:pPr>
        <w:pStyle w:val="Nadpis1"/>
        <w:jc w:val="both"/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C443EA" w:rsidRPr="00E53632" w:rsidRDefault="00370871" w:rsidP="00370871">
      <w:pPr>
        <w:pStyle w:val="Nadpis1"/>
        <w:jc w:val="both"/>
        <w:rPr>
          <w:rFonts w:ascii="Times New Roman" w:hAnsi="Times New Roman" w:cs="Times New Roman"/>
          <w:b/>
          <w:sz w:val="22"/>
          <w:szCs w:val="22"/>
          <w:lang w:val="nl-NL"/>
        </w:rPr>
      </w:pPr>
      <w:r w:rsidRPr="00E53632">
        <w:rPr>
          <w:rFonts w:ascii="Times New Roman" w:hAnsi="Times New Roman"/>
          <w:b/>
          <w:sz w:val="22"/>
          <w:lang w:val="nl-NL"/>
        </w:rPr>
        <w:t>Interakce s dalšími léčivými přípravky a další formy interakce</w:t>
      </w:r>
    </w:p>
    <w:p w:rsidR="0026654A" w:rsidRPr="00C47650" w:rsidRDefault="0026654A" w:rsidP="00726786">
      <w:pPr>
        <w:jc w:val="both"/>
        <w:rPr>
          <w:sz w:val="22"/>
          <w:szCs w:val="22"/>
        </w:rPr>
      </w:pP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Nejsou známy.</w:t>
      </w:r>
    </w:p>
    <w:p w:rsidR="004D298F" w:rsidRPr="00C47650" w:rsidRDefault="00370871" w:rsidP="00370871">
      <w:pPr>
        <w:tabs>
          <w:tab w:val="left" w:pos="70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Přípravek nemá interakce s doplňkovými přípravky železa.</w:t>
      </w:r>
    </w:p>
    <w:p w:rsidR="00370871" w:rsidRPr="00C47650" w:rsidRDefault="00370871" w:rsidP="00370871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26654A" w:rsidRPr="00E53632" w:rsidRDefault="00370871" w:rsidP="00726786">
      <w:pPr>
        <w:pStyle w:val="Nadpis1"/>
        <w:jc w:val="both"/>
        <w:rPr>
          <w:rFonts w:ascii="Times New Roman" w:hAnsi="Times New Roman" w:cs="Times New Roman"/>
          <w:b/>
          <w:sz w:val="22"/>
          <w:szCs w:val="22"/>
          <w:lang w:val="nl-NL"/>
        </w:rPr>
      </w:pPr>
      <w:r w:rsidRPr="00E53632">
        <w:rPr>
          <w:rFonts w:ascii="Times New Roman" w:hAnsi="Times New Roman"/>
          <w:b/>
          <w:sz w:val="22"/>
          <w:lang w:val="nl-NL"/>
        </w:rPr>
        <w:t>Předávkování (symptomy, první pomoc, antidota)</w:t>
      </w:r>
    </w:p>
    <w:p w:rsidR="00370871" w:rsidRPr="00C47650" w:rsidRDefault="00370871" w:rsidP="00370871">
      <w:pPr>
        <w:rPr>
          <w:sz w:val="22"/>
          <w:szCs w:val="22"/>
        </w:rPr>
      </w:pP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U selat nebyly pozorovány žádné známky intolerance až do trojnásobku doporučených dávek.</w:t>
      </w:r>
    </w:p>
    <w:p w:rsidR="00552ED9" w:rsidRPr="00E53632" w:rsidRDefault="00552ED9" w:rsidP="00726786">
      <w:pPr>
        <w:pStyle w:val="Nadpis1"/>
        <w:jc w:val="both"/>
        <w:rPr>
          <w:rFonts w:ascii="Times New Roman" w:hAnsi="Times New Roman" w:cs="Times New Roman"/>
          <w:sz w:val="22"/>
          <w:szCs w:val="22"/>
          <w:highlight w:val="yellow"/>
          <w:lang w:val="nl-NL"/>
        </w:rPr>
      </w:pPr>
    </w:p>
    <w:p w:rsidR="00552ED9" w:rsidRPr="00C47650" w:rsidRDefault="00552ED9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b/>
          <w:sz w:val="22"/>
        </w:rPr>
        <w:t>Inkompatibility</w:t>
      </w:r>
    </w:p>
    <w:p w:rsidR="0026654A" w:rsidRPr="00C47650" w:rsidRDefault="0026654A" w:rsidP="00726786">
      <w:pPr>
        <w:tabs>
          <w:tab w:val="left" w:pos="828"/>
          <w:tab w:val="left" w:pos="9286"/>
        </w:tabs>
        <w:jc w:val="both"/>
        <w:rPr>
          <w:sz w:val="22"/>
          <w:szCs w:val="22"/>
          <w:highlight w:val="yellow"/>
        </w:rPr>
      </w:pPr>
    </w:p>
    <w:p w:rsidR="00F3368A" w:rsidRPr="00C47650" w:rsidRDefault="00370871" w:rsidP="00726786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Studie kompatibility nejsou k dispozici, a proto tento veterinární léčivý přípravek nesmí být mísen s žádnými dalšími veterinárními léčivými přípravky.</w:t>
      </w:r>
    </w:p>
    <w:p w:rsidR="00F3368A" w:rsidRPr="00C47650" w:rsidRDefault="00F3368A" w:rsidP="00726786">
      <w:pPr>
        <w:widowControl w:val="0"/>
        <w:jc w:val="both"/>
        <w:rPr>
          <w:bCs/>
          <w:sz w:val="22"/>
          <w:szCs w:val="22"/>
          <w:highlight w:val="yellow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</w:rPr>
        <w:t>13.</w:t>
      </w:r>
      <w:r>
        <w:tab/>
      </w:r>
      <w:r>
        <w:rPr>
          <w:b/>
          <w:sz w:val="22"/>
        </w:rPr>
        <w:t>ZVLÁŠTNÍ OPATŘENÍ PRO ZNEŠKODŇOVÁNÍ NEPOUŽITÉHO PŘÍPRAVKU NEBO ODPADU, POKUD JE JICH TŘEBA</w:t>
      </w:r>
    </w:p>
    <w:p w:rsidR="00407E0E" w:rsidRPr="00C47650" w:rsidRDefault="00407E0E" w:rsidP="00726786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A756DE" w:rsidRDefault="00A756DE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 xml:space="preserve">Všechen nepoužitý veterinární léčivý přípravek nebo odpad, který pochází z tohoto přípravku, musí být likvidován podle místních právních předpisů. </w:t>
      </w:r>
    </w:p>
    <w:p w:rsidR="00A756DE" w:rsidRPr="00A43875" w:rsidRDefault="00A756DE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Léčivé přípravky se nesmí likvidovat prostřednictvím odpadní vody či domovního odpadu.</w:t>
      </w:r>
    </w:p>
    <w:p w:rsidR="00A756DE" w:rsidRPr="00A43875" w:rsidRDefault="00A756DE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O možnostech likvidace nepotřebných léčivých přípravků se poraďte s vaším veterinárním lékařem nebo lékárníkem. Tato opatření napomáhají chránit životní prostředí.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</w:rPr>
        <w:t>14.</w:t>
      </w:r>
      <w:r>
        <w:tab/>
      </w:r>
      <w:r>
        <w:rPr>
          <w:b/>
          <w:sz w:val="22"/>
        </w:rPr>
        <w:t>DATUM POSLEDNÍ REVIZE PŘÍBALOVÉ INFORMACE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922B47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</w:rPr>
        <w:t>Červenec 2015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</w:rPr>
        <w:t>15.</w:t>
      </w:r>
      <w:r>
        <w:tab/>
      </w:r>
      <w:r>
        <w:rPr>
          <w:b/>
          <w:sz w:val="22"/>
        </w:rPr>
        <w:t>DALŠÍ INFORMACE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922B47" w:rsidRPr="006519A8" w:rsidRDefault="00922B47" w:rsidP="00922B47">
      <w:pPr>
        <w:rPr>
          <w:sz w:val="22"/>
          <w:szCs w:val="22"/>
        </w:rPr>
      </w:pPr>
      <w:r w:rsidRPr="006519A8">
        <w:rPr>
          <w:sz w:val="22"/>
          <w:szCs w:val="22"/>
        </w:rPr>
        <w:t>Pouze pro zvířata.</w:t>
      </w:r>
    </w:p>
    <w:p w:rsidR="00922B47" w:rsidRPr="006519A8" w:rsidRDefault="00922B47" w:rsidP="00922B47">
      <w:pPr>
        <w:rPr>
          <w:sz w:val="22"/>
          <w:szCs w:val="22"/>
        </w:rPr>
      </w:pPr>
    </w:p>
    <w:p w:rsidR="00922B47" w:rsidRPr="006519A8" w:rsidRDefault="00922B47" w:rsidP="00922B47">
      <w:pPr>
        <w:rPr>
          <w:sz w:val="22"/>
          <w:szCs w:val="22"/>
        </w:rPr>
      </w:pPr>
      <w:r w:rsidRPr="006519A8">
        <w:rPr>
          <w:sz w:val="22"/>
          <w:szCs w:val="22"/>
        </w:rPr>
        <w:t>Veterinární léčivý přípravek je vydáván pouze na předpis.</w:t>
      </w:r>
    </w:p>
    <w:p w:rsidR="00922B47" w:rsidRPr="00922B47" w:rsidRDefault="00922B47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EB7F6D" w:rsidRPr="00C47650" w:rsidRDefault="00EB7F6D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</w:rPr>
        <w:t>Velikosti balení: 250 ml nebo 1000 ml</w:t>
      </w:r>
    </w:p>
    <w:p w:rsidR="008A7B9B" w:rsidRPr="00C47650" w:rsidRDefault="008A7B9B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</w:rPr>
        <w:t>Na trhu nemusí být všechny velikosti balení.</w:t>
      </w:r>
    </w:p>
    <w:p w:rsidR="00256C84" w:rsidRDefault="00256C84" w:rsidP="00726786">
      <w:pPr>
        <w:jc w:val="both"/>
        <w:rPr>
          <w:sz w:val="22"/>
          <w:szCs w:val="22"/>
        </w:rPr>
      </w:pPr>
    </w:p>
    <w:p w:rsidR="00E91FA1" w:rsidRPr="00ED25F6" w:rsidRDefault="00E91FA1" w:rsidP="00726786">
      <w:pPr>
        <w:jc w:val="both"/>
        <w:rPr>
          <w:sz w:val="22"/>
          <w:szCs w:val="22"/>
        </w:rPr>
      </w:pPr>
    </w:p>
    <w:p w:rsidR="00C4576F" w:rsidRPr="0043540E" w:rsidRDefault="00B9465B" w:rsidP="00C4576F">
      <w:pPr>
        <w:tabs>
          <w:tab w:val="left" w:pos="-720"/>
        </w:tabs>
        <w:suppressAutoHyphens/>
        <w:rPr>
          <w:b/>
          <w:sz w:val="22"/>
          <w:szCs w:val="22"/>
        </w:rPr>
      </w:pPr>
      <w:r w:rsidRPr="00ED25F6">
        <w:rPr>
          <w:rFonts w:ascii="Calibri" w:hAnsi="Calibri"/>
          <w:b/>
          <w:sz w:val="22"/>
          <w:szCs w:val="22"/>
        </w:rPr>
        <w:br/>
      </w:r>
      <w:r w:rsidR="00C4576F" w:rsidRPr="0043540E">
        <w:rPr>
          <w:b/>
          <w:sz w:val="22"/>
          <w:szCs w:val="22"/>
        </w:rPr>
        <w:t>Česká republika</w:t>
      </w:r>
    </w:p>
    <w:p w:rsidR="00C4576F" w:rsidRPr="0043540E" w:rsidRDefault="00C4576F" w:rsidP="00C4576F">
      <w:pPr>
        <w:tabs>
          <w:tab w:val="left" w:pos="-720"/>
        </w:tabs>
        <w:suppressAutoHyphens/>
        <w:rPr>
          <w:sz w:val="22"/>
          <w:szCs w:val="22"/>
        </w:rPr>
      </w:pPr>
      <w:r w:rsidRPr="0043540E">
        <w:rPr>
          <w:sz w:val="22"/>
          <w:szCs w:val="22"/>
        </w:rPr>
        <w:t>Dr. Bubeníček, spol. s r.o.</w:t>
      </w:r>
    </w:p>
    <w:p w:rsidR="00C4576F" w:rsidRPr="0043540E" w:rsidRDefault="00C4576F" w:rsidP="00C4576F">
      <w:pPr>
        <w:tabs>
          <w:tab w:val="left" w:pos="-720"/>
        </w:tabs>
        <w:suppressAutoHyphens/>
        <w:rPr>
          <w:sz w:val="22"/>
          <w:szCs w:val="22"/>
        </w:rPr>
      </w:pPr>
      <w:r w:rsidRPr="0043540E">
        <w:rPr>
          <w:sz w:val="22"/>
          <w:szCs w:val="22"/>
        </w:rPr>
        <w:t>Šimáčkova 104</w:t>
      </w:r>
    </w:p>
    <w:p w:rsidR="00C4576F" w:rsidRPr="0043540E" w:rsidRDefault="00C4576F" w:rsidP="00C4576F">
      <w:pPr>
        <w:tabs>
          <w:tab w:val="left" w:pos="-720"/>
        </w:tabs>
        <w:suppressAutoHyphens/>
        <w:rPr>
          <w:sz w:val="22"/>
          <w:szCs w:val="22"/>
        </w:rPr>
      </w:pPr>
      <w:r w:rsidRPr="0043540E">
        <w:rPr>
          <w:sz w:val="22"/>
          <w:szCs w:val="22"/>
        </w:rPr>
        <w:t>628 00 Brno</w:t>
      </w:r>
    </w:p>
    <w:p w:rsidR="00C4576F" w:rsidRPr="0043540E" w:rsidRDefault="00C4576F" w:rsidP="00C4576F">
      <w:pPr>
        <w:tabs>
          <w:tab w:val="left" w:pos="-720"/>
        </w:tabs>
        <w:suppressAutoHyphens/>
        <w:rPr>
          <w:sz w:val="22"/>
          <w:szCs w:val="22"/>
        </w:rPr>
      </w:pPr>
      <w:r w:rsidRPr="0043540E">
        <w:rPr>
          <w:sz w:val="22"/>
          <w:szCs w:val="22"/>
        </w:rPr>
        <w:t>Tel.: +420 544 231 413</w:t>
      </w:r>
    </w:p>
    <w:p w:rsidR="00C4576F" w:rsidRPr="00ED25F6" w:rsidRDefault="00C4576F" w:rsidP="00C4576F">
      <w:pPr>
        <w:tabs>
          <w:tab w:val="left" w:pos="-720"/>
        </w:tabs>
        <w:suppressAutoHyphens/>
        <w:rPr>
          <w:sz w:val="22"/>
          <w:szCs w:val="22"/>
        </w:rPr>
      </w:pPr>
      <w:r w:rsidRPr="0043540E">
        <w:rPr>
          <w:sz w:val="22"/>
          <w:szCs w:val="22"/>
        </w:rPr>
        <w:t>e-mail: info@bubenicek.cz</w:t>
      </w:r>
    </w:p>
    <w:p w:rsidR="00B9465B" w:rsidRPr="00ED25F6" w:rsidRDefault="00B9465B" w:rsidP="00C4576F">
      <w:pPr>
        <w:tabs>
          <w:tab w:val="left" w:pos="-720"/>
        </w:tabs>
        <w:suppressAutoHyphens/>
        <w:rPr>
          <w:sz w:val="22"/>
          <w:szCs w:val="22"/>
        </w:rPr>
      </w:pPr>
    </w:p>
    <w:p w:rsidR="00605C3F" w:rsidRDefault="00605C3F">
      <w:pPr>
        <w:rPr>
          <w:sz w:val="22"/>
          <w:szCs w:val="22"/>
        </w:rPr>
      </w:pPr>
    </w:p>
    <w:sectPr w:rsidR="00605C3F" w:rsidSect="00726786">
      <w:head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DA" w:rsidRDefault="004E51DA" w:rsidP="00C76869">
      <w:r>
        <w:separator/>
      </w:r>
    </w:p>
  </w:endnote>
  <w:endnote w:type="continuationSeparator" w:id="0">
    <w:p w:rsidR="004E51DA" w:rsidRDefault="004E51DA" w:rsidP="00C7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DA" w:rsidRDefault="004E51DA" w:rsidP="00C76869">
      <w:r>
        <w:separator/>
      </w:r>
    </w:p>
  </w:footnote>
  <w:footnote w:type="continuationSeparator" w:id="0">
    <w:p w:rsidR="004E51DA" w:rsidRDefault="004E51DA" w:rsidP="00C7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A3" w:rsidRPr="001D6DA3" w:rsidRDefault="001D6DA3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1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55425"/>
    <w:multiLevelType w:val="hybridMultilevel"/>
    <w:tmpl w:val="A43049B6"/>
    <w:lvl w:ilvl="0" w:tplc="1C321A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29"/>
  </w:num>
  <w:num w:numId="5">
    <w:abstractNumId w:val="12"/>
  </w:num>
  <w:num w:numId="6">
    <w:abstractNumId w:val="23"/>
  </w:num>
  <w:num w:numId="7">
    <w:abstractNumId w:val="17"/>
  </w:num>
  <w:num w:numId="8">
    <w:abstractNumId w:val="8"/>
  </w:num>
  <w:num w:numId="9">
    <w:abstractNumId w:val="27"/>
  </w:num>
  <w:num w:numId="10">
    <w:abstractNumId w:val="28"/>
  </w:num>
  <w:num w:numId="11">
    <w:abstractNumId w:val="14"/>
  </w:num>
  <w:num w:numId="12">
    <w:abstractNumId w:val="13"/>
  </w:num>
  <w:num w:numId="13">
    <w:abstractNumId w:val="3"/>
  </w:num>
  <w:num w:numId="14">
    <w:abstractNumId w:val="26"/>
  </w:num>
  <w:num w:numId="15">
    <w:abstractNumId w:val="16"/>
  </w:num>
  <w:num w:numId="16">
    <w:abstractNumId w:val="31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24"/>
  </w:num>
  <w:num w:numId="23">
    <w:abstractNumId w:val="32"/>
  </w:num>
  <w:num w:numId="24">
    <w:abstractNumId w:val="19"/>
  </w:num>
  <w:num w:numId="25">
    <w:abstractNumId w:val="10"/>
  </w:num>
  <w:num w:numId="26">
    <w:abstractNumId w:val="11"/>
  </w:num>
  <w:num w:numId="27">
    <w:abstractNumId w:val="5"/>
  </w:num>
  <w:num w:numId="28">
    <w:abstractNumId w:val="6"/>
  </w:num>
  <w:num w:numId="29">
    <w:abstractNumId w:val="20"/>
  </w:num>
  <w:num w:numId="30">
    <w:abstractNumId w:val="33"/>
  </w:num>
  <w:num w:numId="31">
    <w:abstractNumId w:val="34"/>
  </w:num>
  <w:num w:numId="32">
    <w:abstractNumId w:val="18"/>
  </w:num>
  <w:num w:numId="33">
    <w:abstractNumId w:val="25"/>
  </w:num>
  <w:num w:numId="34">
    <w:abstractNumId w:val="21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13"/>
    <w:rsid w:val="00045680"/>
    <w:rsid w:val="00055E70"/>
    <w:rsid w:val="000A0F38"/>
    <w:rsid w:val="000D5647"/>
    <w:rsid w:val="000E528E"/>
    <w:rsid w:val="000F0512"/>
    <w:rsid w:val="000F5702"/>
    <w:rsid w:val="0011339E"/>
    <w:rsid w:val="00142FFA"/>
    <w:rsid w:val="001D4E20"/>
    <w:rsid w:val="001D6DA3"/>
    <w:rsid w:val="00206995"/>
    <w:rsid w:val="00234C32"/>
    <w:rsid w:val="00256C84"/>
    <w:rsid w:val="00260278"/>
    <w:rsid w:val="00263A79"/>
    <w:rsid w:val="0026654A"/>
    <w:rsid w:val="002746E8"/>
    <w:rsid w:val="00290E17"/>
    <w:rsid w:val="00297B9B"/>
    <w:rsid w:val="002C0473"/>
    <w:rsid w:val="002C0979"/>
    <w:rsid w:val="002C312A"/>
    <w:rsid w:val="002D1613"/>
    <w:rsid w:val="002E6D41"/>
    <w:rsid w:val="00304640"/>
    <w:rsid w:val="00331912"/>
    <w:rsid w:val="00370871"/>
    <w:rsid w:val="003839A4"/>
    <w:rsid w:val="00390818"/>
    <w:rsid w:val="00391E89"/>
    <w:rsid w:val="003A6B84"/>
    <w:rsid w:val="003B1FB0"/>
    <w:rsid w:val="003C099D"/>
    <w:rsid w:val="003F260B"/>
    <w:rsid w:val="00406C5C"/>
    <w:rsid w:val="00407E0E"/>
    <w:rsid w:val="00427A01"/>
    <w:rsid w:val="0043540E"/>
    <w:rsid w:val="004550B6"/>
    <w:rsid w:val="00492DCB"/>
    <w:rsid w:val="004C0E80"/>
    <w:rsid w:val="004C1BBF"/>
    <w:rsid w:val="004C6FDA"/>
    <w:rsid w:val="004D298F"/>
    <w:rsid w:val="004E51DA"/>
    <w:rsid w:val="00552ED9"/>
    <w:rsid w:val="00580DE9"/>
    <w:rsid w:val="005871D5"/>
    <w:rsid w:val="005A0D24"/>
    <w:rsid w:val="00605C3F"/>
    <w:rsid w:val="0062446B"/>
    <w:rsid w:val="006347F3"/>
    <w:rsid w:val="0064240D"/>
    <w:rsid w:val="006519A8"/>
    <w:rsid w:val="00677024"/>
    <w:rsid w:val="006B2A10"/>
    <w:rsid w:val="006C1C20"/>
    <w:rsid w:val="006C6D76"/>
    <w:rsid w:val="006D1F8D"/>
    <w:rsid w:val="006E5309"/>
    <w:rsid w:val="00704502"/>
    <w:rsid w:val="00717A19"/>
    <w:rsid w:val="007255A3"/>
    <w:rsid w:val="00726786"/>
    <w:rsid w:val="00736CC3"/>
    <w:rsid w:val="007555E3"/>
    <w:rsid w:val="007805E3"/>
    <w:rsid w:val="00783B74"/>
    <w:rsid w:val="00787571"/>
    <w:rsid w:val="007B5F09"/>
    <w:rsid w:val="007C354C"/>
    <w:rsid w:val="007D18EC"/>
    <w:rsid w:val="00807933"/>
    <w:rsid w:val="0081114E"/>
    <w:rsid w:val="00814111"/>
    <w:rsid w:val="008158BB"/>
    <w:rsid w:val="008324CF"/>
    <w:rsid w:val="00833A6D"/>
    <w:rsid w:val="008430AA"/>
    <w:rsid w:val="00846A81"/>
    <w:rsid w:val="00867216"/>
    <w:rsid w:val="00870173"/>
    <w:rsid w:val="008747AC"/>
    <w:rsid w:val="00875A05"/>
    <w:rsid w:val="0089245F"/>
    <w:rsid w:val="008A6A3E"/>
    <w:rsid w:val="008A7B9B"/>
    <w:rsid w:val="008C1FAA"/>
    <w:rsid w:val="008D0361"/>
    <w:rsid w:val="008D2A98"/>
    <w:rsid w:val="008D4989"/>
    <w:rsid w:val="008D713D"/>
    <w:rsid w:val="008E438F"/>
    <w:rsid w:val="008E712D"/>
    <w:rsid w:val="008E7E84"/>
    <w:rsid w:val="00913FC6"/>
    <w:rsid w:val="00922B47"/>
    <w:rsid w:val="00924F0B"/>
    <w:rsid w:val="009273BA"/>
    <w:rsid w:val="009348D0"/>
    <w:rsid w:val="00942337"/>
    <w:rsid w:val="00944CDF"/>
    <w:rsid w:val="00950776"/>
    <w:rsid w:val="00950E25"/>
    <w:rsid w:val="00965A9D"/>
    <w:rsid w:val="00971FF2"/>
    <w:rsid w:val="00985217"/>
    <w:rsid w:val="0098601D"/>
    <w:rsid w:val="009958A9"/>
    <w:rsid w:val="009C2151"/>
    <w:rsid w:val="009E3971"/>
    <w:rsid w:val="00A02991"/>
    <w:rsid w:val="00A035D8"/>
    <w:rsid w:val="00A06978"/>
    <w:rsid w:val="00A10B2D"/>
    <w:rsid w:val="00A16941"/>
    <w:rsid w:val="00A36420"/>
    <w:rsid w:val="00A40926"/>
    <w:rsid w:val="00A43875"/>
    <w:rsid w:val="00A5129C"/>
    <w:rsid w:val="00A54079"/>
    <w:rsid w:val="00A70077"/>
    <w:rsid w:val="00A756DE"/>
    <w:rsid w:val="00AD739E"/>
    <w:rsid w:val="00B10EF2"/>
    <w:rsid w:val="00B154C3"/>
    <w:rsid w:val="00B547B2"/>
    <w:rsid w:val="00B55303"/>
    <w:rsid w:val="00B606F9"/>
    <w:rsid w:val="00B61DFB"/>
    <w:rsid w:val="00B6431B"/>
    <w:rsid w:val="00B65142"/>
    <w:rsid w:val="00B93AFB"/>
    <w:rsid w:val="00B9465B"/>
    <w:rsid w:val="00BE286A"/>
    <w:rsid w:val="00C13C3A"/>
    <w:rsid w:val="00C443EA"/>
    <w:rsid w:val="00C4576F"/>
    <w:rsid w:val="00C47650"/>
    <w:rsid w:val="00C51BBE"/>
    <w:rsid w:val="00C51ED3"/>
    <w:rsid w:val="00C76368"/>
    <w:rsid w:val="00C76869"/>
    <w:rsid w:val="00C905D2"/>
    <w:rsid w:val="00CC7DA2"/>
    <w:rsid w:val="00CD6963"/>
    <w:rsid w:val="00D00896"/>
    <w:rsid w:val="00D02641"/>
    <w:rsid w:val="00D44280"/>
    <w:rsid w:val="00D4489C"/>
    <w:rsid w:val="00D67972"/>
    <w:rsid w:val="00D72238"/>
    <w:rsid w:val="00D7609A"/>
    <w:rsid w:val="00D85078"/>
    <w:rsid w:val="00D92676"/>
    <w:rsid w:val="00DA4E71"/>
    <w:rsid w:val="00DC784A"/>
    <w:rsid w:val="00DE6F67"/>
    <w:rsid w:val="00DF1473"/>
    <w:rsid w:val="00E11EEC"/>
    <w:rsid w:val="00E53632"/>
    <w:rsid w:val="00E65B18"/>
    <w:rsid w:val="00E83F25"/>
    <w:rsid w:val="00E844E0"/>
    <w:rsid w:val="00E91FA1"/>
    <w:rsid w:val="00EB7F6D"/>
    <w:rsid w:val="00ED19C6"/>
    <w:rsid w:val="00ED25F6"/>
    <w:rsid w:val="00F136F6"/>
    <w:rsid w:val="00F25FD8"/>
    <w:rsid w:val="00F3368A"/>
    <w:rsid w:val="00F45A5B"/>
    <w:rsid w:val="00F637EC"/>
    <w:rsid w:val="00FA21C3"/>
    <w:rsid w:val="00FB6F8C"/>
    <w:rsid w:val="00FC1A7A"/>
    <w:rsid w:val="00FC42BF"/>
    <w:rsid w:val="00FC7C59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74"/>
    <w:rPr>
      <w:sz w:val="24"/>
      <w:szCs w:val="24"/>
      <w:lang w:val="nl-NL" w:eastAsia="nl-NL"/>
    </w:rPr>
  </w:style>
  <w:style w:type="paragraph" w:styleId="Nadpis1">
    <w:name w:val="heading 1"/>
    <w:basedOn w:val="Normln"/>
    <w:next w:val="Normln"/>
    <w:qFormat/>
    <w:rsid w:val="00783B74"/>
    <w:pPr>
      <w:autoSpaceDE w:val="0"/>
      <w:autoSpaceDN w:val="0"/>
      <w:adjustRightInd w:val="0"/>
      <w:outlineLvl w:val="0"/>
    </w:pPr>
    <w:rPr>
      <w:rFonts w:ascii="Verdana" w:eastAsia="Arial Unicode MS" w:hAnsi="Verdana" w:cs="Arial Unicode MS"/>
      <w:sz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semiHidden/>
    <w:rsid w:val="00783B74"/>
    <w:rPr>
      <w:color w:val="800080"/>
      <w:u w:val="single"/>
    </w:rPr>
  </w:style>
  <w:style w:type="paragraph" w:styleId="Zkladntextodsazen3">
    <w:name w:val="Body Text Indent 3"/>
    <w:basedOn w:val="Normln"/>
    <w:next w:val="Normln"/>
    <w:semiHidden/>
    <w:rsid w:val="00783B74"/>
    <w:pPr>
      <w:autoSpaceDE w:val="0"/>
      <w:autoSpaceDN w:val="0"/>
      <w:adjustRightInd w:val="0"/>
    </w:pPr>
    <w:rPr>
      <w:rFonts w:ascii="Verdana" w:hAnsi="Verdana"/>
      <w:sz w:val="20"/>
      <w:lang w:val="en-US" w:eastAsia="en-US"/>
    </w:rPr>
  </w:style>
  <w:style w:type="paragraph" w:styleId="Zkladntext">
    <w:name w:val="Body Text"/>
    <w:basedOn w:val="Normln"/>
    <w:semiHidden/>
    <w:rsid w:val="00783B74"/>
    <w:pPr>
      <w:tabs>
        <w:tab w:val="left" w:pos="6804"/>
      </w:tabs>
    </w:pPr>
    <w:rPr>
      <w:rFonts w:ascii="Verdana" w:hAnsi="Verdana"/>
      <w:sz w:val="22"/>
      <w:szCs w:val="22"/>
      <w:lang w:val="en-US"/>
    </w:rPr>
  </w:style>
  <w:style w:type="paragraph" w:styleId="Zkladntextodsazen">
    <w:name w:val="Body Text Indent"/>
    <w:basedOn w:val="Normln"/>
    <w:semiHidden/>
    <w:rsid w:val="00783B74"/>
    <w:pPr>
      <w:ind w:left="851" w:hanging="851"/>
    </w:pPr>
    <w:rPr>
      <w:rFonts w:ascii="Verdana" w:hAnsi="Verdana"/>
      <w:sz w:val="22"/>
      <w:szCs w:val="22"/>
      <w:lang w:val="en-US"/>
    </w:rPr>
  </w:style>
  <w:style w:type="paragraph" w:styleId="Zkladntext2">
    <w:name w:val="Body Text 2"/>
    <w:basedOn w:val="Normln"/>
    <w:semiHidden/>
    <w:rsid w:val="00783B74"/>
    <w:pPr>
      <w:tabs>
        <w:tab w:val="left" w:pos="828"/>
        <w:tab w:val="left" w:pos="9286"/>
      </w:tabs>
      <w:jc w:val="both"/>
    </w:pPr>
    <w:rPr>
      <w:rFonts w:ascii="Verdana" w:hAnsi="Verdana"/>
      <w:sz w:val="22"/>
      <w:szCs w:val="22"/>
      <w:lang w:val="en-US"/>
    </w:rPr>
  </w:style>
  <w:style w:type="paragraph" w:styleId="Zkladntext3">
    <w:name w:val="Body Text 3"/>
    <w:basedOn w:val="Normln"/>
    <w:semiHidden/>
    <w:rsid w:val="00783B74"/>
    <w:pPr>
      <w:tabs>
        <w:tab w:val="left" w:pos="6804"/>
      </w:tabs>
      <w:jc w:val="both"/>
    </w:pPr>
    <w:rPr>
      <w:rFonts w:ascii="Verdana" w:hAnsi="Verdana"/>
      <w:sz w:val="22"/>
      <w:szCs w:val="22"/>
      <w:lang w:val="en-US"/>
    </w:rPr>
  </w:style>
  <w:style w:type="paragraph" w:styleId="Zkladntextodsazen2">
    <w:name w:val="Body Text Indent 2"/>
    <w:basedOn w:val="Normln"/>
    <w:next w:val="Normln"/>
    <w:semiHidden/>
    <w:rsid w:val="00783B74"/>
    <w:pPr>
      <w:autoSpaceDE w:val="0"/>
      <w:autoSpaceDN w:val="0"/>
      <w:adjustRightInd w:val="0"/>
    </w:pPr>
    <w:rPr>
      <w:rFonts w:ascii="Verdana" w:hAnsi="Verdana"/>
      <w:sz w:val="20"/>
      <w:lang w:val="en-US" w:eastAsia="en-US"/>
    </w:rPr>
  </w:style>
  <w:style w:type="paragraph" w:styleId="Textvysvtlivek">
    <w:name w:val="endnote text"/>
    <w:basedOn w:val="Normln"/>
    <w:semiHidden/>
    <w:rsid w:val="00783B74"/>
    <w:pPr>
      <w:tabs>
        <w:tab w:val="left" w:pos="567"/>
      </w:tabs>
    </w:pPr>
    <w:rPr>
      <w:sz w:val="22"/>
      <w:szCs w:val="20"/>
      <w:lang w:val="en-GB" w:eastAsia="en-US"/>
    </w:rPr>
  </w:style>
  <w:style w:type="character" w:customStyle="1" w:styleId="EmailStyle23">
    <w:name w:val="EmailStyle23"/>
    <w:semiHidden/>
    <w:rsid w:val="008747A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EB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6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6869"/>
    <w:rPr>
      <w:sz w:val="24"/>
      <w:szCs w:val="24"/>
      <w:lang w:val="nl-NL" w:eastAsia="nl-NL"/>
    </w:rPr>
  </w:style>
  <w:style w:type="paragraph" w:styleId="Zpat">
    <w:name w:val="footer"/>
    <w:basedOn w:val="Normln"/>
    <w:link w:val="ZpatChar"/>
    <w:uiPriority w:val="99"/>
    <w:unhideWhenUsed/>
    <w:rsid w:val="00C768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869"/>
    <w:rPr>
      <w:sz w:val="24"/>
      <w:szCs w:val="24"/>
      <w:lang w:val="nl-NL" w:eastAsia="nl-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68A"/>
    <w:rPr>
      <w:rFonts w:ascii="Tahoma" w:hAnsi="Tahoma" w:cs="Tahoma"/>
      <w:sz w:val="16"/>
      <w:szCs w:val="16"/>
      <w:lang w:val="nl-NL" w:eastAsia="nl-NL"/>
    </w:rPr>
  </w:style>
  <w:style w:type="character" w:styleId="Odkaznakoment">
    <w:name w:val="annotation reference"/>
    <w:basedOn w:val="Standardnpsmoodstavce"/>
    <w:unhideWhenUsed/>
    <w:rsid w:val="00F3368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336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368A"/>
    <w:rPr>
      <w:lang w:val="nl-NL" w:eastAsia="nl-N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6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68A"/>
    <w:rPr>
      <w:b/>
      <w:bCs/>
      <w:lang w:val="nl-NL" w:eastAsia="nl-NL"/>
    </w:rPr>
  </w:style>
  <w:style w:type="paragraph" w:customStyle="1" w:styleId="Kommentarthema">
    <w:name w:val="Kommentarthema"/>
    <w:basedOn w:val="Textkomente"/>
    <w:next w:val="Textkomente"/>
    <w:semiHidden/>
    <w:rsid w:val="003A6B84"/>
    <w:pPr>
      <w:jc w:val="both"/>
    </w:pPr>
    <w:rPr>
      <w:rFonts w:ascii="Arial" w:hAnsi="Arial"/>
      <w:b/>
      <w:bCs/>
      <w:lang w:val="en-GB" w:eastAsia="de-DE"/>
    </w:rPr>
  </w:style>
  <w:style w:type="paragraph" w:styleId="Textvbloku">
    <w:name w:val="Block Text"/>
    <w:basedOn w:val="Normln"/>
    <w:rsid w:val="008D4989"/>
    <w:pPr>
      <w:ind w:left="601" w:right="-896" w:hanging="601"/>
    </w:pPr>
    <w:rPr>
      <w:szCs w:val="20"/>
      <w:lang w:val="en-GB" w:eastAsia="es-ES"/>
    </w:rPr>
  </w:style>
  <w:style w:type="paragraph" w:styleId="Revize">
    <w:name w:val="Revision"/>
    <w:hidden/>
    <w:uiPriority w:val="99"/>
    <w:semiHidden/>
    <w:rsid w:val="00867216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74"/>
    <w:rPr>
      <w:sz w:val="24"/>
      <w:szCs w:val="24"/>
      <w:lang w:val="nl-NL" w:eastAsia="nl-NL"/>
    </w:rPr>
  </w:style>
  <w:style w:type="paragraph" w:styleId="Nadpis1">
    <w:name w:val="heading 1"/>
    <w:basedOn w:val="Normln"/>
    <w:next w:val="Normln"/>
    <w:qFormat/>
    <w:rsid w:val="00783B74"/>
    <w:pPr>
      <w:autoSpaceDE w:val="0"/>
      <w:autoSpaceDN w:val="0"/>
      <w:adjustRightInd w:val="0"/>
      <w:outlineLvl w:val="0"/>
    </w:pPr>
    <w:rPr>
      <w:rFonts w:ascii="Verdana" w:eastAsia="Arial Unicode MS" w:hAnsi="Verdana" w:cs="Arial Unicode MS"/>
      <w:sz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semiHidden/>
    <w:rsid w:val="00783B74"/>
    <w:rPr>
      <w:color w:val="800080"/>
      <w:u w:val="single"/>
    </w:rPr>
  </w:style>
  <w:style w:type="paragraph" w:styleId="Zkladntextodsazen3">
    <w:name w:val="Body Text Indent 3"/>
    <w:basedOn w:val="Normln"/>
    <w:next w:val="Normln"/>
    <w:semiHidden/>
    <w:rsid w:val="00783B74"/>
    <w:pPr>
      <w:autoSpaceDE w:val="0"/>
      <w:autoSpaceDN w:val="0"/>
      <w:adjustRightInd w:val="0"/>
    </w:pPr>
    <w:rPr>
      <w:rFonts w:ascii="Verdana" w:hAnsi="Verdana"/>
      <w:sz w:val="20"/>
      <w:lang w:val="en-US" w:eastAsia="en-US"/>
    </w:rPr>
  </w:style>
  <w:style w:type="paragraph" w:styleId="Zkladntext">
    <w:name w:val="Body Text"/>
    <w:basedOn w:val="Normln"/>
    <w:semiHidden/>
    <w:rsid w:val="00783B74"/>
    <w:pPr>
      <w:tabs>
        <w:tab w:val="left" w:pos="6804"/>
      </w:tabs>
    </w:pPr>
    <w:rPr>
      <w:rFonts w:ascii="Verdana" w:hAnsi="Verdana"/>
      <w:sz w:val="22"/>
      <w:szCs w:val="22"/>
      <w:lang w:val="en-US"/>
    </w:rPr>
  </w:style>
  <w:style w:type="paragraph" w:styleId="Zkladntextodsazen">
    <w:name w:val="Body Text Indent"/>
    <w:basedOn w:val="Normln"/>
    <w:semiHidden/>
    <w:rsid w:val="00783B74"/>
    <w:pPr>
      <w:ind w:left="851" w:hanging="851"/>
    </w:pPr>
    <w:rPr>
      <w:rFonts w:ascii="Verdana" w:hAnsi="Verdana"/>
      <w:sz w:val="22"/>
      <w:szCs w:val="22"/>
      <w:lang w:val="en-US"/>
    </w:rPr>
  </w:style>
  <w:style w:type="paragraph" w:styleId="Zkladntext2">
    <w:name w:val="Body Text 2"/>
    <w:basedOn w:val="Normln"/>
    <w:semiHidden/>
    <w:rsid w:val="00783B74"/>
    <w:pPr>
      <w:tabs>
        <w:tab w:val="left" w:pos="828"/>
        <w:tab w:val="left" w:pos="9286"/>
      </w:tabs>
      <w:jc w:val="both"/>
    </w:pPr>
    <w:rPr>
      <w:rFonts w:ascii="Verdana" w:hAnsi="Verdana"/>
      <w:sz w:val="22"/>
      <w:szCs w:val="22"/>
      <w:lang w:val="en-US"/>
    </w:rPr>
  </w:style>
  <w:style w:type="paragraph" w:styleId="Zkladntext3">
    <w:name w:val="Body Text 3"/>
    <w:basedOn w:val="Normln"/>
    <w:semiHidden/>
    <w:rsid w:val="00783B74"/>
    <w:pPr>
      <w:tabs>
        <w:tab w:val="left" w:pos="6804"/>
      </w:tabs>
      <w:jc w:val="both"/>
    </w:pPr>
    <w:rPr>
      <w:rFonts w:ascii="Verdana" w:hAnsi="Verdana"/>
      <w:sz w:val="22"/>
      <w:szCs w:val="22"/>
      <w:lang w:val="en-US"/>
    </w:rPr>
  </w:style>
  <w:style w:type="paragraph" w:styleId="Zkladntextodsazen2">
    <w:name w:val="Body Text Indent 2"/>
    <w:basedOn w:val="Normln"/>
    <w:next w:val="Normln"/>
    <w:semiHidden/>
    <w:rsid w:val="00783B74"/>
    <w:pPr>
      <w:autoSpaceDE w:val="0"/>
      <w:autoSpaceDN w:val="0"/>
      <w:adjustRightInd w:val="0"/>
    </w:pPr>
    <w:rPr>
      <w:rFonts w:ascii="Verdana" w:hAnsi="Verdana"/>
      <w:sz w:val="20"/>
      <w:lang w:val="en-US" w:eastAsia="en-US"/>
    </w:rPr>
  </w:style>
  <w:style w:type="paragraph" w:styleId="Textvysvtlivek">
    <w:name w:val="endnote text"/>
    <w:basedOn w:val="Normln"/>
    <w:semiHidden/>
    <w:rsid w:val="00783B74"/>
    <w:pPr>
      <w:tabs>
        <w:tab w:val="left" w:pos="567"/>
      </w:tabs>
    </w:pPr>
    <w:rPr>
      <w:sz w:val="22"/>
      <w:szCs w:val="20"/>
      <w:lang w:val="en-GB" w:eastAsia="en-US"/>
    </w:rPr>
  </w:style>
  <w:style w:type="character" w:customStyle="1" w:styleId="EmailStyle23">
    <w:name w:val="EmailStyle23"/>
    <w:semiHidden/>
    <w:rsid w:val="008747A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EB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6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6869"/>
    <w:rPr>
      <w:sz w:val="24"/>
      <w:szCs w:val="24"/>
      <w:lang w:val="nl-NL" w:eastAsia="nl-NL"/>
    </w:rPr>
  </w:style>
  <w:style w:type="paragraph" w:styleId="Zpat">
    <w:name w:val="footer"/>
    <w:basedOn w:val="Normln"/>
    <w:link w:val="ZpatChar"/>
    <w:uiPriority w:val="99"/>
    <w:unhideWhenUsed/>
    <w:rsid w:val="00C768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869"/>
    <w:rPr>
      <w:sz w:val="24"/>
      <w:szCs w:val="24"/>
      <w:lang w:val="nl-NL" w:eastAsia="nl-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68A"/>
    <w:rPr>
      <w:rFonts w:ascii="Tahoma" w:hAnsi="Tahoma" w:cs="Tahoma"/>
      <w:sz w:val="16"/>
      <w:szCs w:val="16"/>
      <w:lang w:val="nl-NL" w:eastAsia="nl-NL"/>
    </w:rPr>
  </w:style>
  <w:style w:type="character" w:styleId="Odkaznakoment">
    <w:name w:val="annotation reference"/>
    <w:basedOn w:val="Standardnpsmoodstavce"/>
    <w:unhideWhenUsed/>
    <w:rsid w:val="00F3368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336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368A"/>
    <w:rPr>
      <w:lang w:val="nl-NL" w:eastAsia="nl-N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6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68A"/>
    <w:rPr>
      <w:b/>
      <w:bCs/>
      <w:lang w:val="nl-NL" w:eastAsia="nl-NL"/>
    </w:rPr>
  </w:style>
  <w:style w:type="paragraph" w:customStyle="1" w:styleId="Kommentarthema">
    <w:name w:val="Kommentarthema"/>
    <w:basedOn w:val="Textkomente"/>
    <w:next w:val="Textkomente"/>
    <w:semiHidden/>
    <w:rsid w:val="003A6B84"/>
    <w:pPr>
      <w:jc w:val="both"/>
    </w:pPr>
    <w:rPr>
      <w:rFonts w:ascii="Arial" w:hAnsi="Arial"/>
      <w:b/>
      <w:bCs/>
      <w:lang w:val="en-GB" w:eastAsia="de-DE"/>
    </w:rPr>
  </w:style>
  <w:style w:type="paragraph" w:styleId="Textvbloku">
    <w:name w:val="Block Text"/>
    <w:basedOn w:val="Normln"/>
    <w:rsid w:val="008D4989"/>
    <w:pPr>
      <w:ind w:left="601" w:right="-896" w:hanging="601"/>
    </w:pPr>
    <w:rPr>
      <w:szCs w:val="20"/>
      <w:lang w:val="en-GB" w:eastAsia="es-ES"/>
    </w:rPr>
  </w:style>
  <w:style w:type="paragraph" w:styleId="Revize">
    <w:name w:val="Revision"/>
    <w:hidden/>
    <w:uiPriority w:val="99"/>
    <w:semiHidden/>
    <w:rsid w:val="00867216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7F14-C78E-47E0-90DD-C26558D1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673</Words>
  <Characters>3972</Characters>
  <Application>Microsoft Office Word</Application>
  <DocSecurity>0</DocSecurity>
  <Lines>33</Lines>
  <Paragraphs>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LABELLING AND PACKAGE LEAFLET</vt:lpstr>
      <vt:lpstr>LABELLING AND PACKAGE LEAFLET</vt:lpstr>
      <vt:lpstr>LABELLING AND PACKAGE LEAFLET</vt:lpstr>
      <vt:lpstr>LABELLING AND PACKAGE LEAFLET</vt:lpstr>
    </vt:vector>
  </TitlesOfParts>
  <Company>KELA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LABELLING AND PACKAGE LEAFLET</dc:title>
  <dc:creator>Philip Aertgeerts</dc:creator>
  <cp:lastModifiedBy>Neugebauerová Kateřina</cp:lastModifiedBy>
  <cp:revision>11</cp:revision>
  <cp:lastPrinted>2015-07-22T05:17:00Z</cp:lastPrinted>
  <dcterms:created xsi:type="dcterms:W3CDTF">2015-06-09T08:49:00Z</dcterms:created>
  <dcterms:modified xsi:type="dcterms:W3CDTF">2015-07-22T05:17:00Z</dcterms:modified>
</cp:coreProperties>
</file>