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5D0301">
        <w:rPr>
          <w:b/>
        </w:rPr>
        <w:t>B. PŘÍBALOVÁ INFORMACE</w:t>
      </w:r>
    </w:p>
    <w:p w:rsidR="000B3D5C" w:rsidRPr="005D0301" w:rsidRDefault="000B3D5C" w:rsidP="005D0301">
      <w:pPr>
        <w:spacing w:line="240" w:lineRule="auto"/>
        <w:rPr>
          <w:b/>
          <w:szCs w:val="22"/>
        </w:rPr>
      </w:pPr>
    </w:p>
    <w:p w:rsidR="000B3D5C" w:rsidRPr="005D0301" w:rsidRDefault="000B3D5C" w:rsidP="005D0301">
      <w:pPr>
        <w:spacing w:line="240" w:lineRule="auto"/>
        <w:rPr>
          <w:b/>
          <w:szCs w:val="22"/>
        </w:rPr>
      </w:pPr>
    </w:p>
    <w:p w:rsidR="000B3D5C" w:rsidRPr="005D0301" w:rsidRDefault="000B3D5C" w:rsidP="005D0301">
      <w:pPr>
        <w:spacing w:line="240" w:lineRule="auto"/>
        <w:rPr>
          <w:b/>
          <w:szCs w:val="22"/>
        </w:rPr>
      </w:pPr>
    </w:p>
    <w:p w:rsidR="000B3D5C" w:rsidRPr="005D0301" w:rsidRDefault="000B3D5C" w:rsidP="005D0301">
      <w:pPr>
        <w:spacing w:line="240" w:lineRule="auto"/>
        <w:rPr>
          <w:b/>
          <w:szCs w:val="22"/>
        </w:rPr>
      </w:pPr>
    </w:p>
    <w:p w:rsidR="000B3D5C" w:rsidRPr="005D0301" w:rsidRDefault="000B3D5C" w:rsidP="005D0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Cs w:val="22"/>
        </w:rPr>
      </w:pPr>
      <w:r w:rsidRPr="005D0301">
        <w:rPr>
          <w:b/>
        </w:rPr>
        <w:t>Vnitřní štítek s informačním letákem (odtrhávací štítek)</w:t>
      </w:r>
    </w:p>
    <w:p w:rsidR="000B3D5C" w:rsidRPr="005D0301" w:rsidRDefault="000B3D5C" w:rsidP="005D0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Cs w:val="22"/>
        </w:rPr>
      </w:pPr>
      <w:r w:rsidRPr="005D0301">
        <w:rPr>
          <w:b/>
        </w:rPr>
        <w:t>Tlakový obal 270 ml, 520 ml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5D0301">
        <w:br w:type="page"/>
      </w:r>
      <w:r w:rsidRPr="005D0301">
        <w:rPr>
          <w:b/>
        </w:rPr>
        <w:lastRenderedPageBreak/>
        <w:t>PŘÍBALOVÁ INFORMACE PRO:</w:t>
      </w:r>
    </w:p>
    <w:p w:rsidR="000B3D5C" w:rsidRPr="005D0301" w:rsidRDefault="000B3D5C" w:rsidP="005D0301">
      <w:pPr>
        <w:widowControl w:val="0"/>
        <w:tabs>
          <w:tab w:val="clear" w:pos="567"/>
        </w:tabs>
        <w:suppressAutoHyphens/>
        <w:spacing w:line="240" w:lineRule="auto"/>
        <w:rPr>
          <w:b/>
        </w:rPr>
      </w:pPr>
    </w:p>
    <w:p w:rsidR="000B3D5C" w:rsidRPr="005D0301" w:rsidRDefault="000B3D5C" w:rsidP="005D0301">
      <w:pPr>
        <w:widowControl w:val="0"/>
        <w:tabs>
          <w:tab w:val="clear" w:pos="567"/>
        </w:tabs>
        <w:suppressAutoHyphens/>
        <w:spacing w:line="240" w:lineRule="auto"/>
        <w:rPr>
          <w:b/>
        </w:rPr>
      </w:pPr>
      <w:r w:rsidRPr="00EE6DCC">
        <w:rPr>
          <w:b/>
          <w:highlight w:val="lightGray"/>
        </w:rPr>
        <w:t>CTC Spray, 78.6 mg/g, cutaneous spray, suspension for pigs, sheep and cattle</w:t>
      </w:r>
    </w:p>
    <w:p w:rsidR="000B3D5C" w:rsidRPr="005D0301" w:rsidRDefault="000B3D5C" w:rsidP="005D0301">
      <w:pPr>
        <w:spacing w:line="240" w:lineRule="auto"/>
        <w:rPr>
          <w:b/>
          <w:szCs w:val="24"/>
        </w:rPr>
      </w:pPr>
      <w:proofErr w:type="spellStart"/>
      <w:r w:rsidRPr="00EE6DCC">
        <w:rPr>
          <w:b/>
        </w:rPr>
        <w:t>Cyclospray</w:t>
      </w:r>
      <w:proofErr w:type="spellEnd"/>
      <w:r w:rsidRPr="00EE6DCC">
        <w:rPr>
          <w:b/>
        </w:rPr>
        <w:t xml:space="preserve"> 78,6 mg/g kožní sprej, suspenze pro prasata, ovce a</w:t>
      </w:r>
      <w:r w:rsidR="00C85A1E">
        <w:rPr>
          <w:b/>
        </w:rPr>
        <w:t xml:space="preserve"> skot</w:t>
      </w:r>
      <w:r w:rsidRPr="00EE6DCC">
        <w:rPr>
          <w:b/>
        </w:rPr>
        <w:t xml:space="preserve"> 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b/>
          <w:szCs w:val="22"/>
        </w:rPr>
      </w:pPr>
      <w:r w:rsidRPr="005D0301">
        <w:rPr>
          <w:b/>
          <w:highlight w:val="lightGray"/>
        </w:rPr>
        <w:t>Cyclospray vet 78.6 mg/g, cutaneous spray, suspension for pigs, sheep and cattle</w:t>
      </w:r>
      <w:r w:rsidRPr="005D0301">
        <w:rPr>
          <w:b/>
        </w:rPr>
        <w:t xml:space="preserve"> 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b/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  <w:rPr>
          <w:b/>
          <w:szCs w:val="22"/>
        </w:rPr>
      </w:pPr>
      <w:r w:rsidRPr="005D0301">
        <w:rPr>
          <w:b/>
        </w:rPr>
        <w:t>1.</w:t>
      </w:r>
      <w:r w:rsidRPr="005D0301">
        <w:rPr>
          <w:b/>
        </w:rPr>
        <w:tab/>
      </w:r>
      <w:r w:rsidRPr="005D0301">
        <w:rPr>
          <w:b/>
          <w:highlight w:val="lightGray"/>
        </w:rPr>
        <w:t>JMÉNO A ADRESA DRŽITELE ROZHODNUTÍ O REGISTRACI A DRŽITELE POVOLENÍ K VÝROBĚ ODPOVĚDNÉHO ZA UVOLNĚNÍ ŠARŽE, POKUD SE NESHODUJE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iCs/>
          <w:szCs w:val="24"/>
        </w:rPr>
      </w:pPr>
      <w:r w:rsidRPr="005D0301">
        <w:rPr>
          <w:u w:val="single"/>
        </w:rPr>
        <w:t>Držitel rozhodnutí o registraci a výrobce odpovědný za uvolnění šarže</w:t>
      </w:r>
      <w:r w:rsidRPr="005D0301">
        <w:t>: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rFonts w:eastAsia="SimSun"/>
          <w:szCs w:val="24"/>
        </w:rPr>
      </w:pPr>
      <w:r w:rsidRPr="005D0301">
        <w:t>Eurovet Animal Health BV, Handelsweg 25,</w:t>
      </w:r>
      <w:r w:rsidR="005D0301">
        <w:t xml:space="preserve"> </w:t>
      </w:r>
      <w:r w:rsidRPr="005D0301">
        <w:t>5531 AE Bladel, Nizozemsko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  <w:rPr>
          <w:szCs w:val="22"/>
        </w:rPr>
      </w:pPr>
      <w:r w:rsidRPr="005D0301">
        <w:rPr>
          <w:b/>
        </w:rPr>
        <w:t>2.</w:t>
      </w:r>
      <w:r w:rsidRPr="005D0301">
        <w:rPr>
          <w:b/>
        </w:rPr>
        <w:tab/>
        <w:t>NÁZEV VETERINÁRNÍHO LÉČIVÉHO PŘÍPRAVKU</w:t>
      </w:r>
    </w:p>
    <w:p w:rsidR="000B3D5C" w:rsidRPr="005D0301" w:rsidRDefault="000B3D5C" w:rsidP="005D0301">
      <w:pPr>
        <w:widowControl w:val="0"/>
        <w:tabs>
          <w:tab w:val="clear" w:pos="567"/>
        </w:tabs>
        <w:suppressAutoHyphens/>
        <w:spacing w:line="240" w:lineRule="auto"/>
      </w:pPr>
    </w:p>
    <w:p w:rsidR="000B3D5C" w:rsidRPr="005D0301" w:rsidRDefault="000B3D5C" w:rsidP="005D0301">
      <w:pPr>
        <w:widowControl w:val="0"/>
        <w:tabs>
          <w:tab w:val="clear" w:pos="567"/>
        </w:tabs>
        <w:suppressAutoHyphens/>
        <w:spacing w:line="240" w:lineRule="auto"/>
        <w:rPr>
          <w:szCs w:val="24"/>
        </w:rPr>
      </w:pPr>
      <w:r w:rsidRPr="005D0301">
        <w:rPr>
          <w:highlight w:val="lightGray"/>
        </w:rPr>
        <w:t>Velká Británie:</w:t>
      </w:r>
    </w:p>
    <w:p w:rsidR="000B3D5C" w:rsidRDefault="000B3D5C" w:rsidP="005D0301">
      <w:pPr>
        <w:widowControl w:val="0"/>
        <w:tabs>
          <w:tab w:val="clear" w:pos="567"/>
        </w:tabs>
        <w:suppressAutoHyphens/>
        <w:spacing w:line="240" w:lineRule="auto"/>
      </w:pPr>
      <w:r w:rsidRPr="00EE6DCC">
        <w:rPr>
          <w:highlight w:val="lightGray"/>
        </w:rPr>
        <w:t xml:space="preserve">CTC Spray, 78.6 mg/g, </w:t>
      </w:r>
      <w:proofErr w:type="spellStart"/>
      <w:r w:rsidRPr="00EE6DCC">
        <w:rPr>
          <w:highlight w:val="lightGray"/>
        </w:rPr>
        <w:t>cutaneous</w:t>
      </w:r>
      <w:proofErr w:type="spellEnd"/>
      <w:r w:rsidRPr="00EE6DCC">
        <w:rPr>
          <w:highlight w:val="lightGray"/>
        </w:rPr>
        <w:t xml:space="preserve"> </w:t>
      </w:r>
      <w:proofErr w:type="spellStart"/>
      <w:r w:rsidRPr="00EE6DCC">
        <w:rPr>
          <w:highlight w:val="lightGray"/>
        </w:rPr>
        <w:t>spray</w:t>
      </w:r>
      <w:proofErr w:type="spellEnd"/>
      <w:r w:rsidRPr="00EE6DCC">
        <w:rPr>
          <w:highlight w:val="lightGray"/>
        </w:rPr>
        <w:t xml:space="preserve">, </w:t>
      </w:r>
      <w:proofErr w:type="spellStart"/>
      <w:r w:rsidRPr="00EE6DCC">
        <w:rPr>
          <w:highlight w:val="lightGray"/>
        </w:rPr>
        <w:t>suspension</w:t>
      </w:r>
      <w:proofErr w:type="spellEnd"/>
      <w:r w:rsidRPr="00EE6DCC">
        <w:rPr>
          <w:highlight w:val="lightGray"/>
        </w:rPr>
        <w:t xml:space="preserve"> </w:t>
      </w:r>
      <w:proofErr w:type="spellStart"/>
      <w:r w:rsidRPr="00EE6DCC">
        <w:rPr>
          <w:highlight w:val="lightGray"/>
        </w:rPr>
        <w:t>for</w:t>
      </w:r>
      <w:proofErr w:type="spellEnd"/>
      <w:r w:rsidRPr="00EE6DCC">
        <w:rPr>
          <w:highlight w:val="lightGray"/>
        </w:rPr>
        <w:t xml:space="preserve"> </w:t>
      </w:r>
      <w:proofErr w:type="spellStart"/>
      <w:r w:rsidRPr="00EE6DCC">
        <w:rPr>
          <w:highlight w:val="lightGray"/>
        </w:rPr>
        <w:t>pigs</w:t>
      </w:r>
      <w:proofErr w:type="spellEnd"/>
      <w:r w:rsidRPr="00EE6DCC">
        <w:rPr>
          <w:highlight w:val="lightGray"/>
        </w:rPr>
        <w:t xml:space="preserve">, </w:t>
      </w:r>
      <w:proofErr w:type="spellStart"/>
      <w:r w:rsidRPr="00EE6DCC">
        <w:rPr>
          <w:highlight w:val="lightGray"/>
        </w:rPr>
        <w:t>sheep</w:t>
      </w:r>
      <w:proofErr w:type="spellEnd"/>
      <w:r w:rsidRPr="00EE6DCC">
        <w:rPr>
          <w:highlight w:val="lightGray"/>
        </w:rPr>
        <w:t xml:space="preserve"> and </w:t>
      </w:r>
      <w:proofErr w:type="spellStart"/>
      <w:r w:rsidRPr="00EE6DCC">
        <w:rPr>
          <w:highlight w:val="lightGray"/>
        </w:rPr>
        <w:t>cattle</w:t>
      </w:r>
      <w:proofErr w:type="spellEnd"/>
    </w:p>
    <w:p w:rsidR="00597534" w:rsidRPr="005D0301" w:rsidRDefault="00597534" w:rsidP="005D0301">
      <w:pPr>
        <w:widowControl w:val="0"/>
        <w:tabs>
          <w:tab w:val="clear" w:pos="567"/>
        </w:tabs>
        <w:suppressAutoHyphens/>
        <w:spacing w:line="240" w:lineRule="auto"/>
        <w:rPr>
          <w:szCs w:val="24"/>
        </w:rPr>
      </w:pPr>
    </w:p>
    <w:p w:rsidR="000B3D5C" w:rsidRPr="005D0301" w:rsidRDefault="000B3D5C" w:rsidP="005D0301">
      <w:pPr>
        <w:spacing w:line="240" w:lineRule="auto"/>
        <w:rPr>
          <w:szCs w:val="24"/>
          <w:highlight w:val="lightGray"/>
        </w:rPr>
      </w:pPr>
      <w:r w:rsidRPr="005D0301">
        <w:rPr>
          <w:highlight w:val="lightGray"/>
        </w:rPr>
        <w:t xml:space="preserve">Chorvatsko, Kypr, Česká republika, Estonsko, Lotyšsko, Portugalsko, Rumunsko, Slovensko, Slovinsko: </w:t>
      </w:r>
    </w:p>
    <w:p w:rsidR="000B3D5C" w:rsidRPr="00EE6DCC" w:rsidRDefault="000B3D5C" w:rsidP="005D0301">
      <w:pPr>
        <w:spacing w:line="240" w:lineRule="auto"/>
        <w:rPr>
          <w:szCs w:val="24"/>
        </w:rPr>
      </w:pPr>
      <w:proofErr w:type="spellStart"/>
      <w:r w:rsidRPr="00EE6DCC">
        <w:t>Cyclospray</w:t>
      </w:r>
      <w:proofErr w:type="spellEnd"/>
      <w:r w:rsidRPr="00EE6DCC">
        <w:t xml:space="preserve"> 78,6 mg/g kožní sprej, suspenze pro prasata, ovce a </w:t>
      </w:r>
      <w:r w:rsidR="00C85A1E">
        <w:t xml:space="preserve">skot 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4"/>
          <w:highlight w:val="lightGray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4"/>
          <w:highlight w:val="lightGray"/>
        </w:rPr>
      </w:pPr>
      <w:r w:rsidRPr="005D0301">
        <w:rPr>
          <w:highlight w:val="lightGray"/>
        </w:rPr>
        <w:t>Finsko, Island</w:t>
      </w:r>
      <w:r w:rsidR="007A21D7" w:rsidRPr="005D0301">
        <w:rPr>
          <w:highlight w:val="lightGray"/>
        </w:rPr>
        <w:t>, Švédsko</w:t>
      </w:r>
      <w:r w:rsidRPr="005D0301">
        <w:rPr>
          <w:highlight w:val="lightGray"/>
        </w:rPr>
        <w:t>:</w:t>
      </w:r>
    </w:p>
    <w:p w:rsidR="000B3D5C" w:rsidRPr="005D0301" w:rsidRDefault="000B3D5C" w:rsidP="005D0301">
      <w:pPr>
        <w:tabs>
          <w:tab w:val="clear" w:pos="567"/>
        </w:tabs>
        <w:spacing w:line="240" w:lineRule="auto"/>
      </w:pPr>
      <w:r w:rsidRPr="005D0301">
        <w:rPr>
          <w:highlight w:val="lightGray"/>
        </w:rPr>
        <w:t>Cyclospray vet 78.6 mg/g, cutaneous spray, suspension for pigs, sheep and cattle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4"/>
          <w:highlight w:val="lightGray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4"/>
        </w:rPr>
      </w:pPr>
      <w:proofErr w:type="spellStart"/>
      <w:r w:rsidRPr="005D0301">
        <w:t>Chlortetracyclin</w:t>
      </w:r>
      <w:r w:rsidR="003A0572">
        <w:t>i</w:t>
      </w:r>
      <w:proofErr w:type="spellEnd"/>
      <w:r w:rsidR="003A0572">
        <w:t xml:space="preserve"> </w:t>
      </w:r>
      <w:proofErr w:type="spellStart"/>
      <w:r w:rsidR="003A0572">
        <w:t>hydrochloridum</w:t>
      </w:r>
      <w:proofErr w:type="spellEnd"/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</w:pPr>
      <w:r w:rsidRPr="005D0301">
        <w:rPr>
          <w:b/>
        </w:rPr>
        <w:t>3.</w:t>
      </w:r>
      <w:r w:rsidRPr="005D0301">
        <w:rPr>
          <w:b/>
        </w:rPr>
        <w:tab/>
        <w:t>OBSAH LÉČIVÝCH A OSTATNÍCH LÁTEK</w:t>
      </w:r>
    </w:p>
    <w:p w:rsidR="000B3D5C" w:rsidRPr="005D0301" w:rsidRDefault="000B3D5C" w:rsidP="005D0301">
      <w:pPr>
        <w:widowControl w:val="0"/>
        <w:tabs>
          <w:tab w:val="clear" w:pos="567"/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line="240" w:lineRule="auto"/>
        <w:rPr>
          <w:snapToGrid w:val="0"/>
          <w:u w:val="single"/>
        </w:rPr>
      </w:pPr>
    </w:p>
    <w:p w:rsidR="000B3D5C" w:rsidRPr="005D0301" w:rsidRDefault="000B3D5C" w:rsidP="005D0301">
      <w:pPr>
        <w:widowControl w:val="0"/>
        <w:tabs>
          <w:tab w:val="clear" w:pos="567"/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line="240" w:lineRule="auto"/>
        <w:rPr>
          <w:snapToGrid w:val="0"/>
        </w:rPr>
      </w:pPr>
      <w:r w:rsidRPr="005D0301">
        <w:t>1 gram suspenze obsahuje:</w:t>
      </w:r>
    </w:p>
    <w:p w:rsidR="003A0572" w:rsidRDefault="003A0572" w:rsidP="005D0301">
      <w:pPr>
        <w:widowControl w:val="0"/>
        <w:tabs>
          <w:tab w:val="clear" w:pos="567"/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line="240" w:lineRule="auto"/>
        <w:rPr>
          <w:b/>
        </w:rPr>
      </w:pPr>
    </w:p>
    <w:p w:rsidR="000B3D5C" w:rsidRPr="00EE6DCC" w:rsidRDefault="000B3D5C" w:rsidP="005D0301">
      <w:pPr>
        <w:widowControl w:val="0"/>
        <w:tabs>
          <w:tab w:val="clear" w:pos="567"/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line="240" w:lineRule="auto"/>
        <w:rPr>
          <w:b/>
          <w:snapToGrid w:val="0"/>
        </w:rPr>
      </w:pPr>
      <w:r w:rsidRPr="00EE6DCC">
        <w:rPr>
          <w:b/>
        </w:rPr>
        <w:t xml:space="preserve">Léčivá látka: </w:t>
      </w:r>
    </w:p>
    <w:p w:rsidR="003A0572" w:rsidRDefault="000B3D5C" w:rsidP="003A0572">
      <w:pPr>
        <w:tabs>
          <w:tab w:val="clear" w:pos="567"/>
          <w:tab w:val="right" w:pos="4253"/>
        </w:tabs>
        <w:spacing w:line="240" w:lineRule="auto"/>
      </w:pPr>
      <w:proofErr w:type="spellStart"/>
      <w:r w:rsidRPr="005D0301">
        <w:t>Chlortetracyclini</w:t>
      </w:r>
      <w:proofErr w:type="spellEnd"/>
      <w:r w:rsidRPr="005D0301">
        <w:t xml:space="preserve"> </w:t>
      </w:r>
      <w:proofErr w:type="spellStart"/>
      <w:r w:rsidRPr="005D0301">
        <w:t>hydrochlori</w:t>
      </w:r>
      <w:r w:rsidR="003A0572">
        <w:t>d</w:t>
      </w:r>
      <w:r w:rsidRPr="005D0301">
        <w:t>um</w:t>
      </w:r>
      <w:proofErr w:type="spellEnd"/>
      <w:r w:rsidRPr="005D0301">
        <w:tab/>
        <w:t>78,6 mg</w:t>
      </w:r>
    </w:p>
    <w:p w:rsidR="000B3D5C" w:rsidRPr="005D0301" w:rsidRDefault="000B3D5C" w:rsidP="003A0572">
      <w:pPr>
        <w:tabs>
          <w:tab w:val="clear" w:pos="567"/>
          <w:tab w:val="right" w:pos="4253"/>
        </w:tabs>
        <w:spacing w:line="240" w:lineRule="auto"/>
        <w:rPr>
          <w:szCs w:val="24"/>
        </w:rPr>
      </w:pPr>
      <w:r w:rsidRPr="005D0301">
        <w:t>(odpovídá</w:t>
      </w:r>
      <w:r w:rsidR="005D0301">
        <w:t xml:space="preserve"> </w:t>
      </w:r>
      <w:proofErr w:type="spellStart"/>
      <w:r w:rsidRPr="005D0301">
        <w:t>chlortetracyklinu</w:t>
      </w:r>
      <w:r w:rsidR="003A0572">
        <w:t>m</w:t>
      </w:r>
      <w:proofErr w:type="spellEnd"/>
      <w:r w:rsidR="003A0572">
        <w:tab/>
      </w:r>
      <w:r w:rsidR="003A0572" w:rsidRPr="005D0301">
        <w:t>73,0 mg</w:t>
      </w:r>
      <w:r w:rsidRPr="005D0301">
        <w:t>)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4"/>
        </w:rPr>
      </w:pPr>
    </w:p>
    <w:p w:rsidR="000B3D5C" w:rsidRPr="00EE6DCC" w:rsidRDefault="003A0572" w:rsidP="005D0301">
      <w:pPr>
        <w:widowControl w:val="0"/>
        <w:tabs>
          <w:tab w:val="clear" w:pos="567"/>
        </w:tabs>
        <w:suppressAutoHyphens/>
        <w:spacing w:line="240" w:lineRule="auto"/>
        <w:rPr>
          <w:b/>
        </w:rPr>
      </w:pPr>
      <w:r w:rsidRPr="00EE6DCC">
        <w:rPr>
          <w:b/>
        </w:rPr>
        <w:t>Pomocné látky</w:t>
      </w:r>
    </w:p>
    <w:p w:rsidR="005D0301" w:rsidRDefault="005D0301" w:rsidP="005D0301">
      <w:pPr>
        <w:widowControl w:val="0"/>
        <w:tabs>
          <w:tab w:val="clear" w:pos="567"/>
        </w:tabs>
        <w:suppressAutoHyphens/>
        <w:spacing w:line="240" w:lineRule="auto"/>
      </w:pPr>
      <w:r w:rsidRPr="005D0301">
        <w:t xml:space="preserve">Patentní modř V, </w:t>
      </w:r>
      <w:r w:rsidR="003A0572">
        <w:t>barvivo</w:t>
      </w:r>
    </w:p>
    <w:p w:rsidR="005D0301" w:rsidRPr="005D0301" w:rsidRDefault="005D0301" w:rsidP="005D0301">
      <w:pPr>
        <w:widowControl w:val="0"/>
        <w:tabs>
          <w:tab w:val="clear" w:pos="567"/>
        </w:tabs>
        <w:suppressAutoHyphens/>
        <w:spacing w:line="240" w:lineRule="auto"/>
        <w:rPr>
          <w:szCs w:val="24"/>
        </w:rPr>
      </w:pPr>
      <w:r w:rsidRPr="005D0301">
        <w:t>Butan 100</w:t>
      </w:r>
    </w:p>
    <w:p w:rsidR="005D0301" w:rsidRDefault="005D0301" w:rsidP="005D0301">
      <w:pPr>
        <w:widowControl w:val="0"/>
        <w:tabs>
          <w:tab w:val="clear" w:pos="567"/>
        </w:tabs>
        <w:suppressAutoHyphens/>
        <w:spacing w:line="240" w:lineRule="auto"/>
        <w:rPr>
          <w:snapToGrid w:val="0"/>
          <w:szCs w:val="24"/>
          <w:u w:val="single"/>
        </w:rPr>
      </w:pPr>
    </w:p>
    <w:p w:rsidR="005D0301" w:rsidRPr="005D0301" w:rsidRDefault="005D0301" w:rsidP="005D0301">
      <w:pPr>
        <w:widowControl w:val="0"/>
        <w:tabs>
          <w:tab w:val="clear" w:pos="567"/>
        </w:tabs>
        <w:suppressAutoHyphens/>
        <w:spacing w:line="240" w:lineRule="auto"/>
        <w:rPr>
          <w:szCs w:val="24"/>
        </w:rPr>
      </w:pPr>
      <w:r w:rsidRPr="005D0301">
        <w:t>Kožní sprej, suspenze</w:t>
      </w:r>
    </w:p>
    <w:p w:rsidR="005D0301" w:rsidRDefault="005D0301" w:rsidP="005D0301">
      <w:pPr>
        <w:widowControl w:val="0"/>
        <w:tabs>
          <w:tab w:val="clear" w:pos="567"/>
        </w:tabs>
        <w:suppressAutoHyphens/>
        <w:spacing w:line="240" w:lineRule="auto"/>
        <w:rPr>
          <w:snapToGrid w:val="0"/>
          <w:szCs w:val="24"/>
          <w:u w:val="single"/>
        </w:rPr>
      </w:pPr>
      <w:r w:rsidRPr="005D0301">
        <w:t>Modře zbarvený sprej.</w:t>
      </w:r>
    </w:p>
    <w:p w:rsidR="000B3D5C" w:rsidRPr="005D0301" w:rsidRDefault="000B3D5C" w:rsidP="005D0301">
      <w:pPr>
        <w:widowControl w:val="0"/>
        <w:tabs>
          <w:tab w:val="left" w:pos="720"/>
          <w:tab w:val="right" w:pos="1334"/>
          <w:tab w:val="left" w:pos="2811"/>
          <w:tab w:val="left" w:pos="3492"/>
        </w:tabs>
        <w:spacing w:line="240" w:lineRule="auto"/>
        <w:rPr>
          <w:snapToGrid w:val="0"/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</w:pPr>
      <w:r w:rsidRPr="005D0301">
        <w:rPr>
          <w:b/>
        </w:rPr>
        <w:t>4.</w:t>
      </w:r>
      <w:r w:rsidRPr="005D0301">
        <w:rPr>
          <w:b/>
        </w:rPr>
        <w:tab/>
        <w:t>INDIKACE</w:t>
      </w:r>
    </w:p>
    <w:p w:rsidR="000B3D5C" w:rsidRPr="005D0301" w:rsidRDefault="000B3D5C" w:rsidP="005D0301">
      <w:pPr>
        <w:widowControl w:val="0"/>
        <w:tabs>
          <w:tab w:val="clear" w:pos="567"/>
        </w:tabs>
        <w:suppressAutoHyphens/>
        <w:spacing w:line="240" w:lineRule="auto"/>
      </w:pPr>
    </w:p>
    <w:p w:rsidR="000B3D5C" w:rsidRPr="005D0301" w:rsidRDefault="000B3D5C" w:rsidP="005D0301">
      <w:pPr>
        <w:widowControl w:val="0"/>
        <w:tabs>
          <w:tab w:val="clear" w:pos="567"/>
        </w:tabs>
        <w:suppressAutoHyphens/>
        <w:spacing w:line="240" w:lineRule="auto"/>
        <w:rPr>
          <w:szCs w:val="22"/>
        </w:rPr>
      </w:pPr>
      <w:r w:rsidRPr="005D0301">
        <w:t>Podpůrná léčba infekcí superficiálního traumatického původu nebo chirurgických ran způsobených mikroorganismy citlivými na chlortetracyklin. Přípravek lze použít jako součást léčby superficiálních infekcí kopyt, zvláště interdigitální dermatitidy (kulhavka) u ovcí a digitální dermatitidy u skotu.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</w:pPr>
      <w:r w:rsidRPr="005D0301">
        <w:rPr>
          <w:b/>
        </w:rPr>
        <w:t>5.</w:t>
      </w:r>
      <w:r w:rsidRPr="005D0301">
        <w:rPr>
          <w:b/>
        </w:rPr>
        <w:tab/>
        <w:t>KONTRAINDIKACE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  <w:r w:rsidRPr="005D0301">
        <w:t>Nepoužívat v případě přecitlivělosti na léčivou látku nebo na některou z pomocných látek.</w:t>
      </w:r>
    </w:p>
    <w:p w:rsidR="000B3D5C" w:rsidRPr="005D0301" w:rsidRDefault="000B3D5C" w:rsidP="005D0301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  <w:rPr>
          <w:b/>
        </w:rPr>
      </w:pPr>
      <w:r w:rsidRPr="005D0301">
        <w:rPr>
          <w:b/>
        </w:rPr>
        <w:t>6.</w:t>
      </w:r>
      <w:r w:rsidRPr="005D0301">
        <w:rPr>
          <w:b/>
        </w:rPr>
        <w:tab/>
        <w:t>NEŽÁDOUCÍ ÚČINKY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widowControl w:val="0"/>
        <w:numPr>
          <w:ilvl w:val="12"/>
          <w:numId w:val="0"/>
        </w:numPr>
        <w:tabs>
          <w:tab w:val="clear" w:pos="567"/>
        </w:tabs>
        <w:suppressAutoHyphens/>
        <w:spacing w:line="240" w:lineRule="auto"/>
      </w:pPr>
      <w:r w:rsidRPr="005D0301">
        <w:t>Vzácně se mohou objevit hypersenzitivní reakce.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4"/>
        </w:rPr>
      </w:pPr>
      <w:r w:rsidRPr="005D0301">
        <w:t>Jestliže zaznamenáte jakékoliv závažné nežádoucí účinky či jiné reakce, které nejsou uvedeny v této příbalové informaci, oznamte to prosím vašemu veterinárnímu lékaři.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keepNext/>
        <w:spacing w:line="240" w:lineRule="auto"/>
        <w:ind w:left="567" w:hanging="567"/>
        <w:rPr>
          <w:szCs w:val="22"/>
          <w:highlight w:val="lightGray"/>
        </w:rPr>
      </w:pPr>
      <w:r w:rsidRPr="005D0301">
        <w:rPr>
          <w:b/>
          <w:highlight w:val="lightGray"/>
        </w:rPr>
        <w:t>7.</w:t>
      </w:r>
      <w:r w:rsidRPr="005D0301">
        <w:rPr>
          <w:b/>
          <w:highlight w:val="lightGray"/>
        </w:rPr>
        <w:tab/>
        <w:t>CÍLOVÝ DRUH ZVÍŘAT</w:t>
      </w:r>
    </w:p>
    <w:p w:rsidR="000B3D5C" w:rsidRPr="005D0301" w:rsidRDefault="000B3D5C" w:rsidP="005D0301">
      <w:pPr>
        <w:widowControl w:val="0"/>
        <w:tabs>
          <w:tab w:val="clear" w:pos="567"/>
        </w:tabs>
        <w:suppressAutoHyphens/>
        <w:spacing w:line="240" w:lineRule="auto"/>
        <w:rPr>
          <w:highlight w:val="lightGray"/>
        </w:rPr>
      </w:pPr>
    </w:p>
    <w:p w:rsidR="000B3D5C" w:rsidRPr="005D0301" w:rsidRDefault="000B3D5C" w:rsidP="005D0301">
      <w:pPr>
        <w:widowControl w:val="0"/>
        <w:tabs>
          <w:tab w:val="clear" w:pos="567"/>
        </w:tabs>
        <w:suppressAutoHyphens/>
        <w:spacing w:line="240" w:lineRule="auto"/>
        <w:rPr>
          <w:szCs w:val="22"/>
        </w:rPr>
      </w:pPr>
      <w:r w:rsidRPr="005D0301">
        <w:rPr>
          <w:highlight w:val="lightGray"/>
        </w:rPr>
        <w:t>Skot, ovce a prasata.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  <w:rPr>
          <w:b/>
        </w:rPr>
      </w:pPr>
      <w:r w:rsidRPr="005D0301">
        <w:rPr>
          <w:b/>
        </w:rPr>
        <w:t>8.</w:t>
      </w:r>
      <w:r w:rsidRPr="005D0301">
        <w:rPr>
          <w:b/>
        </w:rPr>
        <w:tab/>
        <w:t>DÁVKOVÁNÍ PRO KAŽDÝ DRUH, CESTA A ZPŮSOB PODÁNÍ</w:t>
      </w:r>
    </w:p>
    <w:p w:rsidR="000B3D5C" w:rsidRPr="005D0301" w:rsidRDefault="000B3D5C" w:rsidP="005D0301">
      <w:pPr>
        <w:tabs>
          <w:tab w:val="clear" w:pos="567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eastAsia="SimSun"/>
          <w:szCs w:val="22"/>
        </w:rPr>
      </w:pPr>
    </w:p>
    <w:p w:rsidR="000B3D5C" w:rsidRPr="005D0301" w:rsidRDefault="000B3D5C" w:rsidP="005D0301">
      <w:pPr>
        <w:widowControl w:val="0"/>
        <w:numPr>
          <w:ilvl w:val="12"/>
          <w:numId w:val="0"/>
        </w:numPr>
        <w:tabs>
          <w:tab w:val="clear" w:pos="567"/>
        </w:tabs>
        <w:suppressAutoHyphens/>
        <w:spacing w:line="240" w:lineRule="auto"/>
      </w:pPr>
      <w:r w:rsidRPr="005D0301">
        <w:t xml:space="preserve">Tento veterinární léčivý přípravek je indikován ke kožnímu podání. Před nastříkáním důkladně obal protřepejte. Držte obal ve vzdálenosti 15-20 cm od ošetřované oblasti a stříkejte přípravek přibližně po dobu 3 sekund (odpovídá přibližně 3,9 g přípravku </w:t>
      </w:r>
      <w:proofErr w:type="gramStart"/>
      <w:r w:rsidRPr="005D0301">
        <w:t>nebo-</w:t>
      </w:r>
      <w:proofErr w:type="spellStart"/>
      <w:r w:rsidRPr="005D0301">
        <w:t>li</w:t>
      </w:r>
      <w:proofErr w:type="spellEnd"/>
      <w:r w:rsidRPr="005D0301">
        <w:t xml:space="preserve"> 0,10</w:t>
      </w:r>
      <w:proofErr w:type="gramEnd"/>
      <w:r w:rsidRPr="005D0301">
        <w:t xml:space="preserve"> g chlortetracyklinu), dokud se ošetřovaná oblast rovnoměrně nezbarví. V případě infekce kopyt je nutné zopakovat nástřik po uplynutí 30 sekund. </w:t>
      </w:r>
    </w:p>
    <w:p w:rsidR="000B3D5C" w:rsidRPr="005D0301" w:rsidRDefault="000B3D5C" w:rsidP="005D0301">
      <w:pPr>
        <w:widowControl w:val="0"/>
        <w:tabs>
          <w:tab w:val="clear" w:pos="567"/>
        </w:tabs>
        <w:suppressAutoHyphens/>
        <w:spacing w:line="240" w:lineRule="auto"/>
      </w:pPr>
      <w:r w:rsidRPr="005D0301">
        <w:t xml:space="preserve">V případě podpůrné léčby infekcí superficiálního traumatického původu nebo chirurgických ran se doporučuje jednorázové podání. </w:t>
      </w:r>
    </w:p>
    <w:p w:rsidR="000B3D5C" w:rsidRPr="005D0301" w:rsidRDefault="000B3D5C" w:rsidP="005D0301">
      <w:pPr>
        <w:widowControl w:val="0"/>
        <w:tabs>
          <w:tab w:val="clear" w:pos="567"/>
          <w:tab w:val="left" w:pos="-1440"/>
          <w:tab w:val="left" w:pos="-720"/>
        </w:tabs>
        <w:suppressAutoHyphens/>
        <w:spacing w:line="240" w:lineRule="auto"/>
      </w:pPr>
      <w:r w:rsidRPr="005D0301">
        <w:t xml:space="preserve">Při léčbě digitální dermatitidy se doporučuje podání </w:t>
      </w:r>
      <w:r w:rsidR="00597534">
        <w:t xml:space="preserve">dvou nástřiků </w:t>
      </w:r>
      <w:r w:rsidRPr="005D0301">
        <w:t>(v intervalu 30 sekund) denně po dobu tří po sobě jdoucích dnů.</w:t>
      </w:r>
    </w:p>
    <w:p w:rsidR="000B3D5C" w:rsidRPr="005D0301" w:rsidRDefault="000B3D5C" w:rsidP="005D0301">
      <w:pPr>
        <w:widowControl w:val="0"/>
        <w:tabs>
          <w:tab w:val="clear" w:pos="567"/>
        </w:tabs>
        <w:suppressAutoHyphens/>
        <w:spacing w:line="240" w:lineRule="auto"/>
      </w:pPr>
      <w:r w:rsidRPr="005D0301">
        <w:t>Při léčbě jiných infekcí kopyt (kulhavka) se doporučuje podání</w:t>
      </w:r>
      <w:r w:rsidR="00597534">
        <w:t xml:space="preserve"> dvou nástřiků</w:t>
      </w:r>
      <w:r w:rsidRPr="005D0301">
        <w:t xml:space="preserve"> (v intervalu 30 sekund). Podle závažnosti poškození a rychlosti zlepšení by se měla léčba opakovat po dobu 1 až 3 dnů. 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iCs/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  <w:rPr>
          <w:b/>
        </w:rPr>
      </w:pPr>
      <w:r w:rsidRPr="005D0301">
        <w:rPr>
          <w:b/>
        </w:rPr>
        <w:t>9.</w:t>
      </w:r>
      <w:r w:rsidRPr="005D0301">
        <w:rPr>
          <w:b/>
        </w:rPr>
        <w:tab/>
        <w:t>POKYNY PRO SPRÁVNÉ PODÁNÍ</w:t>
      </w:r>
    </w:p>
    <w:p w:rsidR="000B3D5C" w:rsidRPr="005D0301" w:rsidRDefault="000B3D5C" w:rsidP="005D0301">
      <w:pPr>
        <w:tabs>
          <w:tab w:val="clear" w:pos="567"/>
        </w:tabs>
        <w:spacing w:line="240" w:lineRule="auto"/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  <w:r w:rsidRPr="005D0301">
        <w:t>Před podáním spreje důkladně očistěte postiženou oblast. Léčbě onemocnění kopyt by mělo vždy předcházet vhodné oškrábání kopyta, protože to je zásadn</w:t>
      </w:r>
      <w:r w:rsidR="00C85A1E">
        <w:t xml:space="preserve">í pro dosažení adekvátní </w:t>
      </w:r>
      <w:proofErr w:type="gramStart"/>
      <w:r w:rsidR="00C85A1E">
        <w:t xml:space="preserve">odpovědi. </w:t>
      </w:r>
      <w:r w:rsidRPr="005D0301">
        <w:t>. Po</w:t>
      </w:r>
      <w:proofErr w:type="gramEnd"/>
      <w:r w:rsidRPr="005D0301">
        <w:t xml:space="preserve"> podání přípravku na kopyto by mělo zvíře setrvat na suchém povrchu po dobu nejméně jedné hodiny.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  <w:rPr>
          <w:b/>
        </w:rPr>
      </w:pPr>
      <w:r w:rsidRPr="005D0301">
        <w:rPr>
          <w:b/>
        </w:rPr>
        <w:t>10.</w:t>
      </w:r>
      <w:r w:rsidRPr="005D0301">
        <w:rPr>
          <w:b/>
        </w:rPr>
        <w:tab/>
        <w:t>OCHRANNÁ LHŮTA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rFonts w:eastAsia="SimSun"/>
          <w:szCs w:val="22"/>
        </w:rPr>
      </w:pPr>
    </w:p>
    <w:p w:rsidR="000B3D5C" w:rsidRPr="005D0301" w:rsidRDefault="000B3D5C" w:rsidP="005D0301">
      <w:pPr>
        <w:widowControl w:val="0"/>
        <w:tabs>
          <w:tab w:val="clear" w:pos="567"/>
        </w:tabs>
        <w:suppressAutoHyphens/>
        <w:spacing w:line="240" w:lineRule="auto"/>
      </w:pPr>
      <w:r w:rsidRPr="005D0301">
        <w:t>Maso:</w:t>
      </w:r>
      <w:r w:rsidR="00932907">
        <w:t xml:space="preserve"> Bez ochranných lhůt.</w:t>
      </w:r>
    </w:p>
    <w:p w:rsidR="000B3D5C" w:rsidRPr="005D0301" w:rsidRDefault="000B3D5C" w:rsidP="005D0301">
      <w:pPr>
        <w:widowControl w:val="0"/>
        <w:tabs>
          <w:tab w:val="clear" w:pos="567"/>
        </w:tabs>
        <w:suppressAutoHyphens/>
        <w:spacing w:line="240" w:lineRule="auto"/>
      </w:pPr>
      <w:r w:rsidRPr="005D0301">
        <w:t xml:space="preserve">Mléko: </w:t>
      </w:r>
      <w:r w:rsidR="00932907">
        <w:t>Bez ochranných lhůt.</w:t>
      </w:r>
    </w:p>
    <w:p w:rsidR="000B3D5C" w:rsidRDefault="0083159A" w:rsidP="005D0301">
      <w:pPr>
        <w:tabs>
          <w:tab w:val="clear" w:pos="567"/>
        </w:tabs>
        <w:spacing w:line="240" w:lineRule="auto"/>
      </w:pPr>
      <w:r w:rsidRPr="00914825">
        <w:t>Nepoužívat pro ošetření vemene</w:t>
      </w:r>
      <w:r>
        <w:t xml:space="preserve"> u laktujících </w:t>
      </w:r>
      <w:r w:rsidRPr="00914825">
        <w:t>zvířat, pokud je</w:t>
      </w:r>
      <w:r>
        <w:t xml:space="preserve"> jejich</w:t>
      </w:r>
      <w:r w:rsidRPr="00914825">
        <w:t xml:space="preserve"> mléko určeno pro</w:t>
      </w:r>
      <w:r>
        <w:t xml:space="preserve"> lidskou spotřebu.</w:t>
      </w:r>
    </w:p>
    <w:p w:rsidR="0083159A" w:rsidRPr="005D0301" w:rsidRDefault="0083159A" w:rsidP="005D0301">
      <w:pPr>
        <w:tabs>
          <w:tab w:val="clear" w:pos="567"/>
        </w:tabs>
        <w:spacing w:line="240" w:lineRule="auto"/>
        <w:rPr>
          <w:iCs/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  <w:rPr>
          <w:b/>
        </w:rPr>
      </w:pPr>
      <w:r w:rsidRPr="005D0301">
        <w:rPr>
          <w:b/>
        </w:rPr>
        <w:t>11.</w:t>
      </w:r>
      <w:r w:rsidRPr="005D0301">
        <w:rPr>
          <w:b/>
        </w:rPr>
        <w:tab/>
        <w:t>ZVLÁŠTNÍ OPATŘENÍ PRO UCHOVÁVÁNÍ</w:t>
      </w:r>
    </w:p>
    <w:p w:rsidR="000B3D5C" w:rsidRPr="005D0301" w:rsidRDefault="000B3D5C" w:rsidP="005D030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</w:rPr>
      </w:pPr>
    </w:p>
    <w:p w:rsidR="000B3D5C" w:rsidRPr="005D0301" w:rsidRDefault="000B3D5C" w:rsidP="005D030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</w:rPr>
      </w:pPr>
      <w:r w:rsidRPr="005D0301">
        <w:t>Uchovávat mimo dosah dětí.</w:t>
      </w:r>
    </w:p>
    <w:p w:rsidR="000B3D5C" w:rsidRPr="005D0301" w:rsidRDefault="000B3D5C" w:rsidP="005D0301">
      <w:pPr>
        <w:widowControl w:val="0"/>
        <w:tabs>
          <w:tab w:val="clear" w:pos="567"/>
        </w:tabs>
        <w:suppressAutoHyphens/>
        <w:spacing w:line="240" w:lineRule="auto"/>
      </w:pPr>
    </w:p>
    <w:p w:rsidR="003A0572" w:rsidRDefault="003A0572" w:rsidP="003A0572">
      <w:r>
        <w:t>Extrémně</w:t>
      </w:r>
      <w:r w:rsidRPr="00914825">
        <w:t xml:space="preserve"> hořlavý aerosol. </w:t>
      </w:r>
      <w:r>
        <w:t>Nádobka je pod tlakem:</w:t>
      </w:r>
    </w:p>
    <w:p w:rsidR="003A0572" w:rsidRPr="00EE6DCC" w:rsidRDefault="003A0572" w:rsidP="003A0572">
      <w:pPr>
        <w:pStyle w:val="Odstavecseseznamem"/>
        <w:widowControl w:val="0"/>
        <w:numPr>
          <w:ilvl w:val="0"/>
          <w:numId w:val="43"/>
        </w:numPr>
        <w:suppressAutoHyphens/>
        <w:contextualSpacing/>
        <w:rPr>
          <w:rFonts w:ascii="Times New Roman" w:hAnsi="Times New Roman" w:cs="Times New Roman"/>
          <w:szCs w:val="24"/>
        </w:rPr>
      </w:pPr>
      <w:r w:rsidRPr="00EE6DCC">
        <w:rPr>
          <w:rFonts w:ascii="Times New Roman" w:hAnsi="Times New Roman" w:cs="Times New Roman"/>
        </w:rPr>
        <w:t>Při zahřátí může explodovat</w:t>
      </w:r>
    </w:p>
    <w:p w:rsidR="003A0572" w:rsidRPr="00EE6DCC" w:rsidRDefault="003A0572" w:rsidP="003A0572">
      <w:pPr>
        <w:pStyle w:val="Odstavecseseznamem"/>
        <w:widowControl w:val="0"/>
        <w:numPr>
          <w:ilvl w:val="0"/>
          <w:numId w:val="43"/>
        </w:numPr>
        <w:suppressAutoHyphens/>
        <w:contextualSpacing/>
        <w:rPr>
          <w:rFonts w:ascii="Times New Roman" w:hAnsi="Times New Roman" w:cs="Times New Roman"/>
          <w:szCs w:val="24"/>
        </w:rPr>
      </w:pPr>
      <w:r w:rsidRPr="00EE6DCC">
        <w:rPr>
          <w:rFonts w:ascii="Times New Roman" w:hAnsi="Times New Roman" w:cs="Times New Roman"/>
        </w:rPr>
        <w:t>Nevstavujte slunečnímu záření a teplotám nad 50 °C</w:t>
      </w:r>
    </w:p>
    <w:p w:rsidR="003A0572" w:rsidRPr="00EE6DCC" w:rsidRDefault="003A0572" w:rsidP="003A0572">
      <w:pPr>
        <w:pStyle w:val="Odstavecseseznamem"/>
        <w:widowControl w:val="0"/>
        <w:numPr>
          <w:ilvl w:val="0"/>
          <w:numId w:val="43"/>
        </w:numPr>
        <w:suppressAutoHyphens/>
        <w:contextualSpacing/>
        <w:rPr>
          <w:rFonts w:ascii="Times New Roman" w:hAnsi="Times New Roman" w:cs="Times New Roman"/>
          <w:szCs w:val="24"/>
        </w:rPr>
      </w:pPr>
      <w:r w:rsidRPr="00EE6DCC">
        <w:rPr>
          <w:rFonts w:ascii="Times New Roman" w:hAnsi="Times New Roman" w:cs="Times New Roman"/>
        </w:rPr>
        <w:t>Uchovávejte mimo dosah zdrojů zapálení, zákaz kouření</w:t>
      </w:r>
    </w:p>
    <w:p w:rsidR="003A0572" w:rsidRPr="00EE6DCC" w:rsidRDefault="003A0572" w:rsidP="003A0572">
      <w:pPr>
        <w:pStyle w:val="Odstavecseseznamem"/>
        <w:widowControl w:val="0"/>
        <w:numPr>
          <w:ilvl w:val="0"/>
          <w:numId w:val="43"/>
        </w:numPr>
        <w:suppressAutoHyphens/>
        <w:contextualSpacing/>
        <w:rPr>
          <w:rFonts w:ascii="Times New Roman" w:hAnsi="Times New Roman" w:cs="Times New Roman"/>
          <w:szCs w:val="24"/>
        </w:rPr>
      </w:pPr>
      <w:r w:rsidRPr="00EE6DCC">
        <w:rPr>
          <w:rFonts w:ascii="Times New Roman" w:hAnsi="Times New Roman" w:cs="Times New Roman"/>
        </w:rPr>
        <w:t>Chraňte před horkem, horkými povrchy, jiskrami, otevřenými ohněm a jiným zdroji zapálení</w:t>
      </w:r>
    </w:p>
    <w:p w:rsidR="003A0572" w:rsidRPr="00EE6DCC" w:rsidRDefault="003A0572" w:rsidP="003A0572">
      <w:pPr>
        <w:pStyle w:val="Odstavecseseznamem"/>
        <w:widowControl w:val="0"/>
        <w:numPr>
          <w:ilvl w:val="0"/>
          <w:numId w:val="43"/>
        </w:numPr>
        <w:suppressAutoHyphens/>
        <w:contextualSpacing/>
        <w:rPr>
          <w:rFonts w:ascii="Times New Roman" w:hAnsi="Times New Roman" w:cs="Times New Roman"/>
          <w:szCs w:val="24"/>
        </w:rPr>
      </w:pPr>
      <w:r w:rsidRPr="00EE6DCC">
        <w:rPr>
          <w:rFonts w:ascii="Times New Roman" w:hAnsi="Times New Roman" w:cs="Times New Roman"/>
        </w:rPr>
        <w:t>Zákaz kouření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rFonts w:eastAsia="SimSun"/>
          <w:szCs w:val="24"/>
        </w:rPr>
      </w:pPr>
    </w:p>
    <w:p w:rsidR="000B3D5C" w:rsidRPr="005D0301" w:rsidRDefault="000B3D5C" w:rsidP="005D030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</w:rPr>
      </w:pPr>
      <w:r w:rsidRPr="005D0301">
        <w:t>Nepoužívejte tento veterinární léčivý přípravek po uplynutí doby použitelnosti uvedené na etiketě za EXP. Doba použitelnosti se vztahuje k poslednímu dni daného měsíce.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</w:pPr>
      <w:r w:rsidRPr="005D0301">
        <w:rPr>
          <w:b/>
        </w:rPr>
        <w:t>12.</w:t>
      </w:r>
      <w:r w:rsidRPr="005D0301">
        <w:rPr>
          <w:b/>
        </w:rPr>
        <w:tab/>
        <w:t>ZVLÁŠTNÍ UPOZORNĚNÍ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5D0301">
        <w:rPr>
          <w:highlight w:val="lightGray"/>
          <w:u w:val="single"/>
        </w:rPr>
        <w:t>Zvláštní upozornění pro každý cílový druh:</w:t>
      </w:r>
      <w:r w:rsidRPr="005D0301">
        <w:rPr>
          <w:highlight w:val="lightGray"/>
        </w:rPr>
        <w:t xml:space="preserve"> 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  <w:r w:rsidRPr="005D0301">
        <w:rPr>
          <w:highlight w:val="lightGray"/>
        </w:rPr>
        <w:t>Nejsou.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  <w:r w:rsidRPr="005D0301">
        <w:rPr>
          <w:u w:val="single"/>
        </w:rPr>
        <w:t>Zvláštní opatření pro použití u zvířat</w:t>
      </w:r>
      <w:r w:rsidRPr="005D0301">
        <w:t>:</w:t>
      </w:r>
    </w:p>
    <w:p w:rsidR="000B3D5C" w:rsidRPr="005D0301" w:rsidRDefault="000B3D5C" w:rsidP="005D0301">
      <w:pPr>
        <w:widowControl w:val="0"/>
        <w:numPr>
          <w:ilvl w:val="12"/>
          <w:numId w:val="0"/>
        </w:numPr>
        <w:tabs>
          <w:tab w:val="clear" w:pos="567"/>
          <w:tab w:val="left" w:pos="-1440"/>
          <w:tab w:val="left" w:pos="-720"/>
        </w:tabs>
        <w:suppressAutoHyphens/>
        <w:spacing w:line="240" w:lineRule="auto"/>
        <w:rPr>
          <w:szCs w:val="22"/>
        </w:rPr>
      </w:pPr>
      <w:r w:rsidRPr="005D0301">
        <w:lastRenderedPageBreak/>
        <w:t xml:space="preserve">V případě podání spreje v blízkosti hlavy chraňte oči zvířete. </w:t>
      </w:r>
    </w:p>
    <w:p w:rsidR="000B3D5C" w:rsidRPr="005D0301" w:rsidRDefault="000B3D5C" w:rsidP="005D0301">
      <w:pPr>
        <w:widowControl w:val="0"/>
        <w:numPr>
          <w:ilvl w:val="12"/>
          <w:numId w:val="0"/>
        </w:numPr>
        <w:tabs>
          <w:tab w:val="clear" w:pos="567"/>
          <w:tab w:val="left" w:pos="-1440"/>
          <w:tab w:val="left" w:pos="-720"/>
        </w:tabs>
        <w:suppressAutoHyphens/>
        <w:spacing w:line="240" w:lineRule="auto"/>
        <w:rPr>
          <w:szCs w:val="22"/>
        </w:rPr>
      </w:pPr>
      <w:r w:rsidRPr="005D0301">
        <w:t>Je nutné zabránit tomu, aby zvíře lízalo vlastní ošetřenou oblast nebo ošetřenou oblast jiných zvířat.</w:t>
      </w:r>
    </w:p>
    <w:p w:rsidR="000B3D5C" w:rsidRPr="005D0301" w:rsidRDefault="000B3D5C" w:rsidP="005D0301">
      <w:pPr>
        <w:spacing w:line="240" w:lineRule="auto"/>
        <w:rPr>
          <w:rFonts w:cs="Arial"/>
          <w:bCs/>
          <w:iCs/>
          <w:szCs w:val="22"/>
        </w:rPr>
      </w:pPr>
      <w:r w:rsidRPr="005D0301">
        <w:t>Při použití přípravku je nutno</w:t>
      </w:r>
      <w:r w:rsidR="00BB48E0">
        <w:t xml:space="preserve"> vzít v úvahu</w:t>
      </w:r>
      <w:r w:rsidR="00367A8B">
        <w:t xml:space="preserve"> testování citlivosti, oficiální, národní a regionální pravidla</w:t>
      </w:r>
      <w:r w:rsidR="00BB48E0">
        <w:t xml:space="preserve"> antibiotické politiky</w:t>
      </w:r>
      <w:r w:rsidR="00367A8B">
        <w:t>.</w:t>
      </w:r>
      <w:r w:rsidRPr="005D0301">
        <w:t xml:space="preserve"> </w:t>
      </w:r>
    </w:p>
    <w:p w:rsidR="000B3D5C" w:rsidRPr="005D0301" w:rsidRDefault="000B3D5C" w:rsidP="005D0301">
      <w:pPr>
        <w:widowControl w:val="0"/>
        <w:numPr>
          <w:ilvl w:val="12"/>
          <w:numId w:val="0"/>
        </w:numPr>
        <w:tabs>
          <w:tab w:val="clear" w:pos="567"/>
          <w:tab w:val="left" w:pos="-1440"/>
          <w:tab w:val="left" w:pos="-720"/>
        </w:tabs>
        <w:suppressAutoHyphens/>
        <w:spacing w:line="240" w:lineRule="auto"/>
        <w:rPr>
          <w:szCs w:val="22"/>
        </w:rPr>
      </w:pPr>
      <w:r w:rsidRPr="005D0301">
        <w:t>Použití přípravku jiným způsobem, než je uvedeno v</w:t>
      </w:r>
      <w:r w:rsidR="00367A8B">
        <w:t xml:space="preserve"> této příbalové </w:t>
      </w:r>
      <w:proofErr w:type="gramStart"/>
      <w:r w:rsidR="00367A8B">
        <w:t xml:space="preserve">informaci  </w:t>
      </w:r>
      <w:r w:rsidRPr="005D0301">
        <w:t>může</w:t>
      </w:r>
      <w:proofErr w:type="gramEnd"/>
      <w:r w:rsidRPr="005D0301">
        <w:t xml:space="preserve"> zvýšit prevalenci </w:t>
      </w:r>
      <w:r w:rsidR="00367A8B">
        <w:t xml:space="preserve">rezistence </w:t>
      </w:r>
      <w:r w:rsidR="00597534">
        <w:t xml:space="preserve">bakterií </w:t>
      </w:r>
      <w:r w:rsidR="00367A8B">
        <w:t xml:space="preserve">na chlortetracyklin </w:t>
      </w:r>
      <w:r w:rsidRPr="005D0301">
        <w:t xml:space="preserve"> a může snížit účinnost léčby jinými tetracykliny kvůli potenciální zkřížené rezistenci.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  <w:r w:rsidRPr="005D0301">
        <w:rPr>
          <w:u w:val="single"/>
        </w:rPr>
        <w:t>Zvláštní opatření určené osobám, které podávají veterinární léčivý přípravek zvířatům</w:t>
      </w:r>
      <w:r w:rsidRPr="005D0301">
        <w:t>:</w:t>
      </w:r>
    </w:p>
    <w:p w:rsidR="007F0829" w:rsidRDefault="007F0829" w:rsidP="007F0829">
      <w:pPr>
        <w:tabs>
          <w:tab w:val="clear" w:pos="567"/>
        </w:tabs>
        <w:spacing w:line="240" w:lineRule="auto"/>
      </w:pPr>
      <w:r>
        <w:t xml:space="preserve">Zabraňte přímému kontaktu s pokožkou kvůli senzibilizaci, kontaktní dermatitidě a možné reakci </w:t>
      </w:r>
      <w:r>
        <w:br/>
        <w:t>z přecitlivělosti na chlortetracyklin.</w:t>
      </w:r>
    </w:p>
    <w:p w:rsidR="007F0829" w:rsidRDefault="007F0829" w:rsidP="007F0829">
      <w:pPr>
        <w:tabs>
          <w:tab w:val="clear" w:pos="567"/>
        </w:tabs>
        <w:spacing w:line="240" w:lineRule="auto"/>
      </w:pPr>
      <w:r>
        <w:t>Při manipulaci s přípravkem používejte vhodné nepropustné rukavice.</w:t>
      </w:r>
    </w:p>
    <w:p w:rsidR="007F0829" w:rsidRDefault="007F0829" w:rsidP="007F0829">
      <w:pPr>
        <w:tabs>
          <w:tab w:val="clear" w:pos="567"/>
        </w:tabs>
        <w:spacing w:line="240" w:lineRule="auto"/>
      </w:pPr>
      <w:r>
        <w:t xml:space="preserve">Z důvodu rizika podráždění očí zabraňte kontaktu přípravku s očima. Chraňte oči a obličej. </w:t>
      </w:r>
    </w:p>
    <w:p w:rsidR="007F0829" w:rsidRDefault="007F0829" w:rsidP="007F0829">
      <w:pPr>
        <w:tabs>
          <w:tab w:val="clear" w:pos="567"/>
        </w:tabs>
        <w:spacing w:line="240" w:lineRule="auto"/>
      </w:pPr>
      <w:r>
        <w:t xml:space="preserve">Nestříkejte sprej do otevřeného ohně nebo jiného zdroje zapálení. Nepropichujte ani nespalujte obal </w:t>
      </w:r>
      <w:r>
        <w:br/>
        <w:t xml:space="preserve">a to ani po použití. </w:t>
      </w:r>
    </w:p>
    <w:p w:rsidR="007F0829" w:rsidRDefault="007F0829" w:rsidP="007F0829">
      <w:pPr>
        <w:tabs>
          <w:tab w:val="clear" w:pos="567"/>
        </w:tabs>
        <w:spacing w:line="240" w:lineRule="auto"/>
      </w:pPr>
      <w:r>
        <w:t xml:space="preserve">Zabraňte vdechování výparů. Přípravek aplikujte v otevřeném prostoru nebo na dostatečně větrávaném místě. </w:t>
      </w:r>
    </w:p>
    <w:p w:rsidR="007F0829" w:rsidRDefault="007F0829" w:rsidP="007F0829">
      <w:pPr>
        <w:tabs>
          <w:tab w:val="clear" w:pos="567"/>
        </w:tabs>
        <w:spacing w:line="240" w:lineRule="auto"/>
      </w:pPr>
      <w:r>
        <w:t xml:space="preserve">Po použití si umyjte ruce. </w:t>
      </w:r>
    </w:p>
    <w:p w:rsidR="007F0829" w:rsidRDefault="007F0829" w:rsidP="007F0829">
      <w:pPr>
        <w:tabs>
          <w:tab w:val="clear" w:pos="567"/>
        </w:tabs>
        <w:spacing w:line="240" w:lineRule="auto"/>
      </w:pPr>
      <w:r>
        <w:t xml:space="preserve">Během podávání přípravku nejezte ani nekuřte. </w:t>
      </w:r>
    </w:p>
    <w:p w:rsidR="007F0829" w:rsidRDefault="007F0829" w:rsidP="005D0301">
      <w:pPr>
        <w:tabs>
          <w:tab w:val="clear" w:pos="567"/>
        </w:tabs>
        <w:autoSpaceDE w:val="0"/>
        <w:autoSpaceDN w:val="0"/>
        <w:adjustRightInd w:val="0"/>
        <w:spacing w:line="240" w:lineRule="auto"/>
      </w:pPr>
      <w:r>
        <w:t xml:space="preserve">V případě náhodného pozření nebo kontaktu přípravku s očima vyhledejte ihned lékařskou pomoc </w:t>
      </w:r>
      <w:r>
        <w:br/>
        <w:t>a ukažte etiketu lékaři.</w:t>
      </w:r>
    </w:p>
    <w:p w:rsidR="000B3D5C" w:rsidRPr="005D0301" w:rsidRDefault="000B3D5C" w:rsidP="005D030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color w:val="000000"/>
          <w:szCs w:val="22"/>
          <w:u w:val="single"/>
        </w:rPr>
      </w:pPr>
      <w:r w:rsidRPr="005D0301">
        <w:rPr>
          <w:color w:val="000000"/>
          <w:u w:val="single"/>
        </w:rPr>
        <w:t xml:space="preserve">Použití v průběhu březosti a laktace 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5D0301">
        <w:rPr>
          <w:color w:val="000000"/>
        </w:rPr>
        <w:t xml:space="preserve">Absorpce chlortetracyklinu po kožním podání veterinárního léčivého přípravku je zanedbatelná a přípravek v mléku není detekovatelný. Použití veterinárního léčivého přípravku je proto během březosti a laktace bezpečné. 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color w:val="000000"/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color w:val="000000"/>
          <w:szCs w:val="22"/>
          <w:u w:val="single"/>
        </w:rPr>
      </w:pPr>
      <w:r w:rsidRPr="005D0301">
        <w:rPr>
          <w:color w:val="000000"/>
          <w:u w:val="single"/>
        </w:rPr>
        <w:t>Interakce s dalšími léčivými přípravky a další formy interakce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5D0301">
        <w:rPr>
          <w:color w:val="000000"/>
        </w:rPr>
        <w:t>Absorpce chlortetracyklinu je po kožním podání veterinárního léčivého přípravku zanedbatelná. Údaje o interakcích s dalšími lokálními léčivy nejsou k dispozici.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</w:pPr>
      <w:r w:rsidRPr="005D0301">
        <w:rPr>
          <w:b/>
        </w:rPr>
        <w:t>13.</w:t>
      </w:r>
      <w:r w:rsidRPr="005D0301">
        <w:rPr>
          <w:b/>
        </w:rPr>
        <w:tab/>
        <w:t>ZVLÁŠTNÍ OPATŘENÍ PRO ZNEŠKODŇOVÁNÍ NEPOUŽITÝCH PŘÍPRAVKŮ NEBO ODPADU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1D728F" w:rsidP="005D0301">
      <w:pPr>
        <w:tabs>
          <w:tab w:val="clear" w:pos="567"/>
        </w:tabs>
        <w:spacing w:line="240" w:lineRule="auto"/>
        <w:rPr>
          <w:szCs w:val="22"/>
        </w:rPr>
      </w:pPr>
      <w:r w:rsidRPr="001D728F">
        <w:t>Léčivé přípravky se nesmí likvidovat prostřednictvím odpadní vody. Všechen nepoužitý veterinární léčivý přípravek nebo odpad, který pochází z tohoto přípravku, musí být likvidován podle místních právních předpisů.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  <w:rPr>
          <w:b/>
        </w:rPr>
      </w:pPr>
      <w:r w:rsidRPr="005D0301">
        <w:rPr>
          <w:b/>
        </w:rPr>
        <w:t>14.</w:t>
      </w:r>
      <w:r w:rsidRPr="005D0301">
        <w:rPr>
          <w:b/>
        </w:rPr>
        <w:tab/>
        <w:t>DATUM POSLEDNÍ REVIZE PŘÍBALOVÉ INFORMACE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Default="0015732D" w:rsidP="005D030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</w:t>
      </w:r>
      <w:bookmarkStart w:id="0" w:name="_GoBack"/>
      <w:bookmarkEnd w:id="0"/>
      <w:r>
        <w:rPr>
          <w:szCs w:val="22"/>
        </w:rPr>
        <w:t xml:space="preserve"> </w:t>
      </w:r>
      <w:r w:rsidR="00597534">
        <w:rPr>
          <w:szCs w:val="22"/>
        </w:rPr>
        <w:t>2016</w:t>
      </w:r>
    </w:p>
    <w:p w:rsidR="00597534" w:rsidRPr="005D0301" w:rsidRDefault="00597534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spacing w:line="240" w:lineRule="auto"/>
        <w:ind w:left="567" w:hanging="567"/>
        <w:rPr>
          <w:b/>
        </w:rPr>
      </w:pPr>
      <w:r w:rsidRPr="005D0301">
        <w:rPr>
          <w:b/>
        </w:rPr>
        <w:t>15.</w:t>
      </w:r>
      <w:r w:rsidRPr="005D0301">
        <w:rPr>
          <w:b/>
        </w:rPr>
        <w:tab/>
        <w:t>DALŠÍ INFORMACE</w:t>
      </w: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rFonts w:eastAsia="SimSun"/>
          <w:szCs w:val="22"/>
        </w:rPr>
      </w:pPr>
      <w:r w:rsidRPr="005D0301">
        <w:t>Velikost balení: 270 ml (130,76 g), 520 ml (261,52 g).</w:t>
      </w:r>
    </w:p>
    <w:p w:rsidR="003A0572" w:rsidRDefault="000B3D5C" w:rsidP="005D0301">
      <w:pPr>
        <w:tabs>
          <w:tab w:val="clear" w:pos="567"/>
        </w:tabs>
        <w:spacing w:line="240" w:lineRule="auto"/>
      </w:pPr>
      <w:r w:rsidRPr="005D0301">
        <w:t xml:space="preserve">Na trhu nemusí být všechny velikosti balení. </w:t>
      </w:r>
    </w:p>
    <w:p w:rsidR="003A0572" w:rsidRDefault="003A0572" w:rsidP="005D0301">
      <w:pPr>
        <w:tabs>
          <w:tab w:val="clear" w:pos="567"/>
        </w:tabs>
        <w:spacing w:line="240" w:lineRule="auto"/>
      </w:pPr>
    </w:p>
    <w:p w:rsidR="000B3D5C" w:rsidRDefault="000B3D5C" w:rsidP="005D0301">
      <w:pPr>
        <w:tabs>
          <w:tab w:val="clear" w:pos="567"/>
        </w:tabs>
        <w:spacing w:line="240" w:lineRule="auto"/>
      </w:pPr>
      <w:r w:rsidRPr="005D0301">
        <w:t>Pokud chcete získat informace o tomto veterinárním léčivém přípravku, kontaktujte prosím příslušného místního zástupce držitele rozhodnutí o registraci.</w:t>
      </w:r>
    </w:p>
    <w:p w:rsidR="00597534" w:rsidRDefault="00597534" w:rsidP="005D0301">
      <w:pPr>
        <w:tabs>
          <w:tab w:val="clear" w:pos="567"/>
        </w:tabs>
        <w:spacing w:line="240" w:lineRule="auto"/>
      </w:pPr>
    </w:p>
    <w:p w:rsidR="00597534" w:rsidRPr="00EE6DCC" w:rsidRDefault="00597534" w:rsidP="00597534">
      <w:pPr>
        <w:pStyle w:val="Zpat"/>
        <w:tabs>
          <w:tab w:val="left" w:pos="0"/>
        </w:tabs>
        <w:rPr>
          <w:rFonts w:ascii="Times New Roman" w:hAnsi="Times New Roman"/>
          <w:sz w:val="22"/>
        </w:rPr>
      </w:pPr>
      <w:r w:rsidRPr="00EE6DCC">
        <w:rPr>
          <w:rFonts w:ascii="Times New Roman" w:hAnsi="Times New Roman"/>
          <w:sz w:val="22"/>
        </w:rPr>
        <w:t>Veterinární lé</w:t>
      </w:r>
      <w:r w:rsidRPr="00EE6DCC">
        <w:rPr>
          <w:rFonts w:ascii="Times New Roman" w:hAnsi="Times New Roman" w:hint="eastAsia"/>
          <w:sz w:val="22"/>
        </w:rPr>
        <w:t>č</w:t>
      </w:r>
      <w:r w:rsidRPr="00EE6DCC">
        <w:rPr>
          <w:rFonts w:ascii="Times New Roman" w:hAnsi="Times New Roman"/>
          <w:sz w:val="22"/>
        </w:rPr>
        <w:t>ivý p</w:t>
      </w:r>
      <w:r w:rsidRPr="00EE6DCC">
        <w:rPr>
          <w:rFonts w:ascii="Times New Roman" w:hAnsi="Times New Roman" w:hint="eastAsia"/>
          <w:sz w:val="22"/>
        </w:rPr>
        <w:t>ří</w:t>
      </w:r>
      <w:r w:rsidRPr="00EE6DCC">
        <w:rPr>
          <w:rFonts w:ascii="Times New Roman" w:hAnsi="Times New Roman"/>
          <w:sz w:val="22"/>
        </w:rPr>
        <w:t>pravek je vydáván pouze na p</w:t>
      </w:r>
      <w:r w:rsidRPr="00EE6DCC">
        <w:rPr>
          <w:rFonts w:ascii="Times New Roman" w:hAnsi="Times New Roman" w:hint="eastAsia"/>
          <w:sz w:val="22"/>
        </w:rPr>
        <w:t>ř</w:t>
      </w:r>
      <w:r w:rsidRPr="00EE6DCC">
        <w:rPr>
          <w:rFonts w:ascii="Times New Roman" w:hAnsi="Times New Roman"/>
          <w:sz w:val="22"/>
        </w:rPr>
        <w:t>edpis.</w:t>
      </w:r>
    </w:p>
    <w:p w:rsidR="00597534" w:rsidRPr="005D0301" w:rsidRDefault="00597534" w:rsidP="005D0301">
      <w:pPr>
        <w:tabs>
          <w:tab w:val="clear" w:pos="567"/>
        </w:tabs>
        <w:spacing w:line="240" w:lineRule="auto"/>
        <w:rPr>
          <w:szCs w:val="22"/>
        </w:rPr>
      </w:pPr>
    </w:p>
    <w:p w:rsidR="000B3D5C" w:rsidRPr="005D0301" w:rsidRDefault="000B3D5C" w:rsidP="005D0301">
      <w:pPr>
        <w:tabs>
          <w:tab w:val="clear" w:pos="567"/>
        </w:tabs>
        <w:spacing w:line="240" w:lineRule="auto"/>
        <w:rPr>
          <w:szCs w:val="22"/>
        </w:rPr>
      </w:pPr>
    </w:p>
    <w:sectPr w:rsidR="000B3D5C" w:rsidRPr="005D0301" w:rsidSect="005D0301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66" w:rsidRDefault="002D5866">
      <w:r>
        <w:separator/>
      </w:r>
    </w:p>
  </w:endnote>
  <w:endnote w:type="continuationSeparator" w:id="0">
    <w:p w:rsidR="002D5866" w:rsidRDefault="002D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5C" w:rsidRPr="00B94A1B" w:rsidRDefault="000B3D5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5732D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5C" w:rsidRDefault="000B3D5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66" w:rsidRDefault="002D5866">
      <w:r>
        <w:separator/>
      </w:r>
    </w:p>
  </w:footnote>
  <w:footnote w:type="continuationSeparator" w:id="0">
    <w:p w:rsidR="002D5866" w:rsidRDefault="002D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5C" w:rsidRDefault="000B3D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99A24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88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3E4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EF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28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40D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38F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DC3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5C5A3ECC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FCAD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42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20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2D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D0C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EA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87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44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F806A99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E4D60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901AC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20F4C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0361AC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0DCD3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48A454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9CC013C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B90612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B6D6D77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4827D2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76E209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97AD44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14A6B0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39EAFA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CEAC416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8D050C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2D2AE6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53A0B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C9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CA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CB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AD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4D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49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C4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B63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7C14011"/>
    <w:multiLevelType w:val="hybridMultilevel"/>
    <w:tmpl w:val="0D26D1A0"/>
    <w:lvl w:ilvl="0" w:tplc="931AE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A4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C2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25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630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C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A2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259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65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683"/>
    <w:multiLevelType w:val="hybridMultilevel"/>
    <w:tmpl w:val="0EE81776"/>
    <w:lvl w:ilvl="0" w:tplc="69404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7C6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DE9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A5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A3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A2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E7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ED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581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22AA5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D06FF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9401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6A66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949C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5A54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8864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50E6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F8A2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EC005E"/>
    <w:multiLevelType w:val="hybridMultilevel"/>
    <w:tmpl w:val="A696668A"/>
    <w:lvl w:ilvl="0" w:tplc="9CD2C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8C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AB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8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0AD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64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EC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8B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B6A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373A9"/>
    <w:multiLevelType w:val="hybridMultilevel"/>
    <w:tmpl w:val="E3BA04EE"/>
    <w:lvl w:ilvl="0" w:tplc="31A4C2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5CE1AD0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69E2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26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62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AF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D42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CE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2B0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3389F"/>
    <w:multiLevelType w:val="hybridMultilevel"/>
    <w:tmpl w:val="CB6A5CC4"/>
    <w:lvl w:ilvl="0" w:tplc="E93EB2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4DAE5508"/>
    <w:multiLevelType w:val="hybridMultilevel"/>
    <w:tmpl w:val="DA0EE772"/>
    <w:lvl w:ilvl="0" w:tplc="90E2A29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2D63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C49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7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40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109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63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08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CEC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B473E"/>
    <w:multiLevelType w:val="hybridMultilevel"/>
    <w:tmpl w:val="BA782D10"/>
    <w:lvl w:ilvl="0" w:tplc="034A840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1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0CD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F82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6B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E5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925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E3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4B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F1D26"/>
    <w:multiLevelType w:val="hybridMultilevel"/>
    <w:tmpl w:val="2E749F0C"/>
    <w:lvl w:ilvl="0" w:tplc="AAC6EDF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AFADF6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212E2D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08ABD0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69275F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6E84AA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CC26486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D8EDAB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BBA993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>
    <w:nsid w:val="52C80393"/>
    <w:multiLevelType w:val="hybridMultilevel"/>
    <w:tmpl w:val="7996087A"/>
    <w:lvl w:ilvl="0" w:tplc="D1228D7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90E4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04F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05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E1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68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2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46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CD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9B40FE2"/>
    <w:multiLevelType w:val="hybridMultilevel"/>
    <w:tmpl w:val="0A5488E6"/>
    <w:lvl w:ilvl="0" w:tplc="2A240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8C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64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A3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48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A2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64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E9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F63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F65D8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9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>
    <w:nsid w:val="630E67BF"/>
    <w:multiLevelType w:val="hybridMultilevel"/>
    <w:tmpl w:val="B1D854E2"/>
    <w:lvl w:ilvl="0" w:tplc="35184EC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740E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5C6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29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788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C9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6A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C02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832169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71FB76EB"/>
    <w:multiLevelType w:val="hybridMultilevel"/>
    <w:tmpl w:val="CC66055E"/>
    <w:lvl w:ilvl="0" w:tplc="77FEF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F85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9C9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288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21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48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6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48E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87B01"/>
    <w:multiLevelType w:val="hybridMultilevel"/>
    <w:tmpl w:val="D4C290BC"/>
    <w:lvl w:ilvl="0" w:tplc="A0521C8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0028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4B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0C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2B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64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85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27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38F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8A5987"/>
    <w:multiLevelType w:val="hybridMultilevel"/>
    <w:tmpl w:val="D73EEE10"/>
    <w:lvl w:ilvl="0" w:tplc="1E7CD9D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75E698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8E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CA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6E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CC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C5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2E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7AF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9"/>
  </w:num>
  <w:num w:numId="9">
    <w:abstractNumId w:val="32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1"/>
  </w:num>
  <w:num w:numId="15">
    <w:abstractNumId w:val="19"/>
  </w:num>
  <w:num w:numId="16">
    <w:abstractNumId w:val="37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3"/>
  </w:num>
  <w:num w:numId="25">
    <w:abstractNumId w:val="11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39"/>
  </w:num>
  <w:num w:numId="31">
    <w:abstractNumId w:val="40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8"/>
  </w:num>
  <w:num w:numId="38">
    <w:abstractNumId w:val="18"/>
  </w:num>
  <w:num w:numId="39">
    <w:abstractNumId w:val="12"/>
  </w:num>
  <w:num w:numId="40">
    <w:abstractNumId w:val="27"/>
  </w:num>
  <w:num w:numId="41">
    <w:abstractNumId w:val="33"/>
  </w:num>
  <w:num w:numId="42">
    <w:abstractNumId w:val="1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B3D5C"/>
    <w:rsid w:val="000E1C3E"/>
    <w:rsid w:val="0015732D"/>
    <w:rsid w:val="001629E2"/>
    <w:rsid w:val="001D728F"/>
    <w:rsid w:val="00216E05"/>
    <w:rsid w:val="00224B39"/>
    <w:rsid w:val="00263191"/>
    <w:rsid w:val="002D5866"/>
    <w:rsid w:val="002E5D75"/>
    <w:rsid w:val="00336B81"/>
    <w:rsid w:val="00367A8B"/>
    <w:rsid w:val="003A0572"/>
    <w:rsid w:val="00573BBD"/>
    <w:rsid w:val="00597534"/>
    <w:rsid w:val="005B010B"/>
    <w:rsid w:val="005B737E"/>
    <w:rsid w:val="005D0301"/>
    <w:rsid w:val="00772AB7"/>
    <w:rsid w:val="007A21D7"/>
    <w:rsid w:val="007F0829"/>
    <w:rsid w:val="0083159A"/>
    <w:rsid w:val="00841CDF"/>
    <w:rsid w:val="008E7055"/>
    <w:rsid w:val="00932907"/>
    <w:rsid w:val="00A82DEA"/>
    <w:rsid w:val="00BA28EE"/>
    <w:rsid w:val="00BB48E0"/>
    <w:rsid w:val="00C114FF"/>
    <w:rsid w:val="00C2012A"/>
    <w:rsid w:val="00C85A1E"/>
    <w:rsid w:val="00DF403D"/>
    <w:rsid w:val="00EE6DCC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cs-CZ" w:eastAsia="cs-CZ" w:bidi="ar-SA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  <w:lang w:val="cs-CZ" w:eastAsia="cs-CZ"/>
    </w:rPr>
  </w:style>
  <w:style w:type="character" w:styleId="Znakapoznpodarou">
    <w:name w:val="footnote reference"/>
    <w:semiHidden/>
    <w:rPr>
      <w:vertAlign w:val="superscript"/>
      <w:lang w:val="cs-CZ" w:eastAsia="cs-CZ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  <w:lang w:val="cs-CZ" w:eastAsia="cs-CZ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  <w:lang w:val="cs-CZ" w:eastAsia="cs-CZ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  <w:lang w:val="cs-CZ" w:eastAsia="cs-CZ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cs-CZ" w:eastAsia="cs-CZ" w:bidi="ar-SA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 w:bidi="ar-SA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14B12"/>
    <w:pPr>
      <w:tabs>
        <w:tab w:val="clear" w:pos="567"/>
      </w:tabs>
      <w:spacing w:line="240" w:lineRule="auto"/>
      <w:ind w:left="720"/>
    </w:pPr>
    <w:rPr>
      <w:rFonts w:ascii="Calibri" w:eastAsia="Calibri" w:hAnsi="Calibri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cs-CZ" w:eastAsia="cs-CZ" w:bidi="ar-SA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  <w:lang w:val="cs-CZ" w:eastAsia="cs-CZ"/>
    </w:rPr>
  </w:style>
  <w:style w:type="character" w:styleId="Znakapoznpodarou">
    <w:name w:val="footnote reference"/>
    <w:semiHidden/>
    <w:rPr>
      <w:vertAlign w:val="superscript"/>
      <w:lang w:val="cs-CZ" w:eastAsia="cs-CZ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  <w:lang w:val="cs-CZ" w:eastAsia="cs-CZ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  <w:lang w:val="cs-CZ" w:eastAsia="cs-CZ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  <w:lang w:val="cs-CZ" w:eastAsia="cs-CZ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cs-CZ" w:eastAsia="cs-CZ" w:bidi="ar-SA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 w:bidi="ar-SA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14B12"/>
    <w:pPr>
      <w:tabs>
        <w:tab w:val="clear" w:pos="567"/>
      </w:tabs>
      <w:spacing w:line="240" w:lineRule="auto"/>
      <w:ind w:left="720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353C-BEA9-4C61-A911-430EF710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959</Words>
  <Characters>5664</Characters>
  <Application>Microsoft Office Word</Application>
  <DocSecurity>0</DocSecurity>
  <Lines>47</Lines>
  <Paragraphs>13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EN_qrd_veterinary template_v.8 en</vt:lpstr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Aron Davies</dc:creator>
  <cp:lastModifiedBy>Neugebauerová Kateřina</cp:lastModifiedBy>
  <cp:revision>23</cp:revision>
  <cp:lastPrinted>2016-08-09T05:37:00Z</cp:lastPrinted>
  <dcterms:created xsi:type="dcterms:W3CDTF">2015-09-28T13:04:00Z</dcterms:created>
  <dcterms:modified xsi:type="dcterms:W3CDTF">2016-08-09T05:37:00Z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