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B4103" w:rsidRPr="00F82D13" w:rsidTr="00F95CC4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CB4103" w:rsidRPr="00F82D13" w:rsidRDefault="007D7AF7" w:rsidP="00F95CC4">
            <w:pPr>
              <w:ind w:right="113"/>
              <w:jc w:val="center"/>
              <w:rPr>
                <w:b/>
                <w:bCs/>
              </w:rPr>
            </w:pPr>
            <w:r w:rsidRPr="00F75554">
              <w:rPr>
                <w:b/>
              </w:rPr>
              <w:t>PŘÍBALOVÁ INFORMACE PRO</w:t>
            </w:r>
            <w:r>
              <w:rPr>
                <w:b/>
              </w:rPr>
              <w:t>:</w:t>
            </w:r>
          </w:p>
          <w:p w:rsidR="00B60369" w:rsidRPr="00F82D13" w:rsidRDefault="00CB46F7" w:rsidP="007D7AF7">
            <w:pPr>
              <w:suppressAutoHyphens/>
              <w:jc w:val="both"/>
              <w:rPr>
                <w:bCs/>
              </w:rPr>
            </w:pPr>
            <w:proofErr w:type="spellStart"/>
            <w:r>
              <w:t>Pronestesic</w:t>
            </w:r>
            <w:proofErr w:type="spellEnd"/>
            <w:r>
              <w:t xml:space="preserve"> 40 mg/ml / 0,036 mg/ml injekční roztok pro koně, </w:t>
            </w:r>
            <w:r w:rsidR="009347CD">
              <w:t>skot</w:t>
            </w:r>
            <w:r>
              <w:t>, prasata a ovce</w:t>
            </w:r>
          </w:p>
          <w:p w:rsidR="00CB4103" w:rsidRPr="00F82D13" w:rsidRDefault="00CB4103" w:rsidP="00F95CC4">
            <w:pPr>
              <w:suppressAutoHyphens/>
              <w:jc w:val="center"/>
            </w:pPr>
          </w:p>
        </w:tc>
      </w:tr>
    </w:tbl>
    <w:p w:rsidR="00CB4103" w:rsidRPr="00F82D13" w:rsidRDefault="00CB4103" w:rsidP="00CB4103">
      <w:pPr>
        <w:pStyle w:val="Zpat"/>
        <w:tabs>
          <w:tab w:val="clear" w:pos="4819"/>
          <w:tab w:val="clear" w:pos="9638"/>
        </w:tabs>
        <w:rPr>
          <w:bCs/>
        </w:rPr>
      </w:pPr>
    </w:p>
    <w:p w:rsidR="00CB4103" w:rsidRPr="00F82D13" w:rsidRDefault="00CB4103" w:rsidP="00CB4103">
      <w:pPr>
        <w:pStyle w:val="Zpat"/>
        <w:tabs>
          <w:tab w:val="clear" w:pos="4819"/>
          <w:tab w:val="clear" w:pos="9638"/>
        </w:tabs>
        <w:rPr>
          <w:bCs/>
        </w:rPr>
      </w:pPr>
    </w:p>
    <w:p w:rsidR="00CB4103" w:rsidRPr="00F82D13" w:rsidRDefault="00CB4103" w:rsidP="00805618">
      <w:pPr>
        <w:ind w:left="720" w:hanging="720"/>
        <w:rPr>
          <w:b/>
          <w:bCs/>
        </w:rPr>
      </w:pPr>
      <w:r>
        <w:rPr>
          <w:b/>
        </w:rPr>
        <w:t>1.</w:t>
      </w:r>
      <w:r>
        <w:tab/>
      </w:r>
      <w:r w:rsidR="007D7AF7" w:rsidRPr="00F75554">
        <w:rPr>
          <w:b/>
        </w:rPr>
        <w:t>JMÉNO A ADRESA DRŽITELE ROZHODNUTÍ O REGISTRACI A DRŽITELE POVOLENÍ K VÝROBĚ ODPOVĚDNÉHO ZA UVOLNĚNÍ ŠARŽE, POKUD SE NESHODUJE</w:t>
      </w:r>
    </w:p>
    <w:p w:rsidR="00CB4103" w:rsidRPr="00F82D13" w:rsidRDefault="00CB4103" w:rsidP="00CB4103">
      <w:pPr>
        <w:pStyle w:val="Zpat"/>
        <w:tabs>
          <w:tab w:val="clear" w:pos="4819"/>
          <w:tab w:val="clear" w:pos="9638"/>
        </w:tabs>
        <w:rPr>
          <w:bCs/>
        </w:rPr>
      </w:pPr>
    </w:p>
    <w:p w:rsidR="00CB4103" w:rsidRPr="00F82D13" w:rsidRDefault="007D7AF7" w:rsidP="00CB4103">
      <w:pPr>
        <w:ind w:left="709"/>
        <w:jc w:val="both"/>
        <w:rPr>
          <w:u w:val="single"/>
        </w:rPr>
      </w:pPr>
      <w:r w:rsidRPr="00F75554">
        <w:rPr>
          <w:iCs/>
          <w:u w:val="single"/>
        </w:rPr>
        <w:t>Držitel rozhodnutí o registraci</w:t>
      </w:r>
    </w:p>
    <w:p w:rsidR="00CB4103" w:rsidRPr="00F82D13" w:rsidRDefault="00CB4103" w:rsidP="00CB4103">
      <w:pPr>
        <w:pStyle w:val="Zpat"/>
        <w:tabs>
          <w:tab w:val="clear" w:pos="4819"/>
          <w:tab w:val="clear" w:pos="9638"/>
        </w:tabs>
        <w:ind w:left="709"/>
        <w:rPr>
          <w:bCs/>
        </w:rPr>
      </w:pPr>
    </w:p>
    <w:p w:rsidR="00CB4103" w:rsidRPr="00F82D13" w:rsidRDefault="00CB4103" w:rsidP="00CB4103">
      <w:pPr>
        <w:ind w:left="709" w:right="-318"/>
        <w:jc w:val="both"/>
        <w:rPr>
          <w:bCs/>
        </w:rPr>
      </w:pPr>
      <w:r>
        <w:t xml:space="preserve">SUPPORT PHARMA, </w:t>
      </w:r>
      <w:proofErr w:type="gramStart"/>
      <w:r>
        <w:t>S.L.</w:t>
      </w:r>
      <w:proofErr w:type="gramEnd"/>
    </w:p>
    <w:p w:rsidR="00CB4103" w:rsidRPr="00F82D13" w:rsidRDefault="00CB4103" w:rsidP="00CB4103">
      <w:pPr>
        <w:ind w:left="709" w:right="-318"/>
        <w:jc w:val="both"/>
        <w:rPr>
          <w:bCs/>
        </w:rPr>
      </w:pPr>
      <w:r>
        <w:t xml:space="preserve">General </w:t>
      </w:r>
      <w:proofErr w:type="spellStart"/>
      <w:r w:rsidR="009048C3">
        <w:t>Á</w:t>
      </w:r>
      <w:r>
        <w:t>lvarez</w:t>
      </w:r>
      <w:proofErr w:type="spellEnd"/>
      <w:r>
        <w:t xml:space="preserve"> de Castro, 39</w:t>
      </w:r>
    </w:p>
    <w:p w:rsidR="00CB4103" w:rsidRPr="00F82D13" w:rsidRDefault="00CB4103" w:rsidP="00CB4103">
      <w:pPr>
        <w:ind w:left="709" w:right="-318"/>
        <w:jc w:val="both"/>
        <w:rPr>
          <w:bCs/>
        </w:rPr>
      </w:pPr>
      <w:r>
        <w:t>28010 Madrid, Špan</w:t>
      </w:r>
      <w:r w:rsidR="007A5F69">
        <w:t>ě</w:t>
      </w:r>
      <w:r>
        <w:t>lsko</w:t>
      </w:r>
    </w:p>
    <w:p w:rsidR="00CB4103" w:rsidRPr="00F82D13" w:rsidRDefault="00CB4103" w:rsidP="00CB4103">
      <w:pPr>
        <w:ind w:left="709" w:right="-318"/>
        <w:jc w:val="both"/>
        <w:rPr>
          <w:bCs/>
        </w:rPr>
      </w:pPr>
    </w:p>
    <w:p w:rsidR="00CB4103" w:rsidRPr="00F82D13" w:rsidRDefault="00CB4103" w:rsidP="00CB4103">
      <w:pPr>
        <w:jc w:val="both"/>
        <w:rPr>
          <w:u w:val="single"/>
        </w:rPr>
      </w:pPr>
      <w:r>
        <w:tab/>
      </w:r>
      <w:r w:rsidR="007D7AF7" w:rsidRPr="00F75554">
        <w:rPr>
          <w:bCs/>
          <w:u w:val="single"/>
        </w:rPr>
        <w:t>Výrobce odpovědný za uvolnění šarže</w:t>
      </w:r>
      <w:r w:rsidR="007D7AF7" w:rsidRPr="00F75554">
        <w:t>:</w:t>
      </w:r>
    </w:p>
    <w:p w:rsidR="00CB4103" w:rsidRPr="00F82D13" w:rsidRDefault="00101090" w:rsidP="00CB4103">
      <w:pPr>
        <w:jc w:val="both"/>
      </w:pPr>
      <w:r>
        <w:tab/>
      </w:r>
    </w:p>
    <w:p w:rsidR="00CB4103" w:rsidRPr="00F82D13" w:rsidRDefault="00CB4103" w:rsidP="00CB4103">
      <w:pPr>
        <w:jc w:val="both"/>
      </w:pPr>
      <w:r>
        <w:tab/>
        <w:t xml:space="preserve">FATRO </w:t>
      </w:r>
      <w:proofErr w:type="spellStart"/>
      <w:r>
        <w:t>S.p.A</w:t>
      </w:r>
      <w:proofErr w:type="spellEnd"/>
      <w:r>
        <w:t xml:space="preserve">. - Via </w:t>
      </w:r>
      <w:proofErr w:type="gramStart"/>
      <w:r>
        <w:t>Emilia</w:t>
      </w:r>
      <w:proofErr w:type="gramEnd"/>
      <w:r>
        <w:t xml:space="preserve">, 285 - </w:t>
      </w:r>
      <w:proofErr w:type="spellStart"/>
      <w:r>
        <w:t>Ozzano</w:t>
      </w:r>
      <w:proofErr w:type="spellEnd"/>
      <w:r>
        <w:t xml:space="preserve"> Emilia (Bologna), Itálie</w:t>
      </w:r>
    </w:p>
    <w:p w:rsidR="00CB4103" w:rsidRPr="00F82D13" w:rsidRDefault="00CB4103" w:rsidP="00CB4103">
      <w:pPr>
        <w:ind w:left="709" w:right="-318"/>
        <w:jc w:val="both"/>
        <w:rPr>
          <w:bCs/>
        </w:rPr>
      </w:pPr>
    </w:p>
    <w:p w:rsidR="00CB4103" w:rsidRPr="00F82D13" w:rsidRDefault="00CB4103" w:rsidP="00CB4103">
      <w:pPr>
        <w:rPr>
          <w:b/>
          <w:bCs/>
        </w:rPr>
      </w:pPr>
      <w:r>
        <w:rPr>
          <w:b/>
        </w:rPr>
        <w:t>2.</w:t>
      </w:r>
      <w:r>
        <w:tab/>
      </w:r>
      <w:r>
        <w:rPr>
          <w:b/>
        </w:rPr>
        <w:t xml:space="preserve">NÁZEV VETERINÁRNÍHO </w:t>
      </w:r>
      <w:r w:rsidR="007D7AF7" w:rsidRPr="00F75554">
        <w:rPr>
          <w:b/>
        </w:rPr>
        <w:t>LÉČIVÉHO</w:t>
      </w:r>
      <w:r w:rsidR="007D7AF7">
        <w:rPr>
          <w:b/>
        </w:rPr>
        <w:t xml:space="preserve"> </w:t>
      </w:r>
      <w:r>
        <w:rPr>
          <w:b/>
        </w:rPr>
        <w:t>PŘÍPRAVKU</w:t>
      </w:r>
    </w:p>
    <w:p w:rsidR="00CB4103" w:rsidRPr="00F82D13" w:rsidRDefault="00CB4103" w:rsidP="00CB4103">
      <w:pPr>
        <w:rPr>
          <w:b/>
          <w:bCs/>
        </w:rPr>
      </w:pPr>
    </w:p>
    <w:p w:rsidR="00B60369" w:rsidRPr="00F82D13" w:rsidRDefault="00630A4F">
      <w:pPr>
        <w:ind w:left="709"/>
        <w:jc w:val="both"/>
      </w:pPr>
      <w:proofErr w:type="spellStart"/>
      <w:r>
        <w:t>Pronestesic</w:t>
      </w:r>
      <w:proofErr w:type="spellEnd"/>
      <w:r>
        <w:t xml:space="preserve"> 40 mg/ml / 0,036 mg/ml injekční roztok pro koně, </w:t>
      </w:r>
      <w:r w:rsidR="009347CD">
        <w:t>skot</w:t>
      </w:r>
      <w:r>
        <w:t xml:space="preserve">, prasata a ovce </w:t>
      </w:r>
    </w:p>
    <w:p w:rsidR="00FC0526" w:rsidRPr="00F82D13" w:rsidRDefault="00FC0526" w:rsidP="00D65B68">
      <w:pPr>
        <w:jc w:val="both"/>
      </w:pPr>
      <w:r>
        <w:tab/>
      </w:r>
      <w:proofErr w:type="spellStart"/>
      <w:r w:rsidR="007A5F69">
        <w:t>Procaini</w:t>
      </w:r>
      <w:proofErr w:type="spellEnd"/>
      <w:r w:rsidR="007A5F69">
        <w:t xml:space="preserve"> </w:t>
      </w:r>
      <w:proofErr w:type="spellStart"/>
      <w:r w:rsidR="007A5F69">
        <w:t>hydrochloridum</w:t>
      </w:r>
      <w:proofErr w:type="spellEnd"/>
      <w:r>
        <w:t xml:space="preserve"> / </w:t>
      </w:r>
      <w:proofErr w:type="spellStart"/>
      <w:r w:rsidR="007A5F69">
        <w:t>epinephrini</w:t>
      </w:r>
      <w:proofErr w:type="spellEnd"/>
      <w:r w:rsidR="007A5F69">
        <w:t xml:space="preserve"> </w:t>
      </w:r>
      <w:proofErr w:type="spellStart"/>
      <w:r w:rsidR="007A5F69">
        <w:t>tartras</w:t>
      </w:r>
      <w:proofErr w:type="spellEnd"/>
    </w:p>
    <w:p w:rsidR="00C30614" w:rsidRPr="00F82D13" w:rsidRDefault="00C30614" w:rsidP="00CB4103">
      <w:pPr>
        <w:rPr>
          <w:b/>
          <w:bCs/>
        </w:rPr>
      </w:pPr>
    </w:p>
    <w:p w:rsidR="003D4809" w:rsidRPr="003D4809" w:rsidRDefault="003D4809" w:rsidP="003D4809">
      <w:pPr>
        <w:rPr>
          <w:b/>
        </w:rPr>
      </w:pPr>
      <w:r>
        <w:rPr>
          <w:b/>
        </w:rPr>
        <w:t>3.</w:t>
      </w:r>
      <w:r>
        <w:tab/>
      </w:r>
      <w:r w:rsidR="007D7AF7" w:rsidRPr="00F75554">
        <w:rPr>
          <w:b/>
        </w:rPr>
        <w:t>OBSAH LÉČIVÝCH A OSTATNÍCH LÁTEK</w:t>
      </w:r>
      <w:r w:rsidR="007D7AF7" w:rsidDel="007D7AF7">
        <w:t xml:space="preserve"> </w:t>
      </w:r>
    </w:p>
    <w:p w:rsidR="003D4809" w:rsidRPr="003D4809" w:rsidRDefault="003D4809" w:rsidP="003D4809">
      <w:pPr>
        <w:ind w:left="709"/>
        <w:jc w:val="both"/>
      </w:pPr>
      <w:r>
        <w:t xml:space="preserve">1 ml obsahuje: </w:t>
      </w:r>
    </w:p>
    <w:p w:rsidR="007A5F69" w:rsidRDefault="007D7AF7" w:rsidP="003D4809">
      <w:pPr>
        <w:ind w:left="709" w:hanging="1"/>
        <w:jc w:val="both"/>
        <w:rPr>
          <w:b/>
        </w:rPr>
      </w:pPr>
      <w:r>
        <w:rPr>
          <w:b/>
        </w:rPr>
        <w:t>Léčivé látky</w:t>
      </w:r>
      <w:r w:rsidR="003D4809">
        <w:rPr>
          <w:b/>
        </w:rPr>
        <w:t xml:space="preserve">: </w:t>
      </w:r>
    </w:p>
    <w:p w:rsidR="007A5F69" w:rsidRDefault="007A5F69" w:rsidP="00A42133">
      <w:pPr>
        <w:ind w:left="709"/>
        <w:jc w:val="both"/>
      </w:pPr>
      <w:proofErr w:type="spellStart"/>
      <w:r>
        <w:t>Procaini</w:t>
      </w:r>
      <w:proofErr w:type="spellEnd"/>
      <w:r>
        <w:t xml:space="preserve"> </w:t>
      </w:r>
      <w:proofErr w:type="spellStart"/>
      <w:r>
        <w:t>hydrochloridum</w:t>
      </w:r>
      <w:proofErr w:type="spellEnd"/>
      <w:r>
        <w:t xml:space="preserve"> 40 mg (odpovídá 34,65 mg </w:t>
      </w:r>
      <w:proofErr w:type="spellStart"/>
      <w:r>
        <w:t>procainum</w:t>
      </w:r>
      <w:proofErr w:type="spellEnd"/>
      <w:r>
        <w:t xml:space="preserve">),  </w:t>
      </w:r>
      <w:proofErr w:type="spellStart"/>
      <w:r>
        <w:t>epinephrini</w:t>
      </w:r>
      <w:proofErr w:type="spellEnd"/>
      <w:r>
        <w:t xml:space="preserve"> </w:t>
      </w:r>
      <w:proofErr w:type="spellStart"/>
      <w:r>
        <w:t>tartras</w:t>
      </w:r>
      <w:proofErr w:type="spellEnd"/>
      <w:r>
        <w:t xml:space="preserve"> 0,036 mg (odpovídá 0,02 mg </w:t>
      </w:r>
      <w:proofErr w:type="spellStart"/>
      <w:r>
        <w:t>epinephrinum</w:t>
      </w:r>
      <w:proofErr w:type="spellEnd"/>
      <w:r>
        <w:t xml:space="preserve">) </w:t>
      </w:r>
    </w:p>
    <w:p w:rsidR="007A5F69" w:rsidRDefault="007A5F69" w:rsidP="007A5F69">
      <w:pPr>
        <w:ind w:left="709" w:hanging="1"/>
        <w:jc w:val="both"/>
      </w:pPr>
      <w:r w:rsidRPr="00E85426">
        <w:rPr>
          <w:b/>
        </w:rPr>
        <w:t>Pomocné látky</w:t>
      </w:r>
      <w:r>
        <w:t xml:space="preserve">: </w:t>
      </w:r>
    </w:p>
    <w:p w:rsidR="003D4809" w:rsidRPr="003D4809" w:rsidRDefault="007A5F69" w:rsidP="007A5F69">
      <w:pPr>
        <w:ind w:left="709" w:hanging="1"/>
        <w:jc w:val="both"/>
        <w:rPr>
          <w:bCs/>
        </w:rPr>
      </w:pPr>
      <w:proofErr w:type="spellStart"/>
      <w:r>
        <w:t>Disiřičitan</w:t>
      </w:r>
      <w:proofErr w:type="spellEnd"/>
      <w:r>
        <w:t xml:space="preserve"> sodný (E223), sodná sůl </w:t>
      </w:r>
      <w:proofErr w:type="spellStart"/>
      <w:r>
        <w:t>methylparabenu</w:t>
      </w:r>
      <w:proofErr w:type="spellEnd"/>
      <w:r>
        <w:t xml:space="preserve"> (E219), </w:t>
      </w:r>
      <w:proofErr w:type="spellStart"/>
      <w:r>
        <w:t>dinatrium-edetát</w:t>
      </w:r>
      <w:proofErr w:type="spellEnd"/>
    </w:p>
    <w:p w:rsidR="003D4809" w:rsidRPr="003D4809" w:rsidRDefault="003D4809" w:rsidP="003D4809">
      <w:pPr>
        <w:ind w:firstLine="709"/>
      </w:pPr>
    </w:p>
    <w:p w:rsidR="003D4809" w:rsidRPr="003D4809" w:rsidRDefault="003D4809" w:rsidP="003D4809">
      <w:pPr>
        <w:ind w:firstLine="709"/>
      </w:pPr>
      <w:r>
        <w:t>Čirý bezbarvý roztok bez viditelných částic.</w:t>
      </w:r>
    </w:p>
    <w:p w:rsidR="00385F48" w:rsidRDefault="00385F48" w:rsidP="00CB4103"/>
    <w:p w:rsidR="00CB4103" w:rsidRPr="00F82D13" w:rsidRDefault="00CB4103" w:rsidP="00CB4103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4.</w:t>
      </w:r>
      <w:r>
        <w:tab/>
      </w:r>
      <w:r>
        <w:rPr>
          <w:rFonts w:ascii="Times New Roman" w:hAnsi="Times New Roman"/>
          <w:sz w:val="24"/>
        </w:rPr>
        <w:t>INDIKACE</w:t>
      </w:r>
    </w:p>
    <w:p w:rsidR="00CB4103" w:rsidRPr="00F82D13" w:rsidRDefault="00CB4103" w:rsidP="00CB4103"/>
    <w:p w:rsidR="005D02B7" w:rsidRPr="00F82D13" w:rsidRDefault="005D02B7" w:rsidP="005D02B7">
      <w:pPr>
        <w:ind w:left="720"/>
      </w:pPr>
      <w:r>
        <w:t xml:space="preserve">Lokální anestezie s </w:t>
      </w:r>
      <w:r w:rsidR="003E37ED">
        <w:t xml:space="preserve">dlouhotrvajícím </w:t>
      </w:r>
      <w:r>
        <w:t>anestetickým účinkem.</w:t>
      </w:r>
    </w:p>
    <w:p w:rsidR="005D02B7" w:rsidRPr="00F82D13" w:rsidRDefault="005D02B7" w:rsidP="00F82D13"/>
    <w:p w:rsidR="005D02B7" w:rsidRPr="00F82D13" w:rsidRDefault="00C65645" w:rsidP="005D02B7">
      <w:pPr>
        <w:ind w:left="720"/>
      </w:pPr>
      <w:r>
        <w:t xml:space="preserve">Koně, </w:t>
      </w:r>
      <w:r w:rsidR="009347CD">
        <w:t>skot</w:t>
      </w:r>
      <w:r>
        <w:t xml:space="preserve">, prasata a ovce: </w:t>
      </w:r>
      <w:r w:rsidR="003E37ED">
        <w:t xml:space="preserve">infiltrační </w:t>
      </w:r>
      <w:r>
        <w:t xml:space="preserve">anestezie a </w:t>
      </w:r>
      <w:proofErr w:type="spellStart"/>
      <w:r>
        <w:t>perineuráln</w:t>
      </w:r>
      <w:r w:rsidR="003E37ED">
        <w:t>í</w:t>
      </w:r>
      <w:proofErr w:type="spellEnd"/>
      <w:r>
        <w:t xml:space="preserve"> anestézie (viz </w:t>
      </w:r>
      <w:r w:rsidR="003E37ED">
        <w:t xml:space="preserve">bod </w:t>
      </w:r>
      <w:r>
        <w:t>12).</w:t>
      </w:r>
    </w:p>
    <w:p w:rsidR="005D02B7" w:rsidRPr="00F82D13" w:rsidRDefault="005D02B7" w:rsidP="00CB4103"/>
    <w:p w:rsidR="00CB4103" w:rsidRPr="00F82D13" w:rsidRDefault="00CB4103" w:rsidP="00CB4103">
      <w:pPr>
        <w:pStyle w:val="Nadpis3"/>
        <w:tabs>
          <w:tab w:val="left" w:pos="709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5.</w:t>
      </w:r>
      <w:r>
        <w:tab/>
      </w:r>
      <w:r>
        <w:rPr>
          <w:rFonts w:ascii="Times New Roman" w:hAnsi="Times New Roman"/>
          <w:sz w:val="24"/>
        </w:rPr>
        <w:t>KONTRAINDIKACE</w:t>
      </w:r>
    </w:p>
    <w:p w:rsidR="00CB4103" w:rsidRPr="00F82D13" w:rsidRDefault="00CB4103" w:rsidP="00CB4103">
      <w:pPr>
        <w:rPr>
          <w:b/>
          <w:bCs/>
        </w:rPr>
      </w:pPr>
    </w:p>
    <w:p w:rsidR="006B7A4B" w:rsidRPr="00F82D13" w:rsidRDefault="006B7A4B" w:rsidP="006B7A4B">
      <w:pPr>
        <w:ind w:left="709"/>
        <w:jc w:val="both"/>
      </w:pPr>
      <w:r>
        <w:t>Nepoužívat u zvířat v šoku.</w:t>
      </w:r>
    </w:p>
    <w:p w:rsidR="006B7A4B" w:rsidRPr="00F82D13" w:rsidRDefault="006B7A4B" w:rsidP="006B7A4B">
      <w:pPr>
        <w:ind w:left="709"/>
        <w:jc w:val="both"/>
      </w:pPr>
      <w:r>
        <w:t>Nepoužívat u zvířat s kardiovaskulárními problémy.</w:t>
      </w:r>
    </w:p>
    <w:p w:rsidR="006B7A4B" w:rsidRPr="00F82D13" w:rsidRDefault="006B7A4B" w:rsidP="006B7A4B">
      <w:pPr>
        <w:ind w:left="709"/>
        <w:jc w:val="both"/>
      </w:pPr>
      <w:r>
        <w:t>Nepoužívat u zvířat léčených sulfonamidy.</w:t>
      </w:r>
    </w:p>
    <w:p w:rsidR="006B7A4B" w:rsidRPr="00F82D13" w:rsidRDefault="006B7A4B" w:rsidP="006B7A4B">
      <w:pPr>
        <w:ind w:left="709"/>
        <w:jc w:val="both"/>
      </w:pPr>
      <w:r>
        <w:t xml:space="preserve">Nepoužívat u zvířat léčených </w:t>
      </w:r>
      <w:proofErr w:type="spellStart"/>
      <w:r>
        <w:t>fenothiaziny</w:t>
      </w:r>
      <w:proofErr w:type="spellEnd"/>
      <w:r>
        <w:t xml:space="preserve"> (viz </w:t>
      </w:r>
      <w:r w:rsidR="003E37ED">
        <w:t xml:space="preserve">bod </w:t>
      </w:r>
      <w:r>
        <w:t>12).</w:t>
      </w:r>
    </w:p>
    <w:p w:rsidR="006B7A4B" w:rsidRPr="00F82D13" w:rsidRDefault="006B7A4B" w:rsidP="006B7A4B">
      <w:pPr>
        <w:ind w:left="709"/>
        <w:jc w:val="both"/>
      </w:pPr>
      <w:r>
        <w:t xml:space="preserve">Nepoužívejte s anestetiky na bázi </w:t>
      </w:r>
      <w:proofErr w:type="spellStart"/>
      <w:r>
        <w:t>cyklopropánu</w:t>
      </w:r>
      <w:proofErr w:type="spellEnd"/>
      <w:r>
        <w:t xml:space="preserve">- či </w:t>
      </w:r>
      <w:proofErr w:type="spellStart"/>
      <w:r>
        <w:t>halotanu</w:t>
      </w:r>
      <w:proofErr w:type="spellEnd"/>
      <w:r>
        <w:t xml:space="preserve"> (viz </w:t>
      </w:r>
      <w:r w:rsidR="003E37ED">
        <w:t xml:space="preserve">bod </w:t>
      </w:r>
      <w:r>
        <w:t>12).</w:t>
      </w:r>
    </w:p>
    <w:p w:rsidR="006B7A4B" w:rsidRPr="00F82D13" w:rsidRDefault="006B7A4B" w:rsidP="006B7A4B">
      <w:pPr>
        <w:ind w:left="709"/>
        <w:jc w:val="both"/>
      </w:pPr>
      <w:r>
        <w:t xml:space="preserve">Nepoužívat pro anestézii oblasti s terminálním oběhem (uši, ocas, penis, atd.), vzhledem k nebezpečí odumření tkáně po úplné zástavě oběhu, v důsledku přítomnosti </w:t>
      </w:r>
      <w:r w:rsidR="00295B98">
        <w:t xml:space="preserve">epinefrinu </w:t>
      </w:r>
      <w:r>
        <w:t xml:space="preserve">(látky s </w:t>
      </w:r>
      <w:proofErr w:type="spellStart"/>
      <w:r>
        <w:t>vazokonstrikční</w:t>
      </w:r>
      <w:r w:rsidR="003E37ED">
        <w:t>m</w:t>
      </w:r>
      <w:proofErr w:type="spellEnd"/>
      <w:r>
        <w:t xml:space="preserve"> působením).</w:t>
      </w:r>
    </w:p>
    <w:p w:rsidR="006B7A4B" w:rsidRPr="00F82D13" w:rsidRDefault="006B7A4B" w:rsidP="006B7A4B">
      <w:pPr>
        <w:ind w:left="709"/>
        <w:jc w:val="both"/>
      </w:pPr>
      <w:r>
        <w:t>Nepoužívat v případě přecitlivělosti na léčivou látku nebo na některou z pomocných látek.</w:t>
      </w:r>
    </w:p>
    <w:p w:rsidR="006B7A4B" w:rsidRPr="00F82D13" w:rsidRDefault="006B7A4B" w:rsidP="006B7A4B">
      <w:pPr>
        <w:ind w:left="709"/>
        <w:jc w:val="both"/>
      </w:pPr>
      <w:r>
        <w:t xml:space="preserve">Nepodávejte intravenózně nebo </w:t>
      </w:r>
      <w:proofErr w:type="spellStart"/>
      <w:r w:rsidR="003E37ED">
        <w:t>intraartikulárně</w:t>
      </w:r>
      <w:proofErr w:type="spellEnd"/>
      <w:r>
        <w:t>.</w:t>
      </w:r>
    </w:p>
    <w:p w:rsidR="00CB4103" w:rsidRPr="00F82D13" w:rsidRDefault="006B7A4B" w:rsidP="00FD505C">
      <w:pPr>
        <w:ind w:left="709"/>
      </w:pPr>
      <w:r>
        <w:lastRenderedPageBreak/>
        <w:t xml:space="preserve">Nepoužívat v případě přecitlivělosti na lokální anestetika, které patří do podskupiny esterů nebo v případě možných alergických </w:t>
      </w:r>
      <w:r w:rsidR="003E37ED">
        <w:t xml:space="preserve">zkřížených </w:t>
      </w:r>
      <w:r>
        <w:t>reakcí na p-aminobenzoovou kyselinu a sulfonamidy.</w:t>
      </w:r>
    </w:p>
    <w:p w:rsidR="00F46785" w:rsidRPr="00F82D13" w:rsidRDefault="00F46785" w:rsidP="00CB4103"/>
    <w:p w:rsidR="00CB4103" w:rsidRPr="00F82D13" w:rsidRDefault="00CB4103" w:rsidP="00CB4103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6.</w:t>
      </w:r>
      <w:r>
        <w:tab/>
      </w:r>
      <w:r w:rsidR="007D7AF7" w:rsidRPr="007D7AF7">
        <w:rPr>
          <w:rFonts w:ascii="Times New Roman" w:hAnsi="Times New Roman"/>
          <w:sz w:val="24"/>
        </w:rPr>
        <w:t>NEŽÁDOUCÍ ÚČINKY</w:t>
      </w:r>
    </w:p>
    <w:p w:rsidR="00CB4103" w:rsidRPr="00F82D13" w:rsidRDefault="00CB4103" w:rsidP="00CB4103">
      <w:pPr>
        <w:rPr>
          <w:b/>
          <w:bCs/>
        </w:rPr>
      </w:pPr>
    </w:p>
    <w:p w:rsidR="00DD6425" w:rsidRPr="00F82D13" w:rsidRDefault="00DD6425" w:rsidP="00DD6425">
      <w:pPr>
        <w:ind w:left="709"/>
        <w:jc w:val="both"/>
      </w:pPr>
      <w:r>
        <w:t>Prokain může způsobit pokles krevního tlaku.</w:t>
      </w:r>
    </w:p>
    <w:p w:rsidR="003E37ED" w:rsidRPr="0054207E" w:rsidRDefault="003E37ED" w:rsidP="003E37ED">
      <w:pPr>
        <w:ind w:left="709"/>
        <w:jc w:val="both"/>
      </w:pPr>
      <w:r>
        <w:t xml:space="preserve">V některých případech, zejména u koní, může dojít po podání prokainu k podráždění  CNS (neklid, třes, křeče). </w:t>
      </w:r>
    </w:p>
    <w:p w:rsidR="003E37ED" w:rsidRPr="0054207E" w:rsidRDefault="003E37ED" w:rsidP="003E37ED">
      <w:pPr>
        <w:ind w:left="709"/>
        <w:jc w:val="both"/>
      </w:pPr>
      <w:r>
        <w:t xml:space="preserve">Alergické reakce na prokain jsou poměrně časté; pouze ve vzácných případech byly pozorovány anafylaktické reakce. </w:t>
      </w:r>
    </w:p>
    <w:p w:rsidR="003E37ED" w:rsidRPr="0054207E" w:rsidRDefault="003E37ED" w:rsidP="003E37ED">
      <w:pPr>
        <w:ind w:left="709"/>
        <w:jc w:val="both"/>
      </w:pPr>
      <w:r>
        <w:t>Přecitlivělost na lokální anestetika, které patří do podskupiny esterů, je známá.</w:t>
      </w:r>
    </w:p>
    <w:p w:rsidR="00DD6425" w:rsidRPr="00F82D13" w:rsidRDefault="003E37ED" w:rsidP="00DD6425">
      <w:pPr>
        <w:ind w:left="709"/>
        <w:jc w:val="both"/>
      </w:pPr>
      <w:r>
        <w:t>Ve výjimečných případech se může objevit tachykardie (</w:t>
      </w:r>
      <w:r w:rsidR="00295B98">
        <w:t>epinefrin</w:t>
      </w:r>
      <w:r>
        <w:t xml:space="preserve">). V případě neúmyslné intravaskulární aplikace se často objevují toxické reakce. Tyto se projevují podrážděním centrálního nervového systému (neklid, třes, křeče) s následnou depresí; smrt je důsledkem paralýzy respirační soustavy. V případě podráždění CNS je třeba podat krátkodobě působící barbituráty, stejně jako přípravky pro okyselení moči, a tak podpořit vylučování ledvinami. V případě alergických reakcí mohou být podána antihistaminika nebo kortikoidy. </w:t>
      </w:r>
      <w:proofErr w:type="spellStart"/>
      <w:r w:rsidR="00295B98">
        <w:t>epinefrin</w:t>
      </w:r>
      <w:r w:rsidR="00DD6425">
        <w:t>Alergický</w:t>
      </w:r>
      <w:proofErr w:type="spellEnd"/>
      <w:r w:rsidR="00DD6425">
        <w:t xml:space="preserve"> šok se léčí </w:t>
      </w:r>
      <w:r w:rsidR="00295B98">
        <w:t>epinefrin</w:t>
      </w:r>
      <w:r w:rsidR="00DD6425">
        <w:t>em.</w:t>
      </w:r>
    </w:p>
    <w:p w:rsidR="008D075E" w:rsidRPr="00F82D13" w:rsidRDefault="007D7AF7" w:rsidP="00DD6425">
      <w:pPr>
        <w:ind w:left="709"/>
        <w:jc w:val="both"/>
      </w:pPr>
      <w:r w:rsidRPr="00F75554">
        <w:t>Jestliže zaznamenáte jakékoliv závažné nežádoucí účinky či jiné reakce, které nejsou uvedeny v této příbalové informaci, oznamte to prosím vašemu veterinárnímu lékaři</w:t>
      </w:r>
      <w:r w:rsidR="008D075E">
        <w:t>.</w:t>
      </w:r>
    </w:p>
    <w:p w:rsidR="00CB4103" w:rsidRPr="00F82D13" w:rsidRDefault="00C8384C" w:rsidP="00C8384C">
      <w:pPr>
        <w:tabs>
          <w:tab w:val="left" w:pos="2745"/>
        </w:tabs>
      </w:pPr>
      <w:r>
        <w:tab/>
      </w:r>
    </w:p>
    <w:p w:rsidR="00CB4103" w:rsidRPr="00F82D13" w:rsidRDefault="00CB4103" w:rsidP="00CB4103">
      <w:pPr>
        <w:jc w:val="both"/>
        <w:rPr>
          <w:b/>
          <w:bCs/>
        </w:rPr>
      </w:pPr>
      <w:r>
        <w:rPr>
          <w:b/>
        </w:rPr>
        <w:t>7.</w:t>
      </w:r>
      <w:r>
        <w:tab/>
      </w:r>
      <w:r w:rsidR="007D7AF7" w:rsidRPr="00F75554">
        <w:rPr>
          <w:b/>
        </w:rPr>
        <w:t>CÍLOVÝ DRUH ZVÍŘAT</w:t>
      </w:r>
    </w:p>
    <w:p w:rsidR="00CB4103" w:rsidRPr="00F82D13" w:rsidRDefault="00CB4103" w:rsidP="00CB4103">
      <w:pPr>
        <w:rPr>
          <w:b/>
          <w:bCs/>
        </w:rPr>
      </w:pPr>
    </w:p>
    <w:p w:rsidR="00CB4103" w:rsidRPr="00F82D13" w:rsidRDefault="00C8384C" w:rsidP="00E75160">
      <w:pPr>
        <w:ind w:left="567"/>
      </w:pPr>
      <w:r>
        <w:t xml:space="preserve">   Koně, </w:t>
      </w:r>
      <w:r w:rsidR="009347CD">
        <w:t>skot</w:t>
      </w:r>
      <w:r>
        <w:t>, prasata a ovce</w:t>
      </w:r>
    </w:p>
    <w:p w:rsidR="00E75160" w:rsidRPr="00F82D13" w:rsidRDefault="00E75160" w:rsidP="00E75160">
      <w:pPr>
        <w:ind w:left="567"/>
        <w:rPr>
          <w:bCs/>
        </w:rPr>
      </w:pPr>
    </w:p>
    <w:p w:rsidR="00CB4103" w:rsidRPr="00F82D13" w:rsidRDefault="00CB4103" w:rsidP="00CB4103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8.</w:t>
      </w:r>
      <w:r>
        <w:tab/>
      </w:r>
      <w:r w:rsidR="004F1FD8" w:rsidRPr="004F1FD8">
        <w:rPr>
          <w:rFonts w:ascii="Times New Roman" w:hAnsi="Times New Roman"/>
          <w:sz w:val="24"/>
        </w:rPr>
        <w:t>DÁVKOVÁNÍ PRO KAŽDÝ DRUH, CESTA(Y) A ZPŮSOB PODÁNÍ</w:t>
      </w:r>
    </w:p>
    <w:p w:rsidR="00CB4103" w:rsidRPr="00F82D13" w:rsidRDefault="00CB4103" w:rsidP="00CB4103">
      <w:pPr>
        <w:rPr>
          <w:bCs/>
        </w:rPr>
      </w:pPr>
    </w:p>
    <w:p w:rsidR="003E37ED" w:rsidRPr="0054207E" w:rsidRDefault="003E37ED" w:rsidP="003E37ED">
      <w:pPr>
        <w:numPr>
          <w:ilvl w:val="0"/>
          <w:numId w:val="18"/>
        </w:numPr>
        <w:jc w:val="both"/>
      </w:pPr>
      <w:r>
        <w:t xml:space="preserve">Subkutánní a </w:t>
      </w:r>
      <w:proofErr w:type="spellStart"/>
      <w:r>
        <w:t>perineurální</w:t>
      </w:r>
      <w:proofErr w:type="spellEnd"/>
      <w:r>
        <w:t xml:space="preserve"> použití. </w:t>
      </w:r>
    </w:p>
    <w:p w:rsidR="003E37ED" w:rsidRPr="0054207E" w:rsidRDefault="003E37ED" w:rsidP="003E37ED">
      <w:pPr>
        <w:numPr>
          <w:ilvl w:val="0"/>
          <w:numId w:val="18"/>
        </w:numPr>
        <w:jc w:val="both"/>
      </w:pPr>
      <w:r>
        <w:t>Nástup a trvání účinku viz bod 5.1.</w:t>
      </w:r>
    </w:p>
    <w:p w:rsidR="003E37ED" w:rsidRPr="0054207E" w:rsidRDefault="003E37ED" w:rsidP="003E37ED">
      <w:pPr>
        <w:ind w:left="720"/>
        <w:jc w:val="both"/>
      </w:pPr>
    </w:p>
    <w:p w:rsidR="003E37ED" w:rsidRPr="0054207E" w:rsidRDefault="003E37ED" w:rsidP="003E37ED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</w:pPr>
      <w:r>
        <w:rPr>
          <w:u w:val="single"/>
        </w:rPr>
        <w:t>Lokální nebo infiltrační anestezie: injekční aplikace do podkoží nebo v blízkosti příslušné oblasti</w:t>
      </w:r>
    </w:p>
    <w:p w:rsidR="003E37ED" w:rsidRPr="0054207E" w:rsidRDefault="003E37ED" w:rsidP="003E37ED">
      <w:pPr>
        <w:ind w:left="1080"/>
        <w:jc w:val="both"/>
      </w:pPr>
    </w:p>
    <w:p w:rsidR="003E37ED" w:rsidRPr="0054207E" w:rsidRDefault="003E37ED" w:rsidP="003E37ED">
      <w:pPr>
        <w:ind w:left="1080"/>
        <w:jc w:val="both"/>
      </w:pPr>
      <w:r>
        <w:t xml:space="preserve">Koně, skot, prasata a ovce: 2,5-10 ml přípravku / </w:t>
      </w:r>
      <w:r w:rsidR="0077656C">
        <w:t xml:space="preserve">pro </w:t>
      </w:r>
      <w:r w:rsidR="0077656C" w:rsidRPr="00A42133">
        <w:rPr>
          <w:i/>
        </w:rPr>
        <w:t>toto</w:t>
      </w:r>
      <w:r>
        <w:t xml:space="preserve"> (odpovídá 100-400 mg prokain </w:t>
      </w:r>
      <w:proofErr w:type="spellStart"/>
      <w:r>
        <w:t>hydrochloridu</w:t>
      </w:r>
      <w:proofErr w:type="spellEnd"/>
      <w:r w:rsidDel="00656CDF">
        <w:t xml:space="preserve"> </w:t>
      </w:r>
      <w:r>
        <w:t xml:space="preserve">+ 0,09 až 0,36 mg </w:t>
      </w:r>
      <w:r w:rsidR="00F23171">
        <w:t xml:space="preserve">epinefrin </w:t>
      </w:r>
      <w:r>
        <w:t>tartrátu)</w:t>
      </w:r>
    </w:p>
    <w:p w:rsidR="003E37ED" w:rsidRDefault="003E37ED" w:rsidP="003E37ED">
      <w:pPr>
        <w:jc w:val="both"/>
      </w:pPr>
    </w:p>
    <w:p w:rsidR="003E37ED" w:rsidRPr="0054207E" w:rsidRDefault="003E37ED" w:rsidP="003E37ED">
      <w:pPr>
        <w:jc w:val="both"/>
      </w:pPr>
    </w:p>
    <w:p w:rsidR="003E37ED" w:rsidRPr="0054207E" w:rsidRDefault="003E37ED" w:rsidP="003E37ED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jc w:val="both"/>
      </w:pPr>
      <w:proofErr w:type="spellStart"/>
      <w:r>
        <w:rPr>
          <w:u w:val="single"/>
        </w:rPr>
        <w:t>Perineurální</w:t>
      </w:r>
      <w:proofErr w:type="spellEnd"/>
      <w:r>
        <w:rPr>
          <w:u w:val="single"/>
        </w:rPr>
        <w:t xml:space="preserve"> anestezie: injekční aplikace v blízkosti větve nervu</w:t>
      </w:r>
    </w:p>
    <w:p w:rsidR="003E37ED" w:rsidRPr="0054207E" w:rsidRDefault="003E37ED" w:rsidP="003E37ED">
      <w:pPr>
        <w:jc w:val="both"/>
      </w:pPr>
    </w:p>
    <w:p w:rsidR="003E37ED" w:rsidRDefault="003E37ED" w:rsidP="003E37ED">
      <w:pPr>
        <w:ind w:left="1080"/>
        <w:jc w:val="both"/>
      </w:pPr>
      <w:r>
        <w:t xml:space="preserve">Koně, skot, prasata a ovce: 5-10 ml přípravku / </w:t>
      </w:r>
      <w:r w:rsidR="0077656C">
        <w:t xml:space="preserve">pro </w:t>
      </w:r>
      <w:r w:rsidR="0077656C" w:rsidRPr="00A42133">
        <w:rPr>
          <w:i/>
        </w:rPr>
        <w:t>toto</w:t>
      </w:r>
      <w:r>
        <w:t xml:space="preserve"> (odpovídá 200-400 mg prokain </w:t>
      </w:r>
      <w:proofErr w:type="spellStart"/>
      <w:r>
        <w:t>hydrochloridu</w:t>
      </w:r>
      <w:proofErr w:type="spellEnd"/>
      <w:r>
        <w:t xml:space="preserve"> + 0,18 až 0,36 mg </w:t>
      </w:r>
      <w:r w:rsidR="00295B98">
        <w:t>epinefrin</w:t>
      </w:r>
      <w:r>
        <w:t xml:space="preserve"> tartrátu)</w:t>
      </w:r>
    </w:p>
    <w:p w:rsidR="003E37ED" w:rsidRDefault="003E37ED" w:rsidP="003E37ED">
      <w:pPr>
        <w:ind w:left="1080"/>
        <w:jc w:val="both"/>
        <w:rPr>
          <w:rStyle w:val="hps"/>
        </w:rPr>
      </w:pPr>
    </w:p>
    <w:p w:rsidR="009C1FF4" w:rsidRPr="00F82D13" w:rsidRDefault="003E37ED" w:rsidP="00E75160">
      <w:pPr>
        <w:ind w:left="1080"/>
        <w:jc w:val="both"/>
      </w:pPr>
      <w:r>
        <w:rPr>
          <w:rStyle w:val="hps"/>
        </w:rPr>
        <w:t>Pro</w:t>
      </w:r>
      <w:r>
        <w:t xml:space="preserve"> </w:t>
      </w:r>
      <w:r w:rsidR="0077656C">
        <w:t>znecitlivění distální části</w:t>
      </w:r>
      <w:r w:rsidR="0077656C">
        <w:rPr>
          <w:rStyle w:val="hps"/>
        </w:rPr>
        <w:t xml:space="preserve"> končetiny</w:t>
      </w:r>
      <w:r w:rsidR="0077656C">
        <w:t xml:space="preserve"> </w:t>
      </w:r>
      <w:r>
        <w:rPr>
          <w:rStyle w:val="hps"/>
        </w:rPr>
        <w:t>u koní</w:t>
      </w:r>
      <w:r>
        <w:t xml:space="preserve"> </w:t>
      </w:r>
      <w:r>
        <w:rPr>
          <w:rStyle w:val="hps"/>
        </w:rPr>
        <w:t>by měla být</w:t>
      </w:r>
      <w:r>
        <w:t xml:space="preserve"> dávka </w:t>
      </w:r>
      <w:r>
        <w:rPr>
          <w:rStyle w:val="hps"/>
        </w:rPr>
        <w:t>rozdělena mezi dvě</w:t>
      </w:r>
      <w:r>
        <w:t xml:space="preserve"> </w:t>
      </w:r>
      <w:r>
        <w:rPr>
          <w:rStyle w:val="hps"/>
        </w:rPr>
        <w:t>nebo více</w:t>
      </w:r>
      <w:r>
        <w:t xml:space="preserve"> </w:t>
      </w:r>
      <w:r>
        <w:rPr>
          <w:rStyle w:val="hps"/>
        </w:rPr>
        <w:t>míst injekčního podání</w:t>
      </w:r>
      <w:r>
        <w:t xml:space="preserve"> </w:t>
      </w:r>
      <w:r>
        <w:rPr>
          <w:rStyle w:val="hps"/>
        </w:rPr>
        <w:t>v závislosti na</w:t>
      </w:r>
      <w:r>
        <w:t xml:space="preserve"> </w:t>
      </w:r>
      <w:r>
        <w:rPr>
          <w:rStyle w:val="hps"/>
        </w:rPr>
        <w:t>dáv</w:t>
      </w:r>
      <w:r w:rsidR="0077656C">
        <w:rPr>
          <w:rStyle w:val="hps"/>
        </w:rPr>
        <w:t>ce</w:t>
      </w:r>
      <w:r>
        <w:rPr>
          <w:rStyle w:val="hps"/>
        </w:rPr>
        <w:t>.</w:t>
      </w:r>
      <w:r>
        <w:t xml:space="preserve"> </w:t>
      </w:r>
      <w:r w:rsidR="009C1FF4">
        <w:rPr>
          <w:rStyle w:val="hps"/>
        </w:rPr>
        <w:t>Viz také bod</w:t>
      </w:r>
      <w:r w:rsidR="009C1FF4">
        <w:t xml:space="preserve"> </w:t>
      </w:r>
      <w:r w:rsidR="009C1FF4">
        <w:rPr>
          <w:rStyle w:val="hps"/>
        </w:rPr>
        <w:t>12</w:t>
      </w:r>
      <w:r w:rsidR="009C1FF4">
        <w:t>.</w:t>
      </w:r>
    </w:p>
    <w:p w:rsidR="009C1FF4" w:rsidRDefault="005D02B7" w:rsidP="009C1FF4">
      <w:r>
        <w:tab/>
      </w:r>
    </w:p>
    <w:p w:rsidR="00F82D13" w:rsidRDefault="00F82D13" w:rsidP="003E37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41"/>
        </w:tabs>
        <w:ind w:left="1077" w:hanging="1077"/>
      </w:pPr>
      <w:r>
        <w:tab/>
      </w:r>
      <w:r w:rsidR="003E37ED">
        <w:t>Gumová zátka může být propíchnutá až 20-krát.</w:t>
      </w:r>
    </w:p>
    <w:p w:rsidR="00A42133" w:rsidRPr="00F82D13" w:rsidRDefault="00A42133" w:rsidP="003E37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541"/>
        </w:tabs>
        <w:ind w:left="1077" w:hanging="1077"/>
        <w:rPr>
          <w:bCs/>
        </w:rPr>
      </w:pPr>
    </w:p>
    <w:p w:rsidR="00CB4103" w:rsidRPr="00F82D13" w:rsidRDefault="00CB4103" w:rsidP="00CB4103">
      <w:pPr>
        <w:jc w:val="both"/>
        <w:rPr>
          <w:b/>
          <w:bCs/>
        </w:rPr>
      </w:pPr>
      <w:r>
        <w:rPr>
          <w:b/>
        </w:rPr>
        <w:t>9.</w:t>
      </w:r>
      <w:r>
        <w:tab/>
      </w:r>
      <w:r w:rsidR="004F1FD8" w:rsidRPr="00F75554">
        <w:rPr>
          <w:b/>
        </w:rPr>
        <w:t>POKYNY PRO SPRÁVNÉ PODÁNÍ</w:t>
      </w:r>
    </w:p>
    <w:p w:rsidR="00CB4103" w:rsidRPr="00F82D13" w:rsidRDefault="00CB4103" w:rsidP="00CB4103">
      <w:pPr>
        <w:rPr>
          <w:bCs/>
        </w:rPr>
      </w:pPr>
    </w:p>
    <w:p w:rsidR="00E75160" w:rsidRPr="00F82D13" w:rsidRDefault="00E75160" w:rsidP="00E75160">
      <w:pPr>
        <w:ind w:firstLine="709"/>
        <w:jc w:val="both"/>
      </w:pPr>
      <w:r>
        <w:t>Nepodáv</w:t>
      </w:r>
      <w:r w:rsidR="003E37ED">
        <w:t xml:space="preserve">at </w:t>
      </w:r>
      <w:proofErr w:type="spellStart"/>
      <w:r w:rsidR="003E37ED">
        <w:t>intraartikulárně</w:t>
      </w:r>
      <w:proofErr w:type="spellEnd"/>
      <w:r>
        <w:t>.</w:t>
      </w:r>
    </w:p>
    <w:p w:rsidR="00E75160" w:rsidRPr="00F82D13" w:rsidRDefault="008926CC" w:rsidP="00E75160">
      <w:pPr>
        <w:ind w:left="709"/>
        <w:jc w:val="both"/>
      </w:pPr>
      <w:r>
        <w:t xml:space="preserve">Aby nedošlo k neúmyslnému intravenóznímu podání, stáhněte </w:t>
      </w:r>
      <w:r w:rsidR="00C104B9">
        <w:t xml:space="preserve">před aplikací </w:t>
      </w:r>
      <w:r>
        <w:t xml:space="preserve">zpět píst stříkačky </w:t>
      </w:r>
      <w:r w:rsidR="00C104B9">
        <w:t xml:space="preserve">pro </w:t>
      </w:r>
      <w:r>
        <w:t>kontrolu nepřítomnosti krve.</w:t>
      </w:r>
    </w:p>
    <w:p w:rsidR="00007E32" w:rsidRPr="00F82D13" w:rsidRDefault="00C104B9" w:rsidP="00772104">
      <w:pPr>
        <w:tabs>
          <w:tab w:val="center" w:pos="5173"/>
        </w:tabs>
        <w:ind w:left="709"/>
        <w:jc w:val="both"/>
      </w:pPr>
      <w:r>
        <w:lastRenderedPageBreak/>
        <w:t>Gumová zátka může být propíchnutá až 20-krát.</w:t>
      </w:r>
      <w:r w:rsidR="00007E32">
        <w:tab/>
      </w:r>
    </w:p>
    <w:p w:rsidR="00CB4103" w:rsidRPr="00F82D13" w:rsidRDefault="00CB4103" w:rsidP="00CB4103">
      <w:pPr>
        <w:rPr>
          <w:bCs/>
        </w:rPr>
      </w:pPr>
    </w:p>
    <w:p w:rsidR="00CB4103" w:rsidRPr="00F82D13" w:rsidRDefault="00CB4103" w:rsidP="00CB4103">
      <w:pPr>
        <w:pStyle w:val="Nadpis3"/>
        <w:tabs>
          <w:tab w:val="left" w:pos="709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10.</w:t>
      </w:r>
      <w:r>
        <w:tab/>
      </w:r>
      <w:r>
        <w:rPr>
          <w:rFonts w:ascii="Times New Roman" w:hAnsi="Times New Roman"/>
          <w:sz w:val="24"/>
        </w:rPr>
        <w:t>OCHRANNÁ LHŮTA</w:t>
      </w:r>
    </w:p>
    <w:p w:rsidR="00CB4103" w:rsidRPr="00F82D13" w:rsidRDefault="00CB4103" w:rsidP="00CB4103">
      <w:pPr>
        <w:rPr>
          <w:bCs/>
        </w:rPr>
      </w:pPr>
    </w:p>
    <w:p w:rsidR="00E05FBE" w:rsidRPr="00F82D13" w:rsidRDefault="004F1FD8" w:rsidP="00E75160">
      <w:pPr>
        <w:ind w:firstLine="709"/>
        <w:jc w:val="both"/>
      </w:pPr>
      <w:r>
        <w:t>Ochranná lhůta</w:t>
      </w:r>
      <w:r w:rsidR="00826890">
        <w:t>:</w:t>
      </w:r>
    </w:p>
    <w:p w:rsidR="00EA2801" w:rsidRPr="00F82D13" w:rsidRDefault="00EA2801" w:rsidP="00E75160">
      <w:pPr>
        <w:ind w:firstLine="709"/>
        <w:jc w:val="both"/>
      </w:pPr>
    </w:p>
    <w:p w:rsidR="00EA2801" w:rsidRPr="00F82D13" w:rsidRDefault="00EA2801" w:rsidP="00EA2801">
      <w:pPr>
        <w:ind w:firstLine="709"/>
        <w:jc w:val="both"/>
      </w:pPr>
      <w:r>
        <w:t xml:space="preserve">Koně, </w:t>
      </w:r>
      <w:r w:rsidR="00A80101">
        <w:t>skot</w:t>
      </w:r>
      <w:r>
        <w:t xml:space="preserve"> a ovce:</w:t>
      </w:r>
    </w:p>
    <w:p w:rsidR="00EA2801" w:rsidRPr="00F82D13" w:rsidRDefault="00EA2801" w:rsidP="00EA2801">
      <w:pPr>
        <w:ind w:firstLine="709"/>
        <w:jc w:val="both"/>
      </w:pPr>
      <w:r>
        <w:tab/>
        <w:t xml:space="preserve">Maso: </w:t>
      </w:r>
      <w:r w:rsidR="00A80101">
        <w:t>Bez ochranných lhůt.</w:t>
      </w:r>
    </w:p>
    <w:p w:rsidR="00EA2801" w:rsidRPr="00F82D13" w:rsidRDefault="00EA2801" w:rsidP="00EA2801">
      <w:pPr>
        <w:ind w:firstLine="709"/>
        <w:jc w:val="both"/>
      </w:pPr>
      <w:r>
        <w:tab/>
        <w:t xml:space="preserve">Mléko: </w:t>
      </w:r>
      <w:r w:rsidR="00A80101">
        <w:t>Bez ochranných lhůt.</w:t>
      </w:r>
    </w:p>
    <w:p w:rsidR="00EA2801" w:rsidRPr="00F82D13" w:rsidRDefault="00EA2801" w:rsidP="00EA2801">
      <w:pPr>
        <w:ind w:firstLine="709"/>
        <w:jc w:val="both"/>
      </w:pPr>
      <w:r>
        <w:t>Prasata:</w:t>
      </w:r>
    </w:p>
    <w:p w:rsidR="00EA2801" w:rsidRPr="00F82D13" w:rsidRDefault="00EA2801" w:rsidP="00EA2801">
      <w:pPr>
        <w:ind w:firstLine="709"/>
        <w:jc w:val="both"/>
      </w:pPr>
      <w:r>
        <w:t xml:space="preserve">            Maso: </w:t>
      </w:r>
      <w:r w:rsidR="00A80101">
        <w:t>Bez ochranných lhůt.</w:t>
      </w:r>
    </w:p>
    <w:p w:rsidR="00EA2801" w:rsidRPr="00F82D13" w:rsidRDefault="00EA2801" w:rsidP="00E75160">
      <w:pPr>
        <w:ind w:firstLine="709"/>
        <w:jc w:val="both"/>
      </w:pPr>
    </w:p>
    <w:p w:rsidR="00CB4103" w:rsidRPr="00F82D13" w:rsidRDefault="00CB4103" w:rsidP="00CB4103"/>
    <w:p w:rsidR="00CB4103" w:rsidRPr="00F82D13" w:rsidRDefault="00E75160" w:rsidP="00CB4103">
      <w:pPr>
        <w:jc w:val="both"/>
        <w:rPr>
          <w:b/>
          <w:bCs/>
        </w:rPr>
      </w:pPr>
      <w:r>
        <w:rPr>
          <w:b/>
        </w:rPr>
        <w:t>11.</w:t>
      </w:r>
      <w:r>
        <w:tab/>
      </w:r>
      <w:r w:rsidR="004F1FD8" w:rsidRPr="00F75554">
        <w:rPr>
          <w:b/>
        </w:rPr>
        <w:t>ZVLÁŠTNÍ OPATŘENÍ PRO UCHOVÁVÁNÍ</w:t>
      </w:r>
    </w:p>
    <w:p w:rsidR="00CB4103" w:rsidRPr="00F82D13" w:rsidRDefault="00CB4103" w:rsidP="00CB4103">
      <w:pPr>
        <w:ind w:left="567"/>
        <w:rPr>
          <w:bCs/>
        </w:rPr>
      </w:pPr>
    </w:p>
    <w:p w:rsidR="00CB4103" w:rsidRPr="00F82D13" w:rsidRDefault="004F1FD8" w:rsidP="00CB4103">
      <w:pPr>
        <w:tabs>
          <w:tab w:val="left" w:pos="709"/>
        </w:tabs>
        <w:ind w:left="709"/>
      </w:pPr>
      <w:r w:rsidRPr="004F1FD8">
        <w:t>Uchovávat mimo dosah dětí</w:t>
      </w:r>
      <w:r w:rsidR="00CB4103">
        <w:t>.</w:t>
      </w:r>
    </w:p>
    <w:p w:rsidR="00E75160" w:rsidRPr="00F82D13" w:rsidRDefault="00E75160" w:rsidP="00CB4103">
      <w:pPr>
        <w:tabs>
          <w:tab w:val="left" w:pos="709"/>
        </w:tabs>
        <w:ind w:left="709"/>
      </w:pPr>
      <w:r>
        <w:t>Uchovávejte v chladničce (2 °C - 8 °C).</w:t>
      </w:r>
    </w:p>
    <w:p w:rsidR="00630A4F" w:rsidRPr="00F82D13" w:rsidRDefault="00630A4F" w:rsidP="00CB4103">
      <w:pPr>
        <w:tabs>
          <w:tab w:val="left" w:pos="709"/>
        </w:tabs>
        <w:ind w:left="709"/>
        <w:jc w:val="both"/>
      </w:pPr>
      <w:r>
        <w:t xml:space="preserve">Uchovávejte </w:t>
      </w:r>
      <w:r w:rsidR="007A5F69">
        <w:t xml:space="preserve">injekční </w:t>
      </w:r>
      <w:r>
        <w:t>lahvičku v krabičce, aby byla chráněna před světlem.</w:t>
      </w:r>
    </w:p>
    <w:p w:rsidR="00CB4103" w:rsidRPr="00F82D13" w:rsidRDefault="00CB4103" w:rsidP="00CB4103">
      <w:pPr>
        <w:tabs>
          <w:tab w:val="left" w:pos="709"/>
        </w:tabs>
        <w:ind w:left="709"/>
        <w:jc w:val="both"/>
      </w:pPr>
      <w:r>
        <w:t xml:space="preserve">Nepoužívejte tento </w:t>
      </w:r>
      <w:r w:rsidR="004F1FD8" w:rsidRPr="00F75554">
        <w:t>veterinární léčivý</w:t>
      </w:r>
      <w:r w:rsidR="004F1FD8">
        <w:t xml:space="preserve"> </w:t>
      </w:r>
      <w:r>
        <w:t xml:space="preserve">přípravek po uplynutí doby </w:t>
      </w:r>
      <w:r w:rsidR="000F6CC5" w:rsidRPr="00F75554">
        <w:t>použitelnost</w:t>
      </w:r>
      <w:r w:rsidR="007A5F69">
        <w:t>i</w:t>
      </w:r>
      <w:r>
        <w:t xml:space="preserve"> </w:t>
      </w:r>
      <w:r w:rsidR="000F6CC5" w:rsidRPr="00F75554">
        <w:t xml:space="preserve">uvedené na </w:t>
      </w:r>
      <w:r w:rsidR="000F6CC5">
        <w:t>i</w:t>
      </w:r>
      <w:r w:rsidR="000F6CC5" w:rsidRPr="004F1FD8">
        <w:t>njekční lahvič</w:t>
      </w:r>
      <w:r w:rsidR="007A5F69">
        <w:t>ce</w:t>
      </w:r>
      <w:r>
        <w:t xml:space="preserve"> a na krabičce </w:t>
      </w:r>
      <w:r w:rsidR="007A5F69">
        <w:t xml:space="preserve">po </w:t>
      </w:r>
      <w:r>
        <w:t xml:space="preserve">"EXP". </w:t>
      </w:r>
      <w:r w:rsidR="007A5F69">
        <w:t xml:space="preserve">Doba </w:t>
      </w:r>
      <w:r>
        <w:t xml:space="preserve">použitelnosti </w:t>
      </w:r>
      <w:r w:rsidR="007A5F69">
        <w:t>končí posledním dnem</w:t>
      </w:r>
      <w:r>
        <w:t xml:space="preserve"> v</w:t>
      </w:r>
      <w:r w:rsidR="007A5F69">
        <w:t xml:space="preserve"> uvedeném</w:t>
      </w:r>
      <w:r>
        <w:t xml:space="preserve"> měsíci.</w:t>
      </w:r>
    </w:p>
    <w:p w:rsidR="00630A4F" w:rsidRDefault="00630A4F" w:rsidP="00E75160">
      <w:pPr>
        <w:tabs>
          <w:tab w:val="left" w:pos="709"/>
        </w:tabs>
        <w:ind w:left="709"/>
      </w:pPr>
      <w:r>
        <w:t xml:space="preserve">Doba použitelnosti po prvním otevření </w:t>
      </w:r>
      <w:r w:rsidR="004F1FD8">
        <w:t>i</w:t>
      </w:r>
      <w:r w:rsidR="004F1FD8" w:rsidRPr="004F1FD8">
        <w:t>njekční lahvičk</w:t>
      </w:r>
      <w:r w:rsidR="007A5F69">
        <w:t>y</w:t>
      </w:r>
      <w:r>
        <w:t>: 28 dní</w:t>
      </w:r>
    </w:p>
    <w:p w:rsidR="00E26100" w:rsidRDefault="00E26100" w:rsidP="00E75160">
      <w:pPr>
        <w:tabs>
          <w:tab w:val="left" w:pos="709"/>
        </w:tabs>
        <w:ind w:left="709"/>
      </w:pPr>
    </w:p>
    <w:p w:rsidR="00E26100" w:rsidRPr="00F82D13" w:rsidRDefault="00A16B30" w:rsidP="00E26100">
      <w:pPr>
        <w:tabs>
          <w:tab w:val="left" w:pos="709"/>
        </w:tabs>
        <w:ind w:left="709"/>
      </w:pPr>
      <w:r w:rsidRPr="00A42133">
        <w:rPr>
          <w:szCs w:val="22"/>
        </w:rPr>
        <w:t>Po prvním otevření obalu stanovte datum likvidace zbylého množství přípravku v obalu a to na základě doby použitelnosti po prvním otevření uvedené v této příbalové informaci. Toto datum napište na místo k tomu určené na etiketě.</w:t>
      </w:r>
    </w:p>
    <w:p w:rsidR="00CB4103" w:rsidRPr="00F82D13" w:rsidRDefault="00CB4103" w:rsidP="00CB4103"/>
    <w:p w:rsidR="00CB4103" w:rsidRPr="00F82D13" w:rsidRDefault="00CB4103" w:rsidP="00CB4103">
      <w:pPr>
        <w:tabs>
          <w:tab w:val="left" w:pos="709"/>
        </w:tabs>
        <w:jc w:val="both"/>
        <w:rPr>
          <w:b/>
          <w:bCs/>
        </w:rPr>
      </w:pPr>
      <w:r>
        <w:rPr>
          <w:b/>
        </w:rPr>
        <w:t>12.</w:t>
      </w:r>
      <w:r>
        <w:tab/>
      </w:r>
      <w:r>
        <w:rPr>
          <w:b/>
        </w:rPr>
        <w:t xml:space="preserve">ZVLÁŠTNÍ UPOZORNĚNÍ </w:t>
      </w:r>
    </w:p>
    <w:p w:rsidR="00CB4103" w:rsidRPr="00F82D13" w:rsidRDefault="00CB4103" w:rsidP="00CB4103">
      <w:pPr>
        <w:tabs>
          <w:tab w:val="left" w:pos="709"/>
        </w:tabs>
        <w:ind w:left="709"/>
        <w:rPr>
          <w:bCs/>
        </w:rPr>
      </w:pPr>
    </w:p>
    <w:p w:rsidR="00CB4103" w:rsidRPr="00F82D13" w:rsidRDefault="00CB4103" w:rsidP="00CB4103">
      <w:pPr>
        <w:tabs>
          <w:tab w:val="left" w:pos="709"/>
        </w:tabs>
        <w:ind w:left="709"/>
        <w:jc w:val="both"/>
        <w:rPr>
          <w:bCs/>
          <w:u w:val="single"/>
        </w:rPr>
      </w:pPr>
      <w:r>
        <w:rPr>
          <w:u w:val="single"/>
        </w:rPr>
        <w:t>Zvláštní upozornění pro každý cílový druh</w:t>
      </w:r>
      <w:r w:rsidR="000F6CC5">
        <w:rPr>
          <w:u w:val="single"/>
        </w:rPr>
        <w:t>:</w:t>
      </w:r>
    </w:p>
    <w:p w:rsidR="00CB4103" w:rsidRPr="00F82D13" w:rsidRDefault="00CB4103" w:rsidP="00CB4103">
      <w:pPr>
        <w:tabs>
          <w:tab w:val="left" w:pos="709"/>
        </w:tabs>
        <w:ind w:left="709"/>
        <w:jc w:val="both"/>
      </w:pPr>
    </w:p>
    <w:p w:rsidR="00CB4103" w:rsidRPr="00F82D13" w:rsidRDefault="000F6CC5" w:rsidP="00CB4103">
      <w:pPr>
        <w:tabs>
          <w:tab w:val="left" w:pos="709"/>
        </w:tabs>
        <w:ind w:left="709"/>
        <w:rPr>
          <w:bCs/>
        </w:rPr>
      </w:pPr>
      <w:r w:rsidRPr="00F75554">
        <w:t>Nejsou</w:t>
      </w:r>
    </w:p>
    <w:p w:rsidR="00C65645" w:rsidRPr="00F82D13" w:rsidRDefault="00C65645" w:rsidP="00CB4103">
      <w:pPr>
        <w:tabs>
          <w:tab w:val="left" w:pos="709"/>
        </w:tabs>
        <w:ind w:left="709"/>
        <w:rPr>
          <w:bCs/>
        </w:rPr>
      </w:pPr>
    </w:p>
    <w:p w:rsidR="00CB4103" w:rsidRPr="00F82D13" w:rsidRDefault="00CB4103" w:rsidP="00CB4103">
      <w:pPr>
        <w:tabs>
          <w:tab w:val="left" w:pos="709"/>
        </w:tabs>
        <w:suppressAutoHyphens/>
        <w:ind w:left="709"/>
        <w:jc w:val="both"/>
        <w:rPr>
          <w:bCs/>
          <w:u w:val="single"/>
        </w:rPr>
      </w:pPr>
      <w:r>
        <w:rPr>
          <w:u w:val="single"/>
        </w:rPr>
        <w:t>Zvláštní opatření pro použití u zvířat</w:t>
      </w:r>
      <w:r w:rsidR="000F6CC5">
        <w:rPr>
          <w:u w:val="single"/>
        </w:rPr>
        <w:t>:</w:t>
      </w:r>
    </w:p>
    <w:p w:rsidR="00C65645" w:rsidRPr="00F82D13" w:rsidRDefault="00226FC5" w:rsidP="00772104">
      <w:pPr>
        <w:ind w:left="709"/>
        <w:jc w:val="both"/>
      </w:pPr>
      <w:r>
        <w:t xml:space="preserve">Aby nedošlo k neúmyslnému intravenóznímu podání, stáhněte </w:t>
      </w:r>
      <w:r w:rsidR="00C104B9">
        <w:t xml:space="preserve">před aplikací </w:t>
      </w:r>
      <w:r>
        <w:t xml:space="preserve">zpět píst stříkačky </w:t>
      </w:r>
      <w:r w:rsidR="00C104B9">
        <w:t xml:space="preserve">pro </w:t>
      </w:r>
      <w:r>
        <w:t xml:space="preserve">kontrolu nepřítomnosti krve. </w:t>
      </w:r>
    </w:p>
    <w:p w:rsidR="00C90D44" w:rsidRPr="0054207E" w:rsidRDefault="00C90D44" w:rsidP="00A42133">
      <w:pPr>
        <w:ind w:left="709"/>
        <w:jc w:val="both"/>
      </w:pPr>
      <w:r>
        <w:t>Anestézie prováděná lokálními anestetiky může být ztížena v důsledku místního poškození tkáně poraněními nebo abscesy.</w:t>
      </w:r>
    </w:p>
    <w:p w:rsidR="00B81116" w:rsidRPr="00F82D13" w:rsidRDefault="00F70BAC" w:rsidP="00F82D13">
      <w:pPr>
        <w:ind w:left="720" w:hanging="720"/>
        <w:jc w:val="both"/>
        <w:rPr>
          <w:bCs/>
        </w:rPr>
      </w:pPr>
      <w:r>
        <w:tab/>
        <w:t xml:space="preserve">Proveďte lokální anestezii při pokojové teplotě.  Při vyšších teplotách je riziko toxických reakcí </w:t>
      </w:r>
      <w:r w:rsidR="00C90D44">
        <w:t xml:space="preserve">větší </w:t>
      </w:r>
      <w:r>
        <w:t xml:space="preserve">vzhledem ke zvyšování absorpce prokainu. </w:t>
      </w:r>
    </w:p>
    <w:p w:rsidR="00C90D44" w:rsidRPr="0054207E" w:rsidRDefault="00F70BAC" w:rsidP="00C90D44">
      <w:pPr>
        <w:ind w:left="720"/>
        <w:jc w:val="both"/>
        <w:rPr>
          <w:bCs/>
        </w:rPr>
      </w:pPr>
      <w:r>
        <w:t>Stejně jako u jiných lokálních anestetik obsahujících prokain</w:t>
      </w:r>
      <w:r w:rsidR="00C90D44">
        <w:t xml:space="preserve"> by měl být přípravek používán s opatrností u zvířat s epilepsií nebo se změnami funkce dýchacích cest nebo ledvin.</w:t>
      </w:r>
    </w:p>
    <w:p w:rsidR="00226FC5" w:rsidRPr="00F82D13" w:rsidRDefault="00226FC5" w:rsidP="00F70BAC">
      <w:pPr>
        <w:ind w:left="720"/>
        <w:jc w:val="both"/>
        <w:rPr>
          <w:rFonts w:cs="Arial"/>
          <w:i/>
        </w:rPr>
      </w:pPr>
    </w:p>
    <w:p w:rsidR="00F70BAC" w:rsidRPr="00F82D13" w:rsidRDefault="00226FC5" w:rsidP="00F70BAC">
      <w:pPr>
        <w:ind w:left="720"/>
        <w:jc w:val="both"/>
        <w:rPr>
          <w:bCs/>
        </w:rPr>
      </w:pPr>
      <w:r>
        <w:t xml:space="preserve">Po aplikaci v blízkosti okraje rány může </w:t>
      </w:r>
      <w:r w:rsidR="00C90D44">
        <w:t xml:space="preserve">přípravek </w:t>
      </w:r>
      <w:r>
        <w:t>vést k nekróze podél okrajů.</w:t>
      </w:r>
    </w:p>
    <w:p w:rsidR="00226FC5" w:rsidRPr="00F82D13" w:rsidRDefault="00C90D44" w:rsidP="00226FC5">
      <w:pPr>
        <w:tabs>
          <w:tab w:val="left" w:pos="540"/>
        </w:tabs>
        <w:ind w:left="709"/>
        <w:jc w:val="both"/>
        <w:rPr>
          <w:rFonts w:cs="Arial"/>
        </w:rPr>
      </w:pPr>
      <w:r>
        <w:t xml:space="preserve">Přípravek </w:t>
      </w:r>
      <w:r w:rsidR="00226FC5">
        <w:t xml:space="preserve">by měl být používán s opatrností u </w:t>
      </w:r>
      <w:r w:rsidR="0077656C">
        <w:t>znecitlivění distální části</w:t>
      </w:r>
      <w:r w:rsidR="0077656C">
        <w:rPr>
          <w:rStyle w:val="hps"/>
        </w:rPr>
        <w:t xml:space="preserve"> končetiny</w:t>
      </w:r>
      <w:r w:rsidR="0077656C">
        <w:t xml:space="preserve"> </w:t>
      </w:r>
      <w:r w:rsidR="00226FC5">
        <w:t>vzhledem k riziku vzniku digitální ischemie.</w:t>
      </w:r>
    </w:p>
    <w:p w:rsidR="00164BF5" w:rsidRPr="00F82D13" w:rsidRDefault="00164BF5" w:rsidP="00164BF5">
      <w:pPr>
        <w:ind w:left="720"/>
        <w:jc w:val="both"/>
        <w:rPr>
          <w:bCs/>
        </w:rPr>
      </w:pPr>
      <w:r>
        <w:t xml:space="preserve">Podávejte opatrně u koní z důvodu rizika, že barva srsti v místě </w:t>
      </w:r>
      <w:r w:rsidR="00C90D44">
        <w:t xml:space="preserve">injekčního podání trvale </w:t>
      </w:r>
      <w:r>
        <w:t>vybledne.</w:t>
      </w:r>
    </w:p>
    <w:p w:rsidR="00CB4103" w:rsidRPr="00F82D13" w:rsidRDefault="00CB4103" w:rsidP="00CB4103">
      <w:pPr>
        <w:tabs>
          <w:tab w:val="left" w:pos="709"/>
        </w:tabs>
        <w:ind w:left="709"/>
        <w:jc w:val="both"/>
        <w:rPr>
          <w:b/>
          <w:bCs/>
        </w:rPr>
      </w:pPr>
    </w:p>
    <w:p w:rsidR="00CB4103" w:rsidRPr="00F82D13" w:rsidRDefault="000F6CC5" w:rsidP="00CB4103">
      <w:pPr>
        <w:tabs>
          <w:tab w:val="left" w:pos="709"/>
        </w:tabs>
        <w:ind w:left="709"/>
        <w:jc w:val="both"/>
        <w:rPr>
          <w:u w:val="single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>
        <w:rPr>
          <w:szCs w:val="22"/>
          <w:u w:val="single"/>
        </w:rPr>
        <w:t>:</w:t>
      </w:r>
    </w:p>
    <w:p w:rsidR="00DF6063" w:rsidRPr="0054207E" w:rsidRDefault="00DF6063" w:rsidP="00DF6063">
      <w:pPr>
        <w:ind w:left="720"/>
        <w:jc w:val="both"/>
      </w:pPr>
      <w:r>
        <w:t xml:space="preserve">Zabraňte přímému kontaktu přípravku s kůží. V případě potřísnění kůže nebo očí je ihned důkladně vypláchněte vodou. Dojde-li k podráždění, vyhledejte ihned lékařskou pomoc </w:t>
      </w:r>
      <w:r>
        <w:br/>
        <w:t>a ukažte příbalovou informaci nebo etiketu praktickému lékaři.</w:t>
      </w:r>
    </w:p>
    <w:p w:rsidR="00DF6063" w:rsidRPr="0054207E" w:rsidRDefault="00DF6063" w:rsidP="00DF6063">
      <w:pPr>
        <w:ind w:left="720"/>
        <w:jc w:val="both"/>
      </w:pPr>
      <w:r>
        <w:lastRenderedPageBreak/>
        <w:t xml:space="preserve">V případě náhodného </w:t>
      </w:r>
      <w:proofErr w:type="spellStart"/>
      <w:r>
        <w:t>samopodání</w:t>
      </w:r>
      <w:proofErr w:type="spellEnd"/>
      <w:r>
        <w:t xml:space="preserve"> vyhledejte ihned lékařskou pomoc a ukažte příbalovou informaci nebo etiketu praktickému lékaři.  </w:t>
      </w:r>
    </w:p>
    <w:p w:rsidR="00DF6063" w:rsidRDefault="00DF6063" w:rsidP="00DF6063">
      <w:pPr>
        <w:ind w:left="720"/>
        <w:jc w:val="both"/>
      </w:pPr>
      <w:r>
        <w:t xml:space="preserve">Lidé se známou přecitlivělostí na prokain nebo </w:t>
      </w:r>
      <w:r w:rsidR="00295B98">
        <w:t>epinefrin</w:t>
      </w:r>
      <w:r>
        <w:t xml:space="preserve"> by se měli vyhnout kontaktu </w:t>
      </w:r>
      <w:r>
        <w:br/>
        <w:t>s veterinárním léčivým přípravkem.</w:t>
      </w:r>
    </w:p>
    <w:p w:rsidR="006777F6" w:rsidRPr="00F82D13" w:rsidRDefault="006777F6" w:rsidP="00CB4103">
      <w:pPr>
        <w:tabs>
          <w:tab w:val="left" w:pos="709"/>
        </w:tabs>
        <w:ind w:left="709"/>
        <w:rPr>
          <w:b/>
          <w:bCs/>
        </w:rPr>
      </w:pPr>
    </w:p>
    <w:p w:rsidR="00CB4103" w:rsidRPr="00F82D13" w:rsidRDefault="000F6CC5" w:rsidP="00CB4103">
      <w:pPr>
        <w:tabs>
          <w:tab w:val="left" w:pos="709"/>
        </w:tabs>
        <w:ind w:left="709"/>
        <w:rPr>
          <w:u w:val="single"/>
        </w:rPr>
      </w:pPr>
      <w:r w:rsidRPr="00F75554">
        <w:rPr>
          <w:szCs w:val="22"/>
          <w:u w:val="single"/>
        </w:rPr>
        <w:t>Březost</w:t>
      </w:r>
      <w:r w:rsidDel="000F6CC5">
        <w:rPr>
          <w:u w:val="single"/>
        </w:rPr>
        <w:t xml:space="preserve"> </w:t>
      </w:r>
      <w:r w:rsidR="00CB4103">
        <w:rPr>
          <w:u w:val="single"/>
        </w:rPr>
        <w:t xml:space="preserve">a </w:t>
      </w:r>
      <w:r>
        <w:rPr>
          <w:szCs w:val="22"/>
          <w:u w:val="single"/>
        </w:rPr>
        <w:t>l</w:t>
      </w:r>
      <w:r w:rsidRPr="00F75554">
        <w:rPr>
          <w:szCs w:val="22"/>
          <w:u w:val="single"/>
        </w:rPr>
        <w:t>aktace</w:t>
      </w:r>
      <w:r w:rsidR="00CB4103">
        <w:rPr>
          <w:u w:val="single"/>
        </w:rPr>
        <w:t xml:space="preserve"> </w:t>
      </w:r>
      <w:r>
        <w:rPr>
          <w:u w:val="single"/>
        </w:rPr>
        <w:t>:</w:t>
      </w:r>
    </w:p>
    <w:p w:rsidR="00CB4103" w:rsidRPr="00F82D13" w:rsidRDefault="00F70BAC" w:rsidP="006302FA">
      <w:pPr>
        <w:ind w:left="720"/>
        <w:jc w:val="both"/>
      </w:pPr>
      <w:r>
        <w:t xml:space="preserve">Prokain prochází placentární bariérou a vylučuje se do mléka.  </w:t>
      </w:r>
      <w:r w:rsidR="006302FA">
        <w:t>Použít pouze po zvážení poměru terapeutického prospěchu a rizika příslušným veterinárním lékařem.</w:t>
      </w:r>
    </w:p>
    <w:p w:rsidR="00CB4103" w:rsidRPr="00F82D13" w:rsidRDefault="000F6CC5" w:rsidP="00CB4103">
      <w:pPr>
        <w:tabs>
          <w:tab w:val="left" w:pos="709"/>
        </w:tabs>
        <w:ind w:left="709"/>
        <w:jc w:val="both"/>
        <w:rPr>
          <w:u w:val="single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300F65" w:rsidRPr="00F82D13" w:rsidRDefault="00300F65" w:rsidP="00300F65">
      <w:pPr>
        <w:ind w:left="709"/>
        <w:jc w:val="both"/>
      </w:pPr>
      <w:r>
        <w:t>Prokain inhibuje působení sulfonamidů vzhledem k biotransformaci na kyselinu p-aminobenzoovou</w:t>
      </w:r>
      <w:r w:rsidR="006302FA">
        <w:t>, což je antagonista sulfonamidu</w:t>
      </w:r>
      <w:r>
        <w:t xml:space="preserve">. </w:t>
      </w:r>
    </w:p>
    <w:p w:rsidR="00300F65" w:rsidRPr="00F82D13" w:rsidRDefault="00300F65" w:rsidP="00300F65">
      <w:pPr>
        <w:ind w:left="709"/>
        <w:jc w:val="both"/>
      </w:pPr>
      <w:r>
        <w:t xml:space="preserve">Prokain prodlužuje působení </w:t>
      </w:r>
      <w:proofErr w:type="spellStart"/>
      <w:r w:rsidR="006302FA">
        <w:t>myorelaxancií</w:t>
      </w:r>
      <w:proofErr w:type="spellEnd"/>
      <w:r>
        <w:t>.</w:t>
      </w:r>
    </w:p>
    <w:p w:rsidR="00300F65" w:rsidRPr="00F82D13" w:rsidRDefault="00300F65" w:rsidP="00300F65">
      <w:pPr>
        <w:ind w:left="709"/>
        <w:jc w:val="both"/>
      </w:pPr>
      <w:r>
        <w:t xml:space="preserve">Prokain zesiluje účinek </w:t>
      </w:r>
      <w:proofErr w:type="spellStart"/>
      <w:r>
        <w:t>antiarytmik</w:t>
      </w:r>
      <w:proofErr w:type="spellEnd"/>
      <w:r>
        <w:t xml:space="preserve"> např. </w:t>
      </w:r>
      <w:proofErr w:type="spellStart"/>
      <w:r>
        <w:t>prokainamidu</w:t>
      </w:r>
      <w:proofErr w:type="spellEnd"/>
      <w:r>
        <w:t>.</w:t>
      </w:r>
    </w:p>
    <w:p w:rsidR="00300F65" w:rsidRPr="00F82D13" w:rsidRDefault="00295B98" w:rsidP="00300F65">
      <w:pPr>
        <w:ind w:left="709"/>
        <w:jc w:val="both"/>
      </w:pPr>
      <w:r>
        <w:t>Epinefrin</w:t>
      </w:r>
      <w:r w:rsidR="006B7A4B">
        <w:t xml:space="preserve"> zesiluje účinek analgetických anestetik na srdce.</w:t>
      </w:r>
    </w:p>
    <w:p w:rsidR="00F70BAC" w:rsidRPr="00F82D13" w:rsidRDefault="00F70BAC" w:rsidP="00F70BAC">
      <w:pPr>
        <w:ind w:left="709"/>
        <w:jc w:val="both"/>
      </w:pPr>
    </w:p>
    <w:p w:rsidR="00F70BAC" w:rsidRPr="00F82D13" w:rsidRDefault="006302FA" w:rsidP="00F70BAC">
      <w:pPr>
        <w:ind w:left="709"/>
        <w:jc w:val="both"/>
      </w:pPr>
      <w:r>
        <w:t xml:space="preserve">Nepoužívat </w:t>
      </w:r>
      <w:r w:rsidR="00F70BAC">
        <w:t>s anestetiky na bázi cykloprop</w:t>
      </w:r>
      <w:r>
        <w:t>a</w:t>
      </w:r>
      <w:r w:rsidR="00F70BAC">
        <w:t xml:space="preserve">nu- či </w:t>
      </w:r>
      <w:proofErr w:type="spellStart"/>
      <w:r w:rsidR="00F70BAC">
        <w:t>halotanu</w:t>
      </w:r>
      <w:proofErr w:type="spellEnd"/>
      <w:r w:rsidR="00F70BAC">
        <w:t xml:space="preserve">, protože zvyšují srdeční citlivost na </w:t>
      </w:r>
      <w:r w:rsidR="00295B98">
        <w:t>epinefrin</w:t>
      </w:r>
      <w:r w:rsidR="00F70BAC">
        <w:t xml:space="preserve"> (sympatomimetikum) a mohou způsobovat arytmii.</w:t>
      </w:r>
    </w:p>
    <w:p w:rsidR="006777F6" w:rsidRPr="00F82D13" w:rsidRDefault="006777F6" w:rsidP="00F70BAC">
      <w:pPr>
        <w:ind w:left="709"/>
        <w:jc w:val="both"/>
      </w:pPr>
      <w:r>
        <w:t>V důsledku těchto interakcí může veterinární lékař upravit dávkování a měl by pozorně sledovat účinky na zvíře.</w:t>
      </w:r>
    </w:p>
    <w:p w:rsidR="00CB4103" w:rsidRPr="00F82D13" w:rsidRDefault="00CB4103" w:rsidP="00CB4103">
      <w:pPr>
        <w:tabs>
          <w:tab w:val="left" w:pos="709"/>
        </w:tabs>
        <w:ind w:left="709"/>
        <w:rPr>
          <w:bCs/>
        </w:rPr>
      </w:pPr>
    </w:p>
    <w:p w:rsidR="00CB4103" w:rsidRPr="00F82D13" w:rsidRDefault="00CB4103" w:rsidP="00CB4103">
      <w:pPr>
        <w:tabs>
          <w:tab w:val="left" w:pos="709"/>
        </w:tabs>
        <w:ind w:left="709"/>
        <w:jc w:val="both"/>
        <w:rPr>
          <w:bCs/>
          <w:u w:val="single"/>
        </w:rPr>
      </w:pPr>
      <w:r>
        <w:rPr>
          <w:u w:val="single"/>
        </w:rPr>
        <w:t xml:space="preserve">Předávkování (symptomy, první pomoc,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):</w:t>
      </w:r>
    </w:p>
    <w:p w:rsidR="00F70BAC" w:rsidRPr="00F82D13" w:rsidRDefault="00F70BAC" w:rsidP="00F70BAC">
      <w:pPr>
        <w:ind w:left="720"/>
        <w:jc w:val="both"/>
      </w:pPr>
      <w:r>
        <w:t xml:space="preserve">Příznaky spojené s předávkováním korelují s příznaky, které nastaly po </w:t>
      </w:r>
      <w:r w:rsidR="006302FA">
        <w:t xml:space="preserve">neúmyslné </w:t>
      </w:r>
      <w:r>
        <w:t xml:space="preserve">intravaskulární injekci, jak je popsáno v </w:t>
      </w:r>
      <w:r w:rsidR="003E37ED">
        <w:t xml:space="preserve">bodu </w:t>
      </w:r>
      <w:r>
        <w:t>6.</w:t>
      </w:r>
    </w:p>
    <w:p w:rsidR="00CB4103" w:rsidRPr="00F82D13" w:rsidRDefault="00CB4103" w:rsidP="00CB4103">
      <w:pPr>
        <w:tabs>
          <w:tab w:val="left" w:pos="709"/>
        </w:tabs>
        <w:ind w:left="709"/>
        <w:rPr>
          <w:bCs/>
        </w:rPr>
      </w:pPr>
    </w:p>
    <w:p w:rsidR="00A16B30" w:rsidRPr="0054207E" w:rsidRDefault="000F6CC5" w:rsidP="00A16B30">
      <w:pPr>
        <w:ind w:left="709"/>
        <w:jc w:val="both"/>
      </w:pPr>
      <w:r w:rsidRPr="00F75554">
        <w:rPr>
          <w:szCs w:val="22"/>
          <w:u w:val="single"/>
        </w:rPr>
        <w:t>Inkompatibility</w:t>
      </w:r>
      <w:r w:rsidRPr="00F75554">
        <w:rPr>
          <w:szCs w:val="22"/>
        </w:rPr>
        <w:t>:</w:t>
      </w:r>
      <w:r w:rsidR="00CB4103">
        <w:rPr>
          <w:bCs/>
          <w:u w:val="single"/>
        </w:rPr>
        <w:br/>
      </w:r>
      <w:r w:rsidR="00A16B30" w:rsidRPr="00F75554">
        <w:t>Studie kompatibility nejsou k dispozici, a proto tento veterinární léčivý přípravek nesmí být mísen s žádnými dalšími veterinárními léčivými přípravky</w:t>
      </w:r>
      <w:r w:rsidR="00A16B30">
        <w:t>.</w:t>
      </w:r>
    </w:p>
    <w:p w:rsidR="00300F65" w:rsidRPr="00F82D13" w:rsidRDefault="00A16B30" w:rsidP="00A16B30">
      <w:pPr>
        <w:tabs>
          <w:tab w:val="left" w:pos="709"/>
        </w:tabs>
        <w:ind w:left="709"/>
        <w:jc w:val="both"/>
      </w:pPr>
      <w:r>
        <w:t>Roztok není kompatibilní s alkalickými produkty, taninem nebo ionty kovů.</w:t>
      </w:r>
    </w:p>
    <w:p w:rsidR="00CB4103" w:rsidRPr="00F82D13" w:rsidRDefault="00CB4103" w:rsidP="00300F65">
      <w:pPr>
        <w:ind w:firstLine="709"/>
      </w:pPr>
    </w:p>
    <w:p w:rsidR="00300F65" w:rsidRPr="00F82D13" w:rsidRDefault="00300F65" w:rsidP="00CB4103">
      <w:pPr>
        <w:rPr>
          <w:rStyle w:val="hps"/>
        </w:rPr>
      </w:pPr>
    </w:p>
    <w:p w:rsidR="00CB4103" w:rsidRPr="00F82D13" w:rsidRDefault="00CB4103" w:rsidP="00CB4103">
      <w:pPr>
        <w:tabs>
          <w:tab w:val="left" w:pos="709"/>
        </w:tabs>
        <w:ind w:left="709" w:hanging="709"/>
        <w:jc w:val="both"/>
        <w:rPr>
          <w:b/>
          <w:bCs/>
        </w:rPr>
      </w:pPr>
      <w:r>
        <w:rPr>
          <w:b/>
        </w:rPr>
        <w:t>13.</w:t>
      </w:r>
      <w:r>
        <w:tab/>
      </w:r>
      <w:r>
        <w:rPr>
          <w:b/>
        </w:rPr>
        <w:t>ZVLÁŠTNÍ OPATŘENÍ PRO ZNEŠKODŇOVÁNÍ NEPOUŽITÝCH PŘÍPRAVKŮ NEBO ODPADU</w:t>
      </w:r>
      <w:r w:rsidR="000F6CC5" w:rsidRPr="00F75554">
        <w:rPr>
          <w:b/>
        </w:rPr>
        <w:t>, POKUD JE JICH TŘEBA</w:t>
      </w:r>
    </w:p>
    <w:p w:rsidR="00CB4103" w:rsidRPr="00F82D13" w:rsidRDefault="00CB4103" w:rsidP="00CB4103">
      <w:pPr>
        <w:tabs>
          <w:tab w:val="left" w:pos="709"/>
        </w:tabs>
        <w:rPr>
          <w:bCs/>
        </w:rPr>
      </w:pPr>
    </w:p>
    <w:p w:rsidR="00DF6063" w:rsidRDefault="00DF6063" w:rsidP="00A42133">
      <w:pPr>
        <w:tabs>
          <w:tab w:val="left" w:pos="709"/>
        </w:tabs>
        <w:ind w:left="709"/>
      </w:pPr>
      <w:r w:rsidRPr="00486E8B">
        <w:t>Všechen nepoužitý veterinární léčivý přípravek nebo odpad, který pochází z tohoto přípravku, musí být likvidován podle místních právních předpisů</w:t>
      </w:r>
      <w:r>
        <w:t>.</w:t>
      </w:r>
    </w:p>
    <w:p w:rsidR="00B41BCE" w:rsidRPr="00F82D13" w:rsidRDefault="00DF6063" w:rsidP="00CB4103">
      <w:pPr>
        <w:tabs>
          <w:tab w:val="left" w:pos="709"/>
        </w:tabs>
        <w:ind w:left="709" w:hanging="709"/>
        <w:rPr>
          <w:b/>
          <w:bCs/>
        </w:rPr>
      </w:pPr>
      <w:r>
        <w:tab/>
      </w:r>
    </w:p>
    <w:p w:rsidR="00CB4103" w:rsidRPr="00F82D13" w:rsidRDefault="00CB4103" w:rsidP="00CB4103">
      <w:pPr>
        <w:tabs>
          <w:tab w:val="left" w:pos="709"/>
        </w:tabs>
        <w:ind w:left="709" w:hanging="709"/>
        <w:rPr>
          <w:b/>
          <w:bCs/>
        </w:rPr>
      </w:pPr>
      <w:r>
        <w:rPr>
          <w:b/>
        </w:rPr>
        <w:t>14.</w:t>
      </w:r>
      <w:r>
        <w:tab/>
      </w:r>
      <w:r w:rsidR="000F6CC5" w:rsidRPr="00F75554">
        <w:rPr>
          <w:b/>
        </w:rPr>
        <w:t>DATUM POSLEDNÍ REVIZE PŘÍBALOVÉ INFORMACE</w:t>
      </w:r>
    </w:p>
    <w:p w:rsidR="00CB4103" w:rsidRPr="00F82D13" w:rsidRDefault="00CB4103" w:rsidP="00CB4103"/>
    <w:p w:rsidR="00CB4103" w:rsidRPr="00F82D13" w:rsidRDefault="002C517F" w:rsidP="00CB4103">
      <w:pPr>
        <w:ind w:left="567" w:firstLine="142"/>
      </w:pPr>
      <w:r>
        <w:t>Srpen 2016</w:t>
      </w:r>
    </w:p>
    <w:p w:rsidR="00CB4103" w:rsidRDefault="00CB4103" w:rsidP="00CB4103">
      <w:pPr>
        <w:ind w:left="720" w:firstLine="142"/>
      </w:pPr>
    </w:p>
    <w:p w:rsidR="00B941F2" w:rsidRPr="00F82D13" w:rsidRDefault="00B941F2" w:rsidP="00CB4103">
      <w:pPr>
        <w:ind w:left="720" w:firstLine="142"/>
      </w:pPr>
    </w:p>
    <w:p w:rsidR="00CB4103" w:rsidRPr="00F82D13" w:rsidRDefault="00CB4103" w:rsidP="00CB4103">
      <w:pPr>
        <w:pStyle w:val="Nadpis3"/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15.</w:t>
      </w:r>
      <w:r>
        <w:tab/>
      </w:r>
      <w:r w:rsidR="000F6CC5">
        <w:rPr>
          <w:rFonts w:ascii="Times New Roman" w:hAnsi="Times New Roman"/>
          <w:sz w:val="24"/>
        </w:rPr>
        <w:t xml:space="preserve">DALŠÍ INFORMACE </w:t>
      </w:r>
      <w:r w:rsidR="000F6CC5">
        <w:rPr>
          <w:rFonts w:ascii="Times New Roman" w:hAnsi="Times New Roman"/>
          <w:color w:val="FF0000"/>
          <w:sz w:val="24"/>
        </w:rPr>
        <w:t xml:space="preserve"> </w:t>
      </w:r>
    </w:p>
    <w:p w:rsidR="00CB4103" w:rsidRDefault="00CB4103" w:rsidP="00CB4103">
      <w:pPr>
        <w:rPr>
          <w:bCs/>
        </w:rPr>
      </w:pPr>
    </w:p>
    <w:p w:rsidR="009347CD" w:rsidRDefault="009347CD" w:rsidP="009347CD">
      <w:pPr>
        <w:ind w:left="709"/>
      </w:pPr>
      <w:r>
        <w:t>Pouze pro zvířata.</w:t>
      </w:r>
    </w:p>
    <w:p w:rsidR="009347CD" w:rsidRDefault="009347CD" w:rsidP="009347CD">
      <w:pPr>
        <w:ind w:left="709"/>
      </w:pPr>
      <w:r>
        <w:t>Veterinární léčivý přípravek je vydáván pouze na předpis.</w:t>
      </w:r>
    </w:p>
    <w:p w:rsidR="009347CD" w:rsidRDefault="009347CD" w:rsidP="009347CD">
      <w:pPr>
        <w:rPr>
          <w:b/>
          <w:bCs/>
        </w:rPr>
      </w:pPr>
    </w:p>
    <w:p w:rsidR="009347CD" w:rsidRPr="00F82D13" w:rsidRDefault="009347CD" w:rsidP="00CB4103">
      <w:pPr>
        <w:rPr>
          <w:bCs/>
        </w:rPr>
      </w:pPr>
    </w:p>
    <w:p w:rsidR="00CB4103" w:rsidRPr="00F82D13" w:rsidRDefault="00CB4103" w:rsidP="00CB4103">
      <w:pPr>
        <w:ind w:left="709" w:firstLine="28"/>
        <w:jc w:val="both"/>
        <w:rPr>
          <w:b/>
          <w:bCs/>
        </w:rPr>
      </w:pPr>
      <w:r>
        <w:rPr>
          <w:b/>
        </w:rPr>
        <w:t>Farmakodynamické vlastnosti</w:t>
      </w:r>
    </w:p>
    <w:p w:rsidR="00CB4103" w:rsidRPr="00F82D13" w:rsidRDefault="00CB4103" w:rsidP="00CB4103">
      <w:pPr>
        <w:ind w:left="709" w:firstLine="28"/>
        <w:jc w:val="both"/>
      </w:pPr>
    </w:p>
    <w:p w:rsidR="002C517F" w:rsidRPr="0054207E" w:rsidRDefault="002C517F" w:rsidP="002C517F">
      <w:pPr>
        <w:ind w:left="720"/>
        <w:jc w:val="both"/>
        <w:rPr>
          <w:u w:val="single"/>
        </w:rPr>
      </w:pPr>
      <w:r>
        <w:rPr>
          <w:u w:val="single"/>
        </w:rPr>
        <w:t>Prokain</w:t>
      </w:r>
    </w:p>
    <w:p w:rsidR="002C517F" w:rsidRPr="00F82D13" w:rsidRDefault="002C517F" w:rsidP="002C517F">
      <w:pPr>
        <w:ind w:left="720"/>
        <w:jc w:val="both"/>
      </w:pPr>
      <w:r>
        <w:t>Prokain je syntetické lokální anestetikum, které patří do skupiny esterů.</w:t>
      </w:r>
    </w:p>
    <w:p w:rsidR="002C517F" w:rsidRPr="00F82D13" w:rsidRDefault="002C517F" w:rsidP="002C517F">
      <w:pPr>
        <w:ind w:left="720"/>
        <w:jc w:val="both"/>
      </w:pPr>
      <w:r>
        <w:t xml:space="preserve">Jde o ester kyseliny p-aminobenzoové považované za lipofilní část této molekuly.  Prokain má stabilizační účinek na membránu, což vede ke snížení propustnosti membrány nervových </w:t>
      </w:r>
      <w:r>
        <w:lastRenderedPageBreak/>
        <w:t xml:space="preserve">buněk a tím ke snížené difuzi sodných a draselných iontů. </w:t>
      </w:r>
      <w:r>
        <w:rPr>
          <w:rStyle w:val="hps"/>
        </w:rPr>
        <w:t>Tímto</w:t>
      </w:r>
      <w:r>
        <w:t xml:space="preserve"> </w:t>
      </w:r>
      <w:r>
        <w:rPr>
          <w:rStyle w:val="hps"/>
        </w:rPr>
        <w:t>způsobem je narušena tvorba</w:t>
      </w:r>
      <w:r>
        <w:t xml:space="preserve"> </w:t>
      </w:r>
      <w:r>
        <w:rPr>
          <w:rStyle w:val="hps"/>
        </w:rPr>
        <w:t>akčních</w:t>
      </w:r>
      <w:r>
        <w:t xml:space="preserve"> </w:t>
      </w:r>
      <w:r>
        <w:rPr>
          <w:rStyle w:val="hps"/>
        </w:rPr>
        <w:t xml:space="preserve">potenciálů a přenos signálu je inhibován. </w:t>
      </w:r>
      <w:r>
        <w:t xml:space="preserve"> </w:t>
      </w:r>
      <w:r>
        <w:rPr>
          <w:rStyle w:val="hps"/>
        </w:rPr>
        <w:t>Tato</w:t>
      </w:r>
      <w:r>
        <w:t xml:space="preserve"> </w:t>
      </w:r>
      <w:r>
        <w:rPr>
          <w:rStyle w:val="hps"/>
        </w:rPr>
        <w:t>inhibice</w:t>
      </w:r>
      <w:r>
        <w:t xml:space="preserve"> </w:t>
      </w:r>
      <w:r>
        <w:rPr>
          <w:rStyle w:val="hps"/>
        </w:rPr>
        <w:t>vede</w:t>
      </w:r>
      <w:r>
        <w:t xml:space="preserve"> </w:t>
      </w:r>
      <w:r>
        <w:rPr>
          <w:rStyle w:val="hps"/>
        </w:rPr>
        <w:t>k</w:t>
      </w:r>
      <w:r>
        <w:t xml:space="preserve"> </w:t>
      </w:r>
      <w:r>
        <w:rPr>
          <w:rStyle w:val="hps"/>
        </w:rPr>
        <w:t>lokální</w:t>
      </w:r>
      <w:r>
        <w:t xml:space="preserve"> </w:t>
      </w:r>
      <w:r>
        <w:rPr>
          <w:rStyle w:val="hps"/>
        </w:rPr>
        <w:t>anestezii</w:t>
      </w:r>
      <w:r>
        <w:t xml:space="preserve">, </w:t>
      </w:r>
      <w:r>
        <w:rPr>
          <w:rStyle w:val="hps"/>
        </w:rPr>
        <w:t>která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reverzibilní</w:t>
      </w:r>
      <w:r>
        <w:t xml:space="preserve">. </w:t>
      </w:r>
      <w:r>
        <w:rPr>
          <w:rStyle w:val="hps"/>
        </w:rPr>
        <w:t>Nervová vlákna</w:t>
      </w:r>
      <w:r>
        <w:t xml:space="preserve"> </w:t>
      </w:r>
      <w:r>
        <w:rPr>
          <w:rStyle w:val="hps"/>
        </w:rPr>
        <w:t>vykazují</w:t>
      </w:r>
      <w:r>
        <w:t xml:space="preserve"> </w:t>
      </w:r>
      <w:r>
        <w:rPr>
          <w:rStyle w:val="hps"/>
        </w:rPr>
        <w:t>odlišnou</w:t>
      </w:r>
      <w:r>
        <w:t xml:space="preserve"> </w:t>
      </w:r>
      <w:r>
        <w:rPr>
          <w:rStyle w:val="hps"/>
        </w:rPr>
        <w:t>citlivost</w:t>
      </w:r>
      <w:r>
        <w:t xml:space="preserve"> </w:t>
      </w:r>
      <w:r>
        <w:rPr>
          <w:rStyle w:val="hps"/>
        </w:rPr>
        <w:t>na</w:t>
      </w:r>
      <w:r>
        <w:t xml:space="preserve"> </w:t>
      </w:r>
      <w:r>
        <w:rPr>
          <w:rStyle w:val="hps"/>
        </w:rPr>
        <w:t>lokální anestetika</w:t>
      </w:r>
      <w:r>
        <w:t xml:space="preserve">, </w:t>
      </w:r>
      <w:r>
        <w:rPr>
          <w:rStyle w:val="hps"/>
        </w:rPr>
        <w:t>která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dána tloušťkou</w:t>
      </w:r>
      <w:r>
        <w:t xml:space="preserve"> </w:t>
      </w:r>
      <w:r>
        <w:rPr>
          <w:rStyle w:val="hps"/>
        </w:rPr>
        <w:t>myelinové</w:t>
      </w:r>
      <w:r>
        <w:t xml:space="preserve"> </w:t>
      </w:r>
      <w:r>
        <w:rPr>
          <w:rStyle w:val="hps"/>
        </w:rPr>
        <w:t>pochvy</w:t>
      </w:r>
      <w:r>
        <w:t xml:space="preserve">: </w:t>
      </w:r>
      <w:r>
        <w:rPr>
          <w:rStyle w:val="hps"/>
        </w:rPr>
        <w:t>vlákna</w:t>
      </w:r>
      <w:r>
        <w:t xml:space="preserve">, </w:t>
      </w:r>
      <w:r>
        <w:rPr>
          <w:rStyle w:val="hps"/>
        </w:rPr>
        <w:t>která</w:t>
      </w:r>
      <w:r>
        <w:t xml:space="preserve"> </w:t>
      </w:r>
      <w:r>
        <w:rPr>
          <w:rStyle w:val="hps"/>
        </w:rPr>
        <w:t>nejsou</w:t>
      </w:r>
      <w:r>
        <w:t xml:space="preserve"> </w:t>
      </w:r>
      <w:r>
        <w:rPr>
          <w:rStyle w:val="hps"/>
        </w:rPr>
        <w:t>obklopena</w:t>
      </w:r>
      <w:r>
        <w:t xml:space="preserve"> </w:t>
      </w:r>
      <w:r>
        <w:rPr>
          <w:rStyle w:val="hps"/>
        </w:rPr>
        <w:t>myelinovou</w:t>
      </w:r>
      <w:r>
        <w:t xml:space="preserve"> </w:t>
      </w:r>
      <w:r>
        <w:rPr>
          <w:rStyle w:val="hps"/>
        </w:rPr>
        <w:t>pochvou</w:t>
      </w:r>
      <w:r w:rsidR="00A42133">
        <w:rPr>
          <w:rStyle w:val="hps"/>
        </w:rPr>
        <w:t>,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>
        <w:rPr>
          <w:rStyle w:val="hps"/>
        </w:rPr>
        <w:t>nejcitlivější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vlákna</w:t>
      </w:r>
      <w:r>
        <w:t xml:space="preserve"> </w:t>
      </w:r>
      <w:r>
        <w:rPr>
          <w:rStyle w:val="hps"/>
        </w:rPr>
        <w:t>s</w:t>
      </w:r>
      <w:r>
        <w:t xml:space="preserve"> </w:t>
      </w:r>
      <w:r>
        <w:rPr>
          <w:rStyle w:val="hps"/>
        </w:rPr>
        <w:t>tenkou</w:t>
      </w:r>
      <w:r>
        <w:t xml:space="preserve"> </w:t>
      </w:r>
      <w:r>
        <w:rPr>
          <w:rStyle w:val="hps"/>
        </w:rPr>
        <w:t>vrstvou</w:t>
      </w:r>
      <w:r>
        <w:t xml:space="preserve"> </w:t>
      </w:r>
      <w:r>
        <w:rPr>
          <w:rStyle w:val="hps"/>
        </w:rPr>
        <w:t>myelinu</w:t>
      </w:r>
      <w:r>
        <w:t xml:space="preserve"> </w:t>
      </w:r>
      <w:r>
        <w:rPr>
          <w:rStyle w:val="hps"/>
        </w:rPr>
        <w:t>se</w:t>
      </w:r>
      <w:r>
        <w:t xml:space="preserve"> </w:t>
      </w:r>
      <w:r>
        <w:rPr>
          <w:rStyle w:val="hps"/>
        </w:rPr>
        <w:t>anestetizují</w:t>
      </w:r>
      <w:r>
        <w:t xml:space="preserve"> </w:t>
      </w:r>
      <w:r>
        <w:rPr>
          <w:rStyle w:val="hps"/>
        </w:rPr>
        <w:t>rychleji</w:t>
      </w:r>
      <w:r>
        <w:t xml:space="preserve"> </w:t>
      </w:r>
      <w:r>
        <w:rPr>
          <w:rStyle w:val="hps"/>
        </w:rPr>
        <w:t>než</w:t>
      </w:r>
      <w:r>
        <w:t xml:space="preserve"> </w:t>
      </w:r>
      <w:r>
        <w:rPr>
          <w:rStyle w:val="hps"/>
        </w:rPr>
        <w:t>ta</w:t>
      </w:r>
      <w:r>
        <w:t xml:space="preserve">, </w:t>
      </w:r>
      <w:r>
        <w:rPr>
          <w:rStyle w:val="hps"/>
        </w:rPr>
        <w:t>která</w:t>
      </w:r>
      <w:r>
        <w:t xml:space="preserve"> </w:t>
      </w:r>
      <w:r>
        <w:rPr>
          <w:rStyle w:val="hps"/>
        </w:rPr>
        <w:t>jsou obklopena</w:t>
      </w:r>
      <w:r>
        <w:t xml:space="preserve"> </w:t>
      </w:r>
      <w:r>
        <w:rPr>
          <w:rStyle w:val="hps"/>
        </w:rPr>
        <w:t>silnější</w:t>
      </w:r>
      <w:r>
        <w:t xml:space="preserve"> </w:t>
      </w:r>
      <w:r>
        <w:rPr>
          <w:rStyle w:val="hps"/>
        </w:rPr>
        <w:t>myelinovou</w:t>
      </w:r>
      <w:r>
        <w:t xml:space="preserve"> </w:t>
      </w:r>
      <w:r>
        <w:rPr>
          <w:rStyle w:val="hps"/>
        </w:rPr>
        <w:t>pochvou</w:t>
      </w:r>
      <w:r>
        <w:t>.</w:t>
      </w:r>
    </w:p>
    <w:p w:rsidR="002C517F" w:rsidRPr="00F82D13" w:rsidRDefault="002C517F" w:rsidP="002C517F">
      <w:pPr>
        <w:ind w:left="720"/>
        <w:jc w:val="both"/>
      </w:pPr>
      <w:r>
        <w:t xml:space="preserve">Prokain má dobu latence od 5 do 10 minut po subkutánním podání.  Prokain má krátké trvání účinku (maximálně 30 - 60 minut); přidáním </w:t>
      </w:r>
      <w:r w:rsidR="00295B98">
        <w:t>epinefrin</w:t>
      </w:r>
      <w:r>
        <w:t>u do roztoku je trvání účinku prodloužené až na 45 - 90 minut.  Rychlost, při které nastupuje anestezie</w:t>
      </w:r>
      <w:r w:rsidR="00A42133">
        <w:t>,</w:t>
      </w:r>
      <w:r>
        <w:t xml:space="preserve"> závisí na druhu zvířat a věku.</w:t>
      </w:r>
    </w:p>
    <w:p w:rsidR="002C517F" w:rsidRPr="00F82D13" w:rsidRDefault="002C517F" w:rsidP="002C517F">
      <w:pPr>
        <w:ind w:left="720"/>
        <w:jc w:val="both"/>
      </w:pPr>
      <w:r>
        <w:t xml:space="preserve">Kromě vlastností lokálního anestetika má prokain také </w:t>
      </w:r>
      <w:proofErr w:type="spellStart"/>
      <w:r>
        <w:t>vazodilatační</w:t>
      </w:r>
      <w:proofErr w:type="spellEnd"/>
      <w:r>
        <w:t xml:space="preserve"> a antihypertenzní účinek.</w:t>
      </w:r>
    </w:p>
    <w:p w:rsidR="002C517F" w:rsidRPr="0054207E" w:rsidRDefault="002C517F" w:rsidP="002C517F">
      <w:pPr>
        <w:ind w:left="720"/>
        <w:jc w:val="both"/>
        <w:rPr>
          <w:u w:val="single"/>
        </w:rPr>
      </w:pPr>
    </w:p>
    <w:p w:rsidR="002C517F" w:rsidRPr="0054207E" w:rsidRDefault="00295B98" w:rsidP="002C517F">
      <w:pPr>
        <w:ind w:left="720"/>
        <w:jc w:val="both"/>
        <w:rPr>
          <w:u w:val="single"/>
        </w:rPr>
      </w:pPr>
      <w:r>
        <w:rPr>
          <w:u w:val="single"/>
        </w:rPr>
        <w:t>Epinefrin</w:t>
      </w:r>
    </w:p>
    <w:p w:rsidR="002C517F" w:rsidRPr="0054207E" w:rsidRDefault="00295B98" w:rsidP="002C517F">
      <w:pPr>
        <w:ind w:left="720"/>
        <w:jc w:val="both"/>
      </w:pPr>
      <w:r>
        <w:t>Epinefrin</w:t>
      </w:r>
      <w:r w:rsidR="002C517F">
        <w:t xml:space="preserve"> je katecholamin s</w:t>
      </w:r>
      <w:r w:rsidR="00A42133">
        <w:t>e</w:t>
      </w:r>
      <w:r w:rsidR="002C517F">
        <w:t xml:space="preserve"> sympatomimetickými vlastnostmi. To způsobuje lokální vazokonstrikci, která zpomaluje vstřebávání prokain </w:t>
      </w:r>
      <w:proofErr w:type="spellStart"/>
      <w:r w:rsidR="002C517F">
        <w:t>hydrochloridu</w:t>
      </w:r>
      <w:proofErr w:type="spellEnd"/>
      <w:r w:rsidR="002C517F">
        <w:t xml:space="preserve">, prodlužuje anestetický účinek prokainu. Pomalá </w:t>
      </w:r>
      <w:proofErr w:type="spellStart"/>
      <w:r w:rsidR="002C517F">
        <w:t>reabsorbce</w:t>
      </w:r>
      <w:proofErr w:type="spellEnd"/>
      <w:r w:rsidR="002C517F">
        <w:t xml:space="preserve"> prokainu snižuje riziko systémových toxických účinků. </w:t>
      </w:r>
      <w:r>
        <w:t>Epinefrin</w:t>
      </w:r>
      <w:r w:rsidR="002C517F">
        <w:t xml:space="preserve"> má také povzbuzující účinek na myokard.</w:t>
      </w:r>
    </w:p>
    <w:p w:rsidR="005249D3" w:rsidRPr="00F82D13" w:rsidRDefault="005249D3" w:rsidP="00CB4103">
      <w:pPr>
        <w:ind w:left="709"/>
        <w:jc w:val="both"/>
        <w:rPr>
          <w:b/>
          <w:bCs/>
        </w:rPr>
      </w:pPr>
    </w:p>
    <w:p w:rsidR="00CB4103" w:rsidRPr="00F82D13" w:rsidRDefault="00CB4103" w:rsidP="00CB4103">
      <w:pPr>
        <w:ind w:left="709"/>
        <w:jc w:val="both"/>
        <w:rPr>
          <w:b/>
          <w:bCs/>
        </w:rPr>
      </w:pPr>
      <w:r>
        <w:rPr>
          <w:b/>
        </w:rPr>
        <w:t xml:space="preserve">Farmakokinetické údaje </w:t>
      </w:r>
    </w:p>
    <w:p w:rsidR="00CB4103" w:rsidRPr="00F82D13" w:rsidRDefault="00CB4103" w:rsidP="00CB4103">
      <w:pPr>
        <w:ind w:left="709"/>
        <w:jc w:val="both"/>
      </w:pPr>
    </w:p>
    <w:p w:rsidR="002C517F" w:rsidRPr="0054207E" w:rsidRDefault="002C517F" w:rsidP="002C517F">
      <w:pPr>
        <w:ind w:left="720"/>
        <w:jc w:val="both"/>
        <w:rPr>
          <w:u w:val="single"/>
        </w:rPr>
      </w:pPr>
      <w:r>
        <w:rPr>
          <w:u w:val="single"/>
        </w:rPr>
        <w:t>Prokain</w:t>
      </w:r>
    </w:p>
    <w:p w:rsidR="002C517F" w:rsidRPr="0054207E" w:rsidRDefault="002C517F" w:rsidP="002C517F">
      <w:pPr>
        <w:ind w:left="709"/>
        <w:jc w:val="both"/>
      </w:pPr>
      <w:r>
        <w:t xml:space="preserve">Po parenterálním podání se prokain rychle vstřebává v krvi, a to zejména s ohledem na své </w:t>
      </w:r>
      <w:proofErr w:type="spellStart"/>
      <w:r>
        <w:t>vazodilatační</w:t>
      </w:r>
      <w:proofErr w:type="spellEnd"/>
      <w:r>
        <w:t xml:space="preserve"> vlastnosti. Absorpce závisí i od stupně vaskularizace v místě injekčního podání. Trvání účinku je poměrně krátké, vzhledem k rychlé hydrolýze  sérovou </w:t>
      </w:r>
      <w:proofErr w:type="spellStart"/>
      <w:r>
        <w:t>cholinesterázou</w:t>
      </w:r>
      <w:proofErr w:type="spellEnd"/>
      <w:r>
        <w:t xml:space="preserve">. Přídavek </w:t>
      </w:r>
      <w:r w:rsidR="00295B98">
        <w:t>epinefrin</w:t>
      </w:r>
      <w:r>
        <w:t xml:space="preserve">u, který má </w:t>
      </w:r>
      <w:proofErr w:type="spellStart"/>
      <w:r>
        <w:t>vazokonstrikční</w:t>
      </w:r>
      <w:proofErr w:type="spellEnd"/>
      <w:r>
        <w:t xml:space="preserve"> účinek, zpomaluje vstřebávání a prodlužuje lokální anestetický účinek.</w:t>
      </w:r>
    </w:p>
    <w:p w:rsidR="002C517F" w:rsidRPr="0054207E" w:rsidRDefault="002C517F" w:rsidP="002C517F">
      <w:pPr>
        <w:ind w:left="709"/>
        <w:jc w:val="both"/>
      </w:pPr>
      <w:r>
        <w:t>Vazba na proteiny je zanedbatelná (2%).</w:t>
      </w:r>
    </w:p>
    <w:p w:rsidR="002C517F" w:rsidRPr="0054207E" w:rsidRDefault="002C517F" w:rsidP="002C517F">
      <w:pPr>
        <w:ind w:left="709"/>
        <w:jc w:val="both"/>
      </w:pPr>
      <w:r>
        <w:t>Prokain neproniká snadno do tkáně, v důsledku jeho špatné rozpustnosti v tucích. Nicméně proniká do centrálního nervového systému a plodové plazmy.</w:t>
      </w:r>
    </w:p>
    <w:p w:rsidR="002C517F" w:rsidRPr="0054207E" w:rsidRDefault="002C517F" w:rsidP="002C517F">
      <w:pPr>
        <w:ind w:left="709"/>
        <w:jc w:val="both"/>
      </w:pPr>
      <w:r>
        <w:t xml:space="preserve">Prokain je rychle a téměř úplně hydrolyzován na p-aminobenzoovou kyselinu a </w:t>
      </w:r>
      <w:proofErr w:type="spellStart"/>
      <w:r>
        <w:t>diethylaminoetanol</w:t>
      </w:r>
      <w:proofErr w:type="spellEnd"/>
      <w:r>
        <w:t xml:space="preserve"> nespecifickými </w:t>
      </w:r>
      <w:proofErr w:type="spellStart"/>
      <w:r>
        <w:t>pseudocholinesterázami</w:t>
      </w:r>
      <w:proofErr w:type="spellEnd"/>
      <w:r>
        <w:t xml:space="preserve">, hlavně přítomnými v plazmě, ale i v </w:t>
      </w:r>
      <w:proofErr w:type="spellStart"/>
      <w:r>
        <w:t>mikrosomech</w:t>
      </w:r>
      <w:proofErr w:type="spellEnd"/>
      <w:r>
        <w:t xml:space="preserve"> jater a dalších tkáních. Kyselina p-aminobenzoová, která inhibuje účinek sulfonamidů, je konjugována například s kyselinou </w:t>
      </w:r>
      <w:proofErr w:type="spellStart"/>
      <w:r>
        <w:t>glukuronovou</w:t>
      </w:r>
      <w:proofErr w:type="spellEnd"/>
      <w:r>
        <w:t xml:space="preserve"> a je vylučována ledvinami. </w:t>
      </w:r>
      <w:proofErr w:type="spellStart"/>
      <w:r>
        <w:t>Dietilaminoetanol</w:t>
      </w:r>
      <w:proofErr w:type="spellEnd"/>
      <w:r>
        <w:t xml:space="preserve">, který je aktivní metabolit, se rozkládá v játrech. Metabolismus prokainu vykazuje druhovou specifitu a u jednotlivých druhů zvířat se liší. Plazmový poločas prokainu je krátký (60 - 90 minut). Je rychle a zcela vyloučen ledvinami ve formě metabolitů. Renální </w:t>
      </w:r>
      <w:proofErr w:type="spellStart"/>
      <w:r>
        <w:t>clearance</w:t>
      </w:r>
      <w:proofErr w:type="spellEnd"/>
      <w:r>
        <w:t xml:space="preserve"> závisí na pH moči: v případě kyselého pH je renální exkrece vyšší; v případě, že je hodnota pH alkalická, je eliminace pomalejší.</w:t>
      </w:r>
    </w:p>
    <w:p w:rsidR="002C517F" w:rsidRPr="0054207E" w:rsidRDefault="002C517F" w:rsidP="002C517F">
      <w:pPr>
        <w:ind w:left="720"/>
        <w:jc w:val="both"/>
      </w:pPr>
    </w:p>
    <w:p w:rsidR="002C517F" w:rsidRPr="0054207E" w:rsidRDefault="00295B98" w:rsidP="002C517F">
      <w:pPr>
        <w:ind w:left="720"/>
        <w:jc w:val="both"/>
        <w:rPr>
          <w:u w:val="single"/>
        </w:rPr>
      </w:pPr>
      <w:r>
        <w:rPr>
          <w:u w:val="single"/>
        </w:rPr>
        <w:t>Epinefrin</w:t>
      </w:r>
    </w:p>
    <w:p w:rsidR="002C517F" w:rsidRPr="0054207E" w:rsidRDefault="002C517F" w:rsidP="002C517F">
      <w:pPr>
        <w:ind w:left="709"/>
        <w:jc w:val="both"/>
      </w:pPr>
      <w:r>
        <w:t xml:space="preserve">Po parenterálním podání se </w:t>
      </w:r>
      <w:r w:rsidR="00295B98">
        <w:t>epinefrin</w:t>
      </w:r>
      <w:r>
        <w:t xml:space="preserve"> dobře absorbuje, ale pomalu, vzhledem k vazokonstrikci vyvolané samotnou látkou. Lze ho nalézt pouze v malých množstvích v krvi, protože je </w:t>
      </w:r>
      <w:proofErr w:type="spellStart"/>
      <w:r>
        <w:t>reabsorbován</w:t>
      </w:r>
      <w:proofErr w:type="spellEnd"/>
      <w:r>
        <w:t xml:space="preserve">  v tkáních.</w:t>
      </w:r>
    </w:p>
    <w:p w:rsidR="002C517F" w:rsidRPr="0054207E" w:rsidRDefault="00295B98" w:rsidP="002C517F">
      <w:pPr>
        <w:ind w:left="709"/>
        <w:jc w:val="both"/>
      </w:pPr>
      <w:r>
        <w:t>Epinefrin</w:t>
      </w:r>
      <w:r w:rsidR="002C517F">
        <w:t xml:space="preserve"> a jeho metabolity se rychle šíří do různých orgánů.</w:t>
      </w:r>
    </w:p>
    <w:p w:rsidR="002C517F" w:rsidRPr="0054207E" w:rsidRDefault="00295B98" w:rsidP="002C517F">
      <w:pPr>
        <w:ind w:left="709"/>
        <w:jc w:val="both"/>
      </w:pPr>
      <w:r>
        <w:t>Epinefrin</w:t>
      </w:r>
      <w:r w:rsidR="002C517F">
        <w:t xml:space="preserve"> je přeměněn na neaktivní metabolity v tkáních a v játrech enzymem monoaminooxidázou (MAO)  a katechol-O-</w:t>
      </w:r>
      <w:proofErr w:type="spellStart"/>
      <w:r w:rsidR="002C517F">
        <w:t>methyltransferázou</w:t>
      </w:r>
      <w:proofErr w:type="spellEnd"/>
      <w:r w:rsidR="002C517F">
        <w:t xml:space="preserve"> (COMT).</w:t>
      </w:r>
    </w:p>
    <w:p w:rsidR="002C517F" w:rsidRPr="0054207E" w:rsidRDefault="002C517F" w:rsidP="002C517F">
      <w:pPr>
        <w:ind w:left="709"/>
        <w:jc w:val="both"/>
      </w:pPr>
      <w:r>
        <w:t xml:space="preserve">Systemická účinnost </w:t>
      </w:r>
      <w:r w:rsidR="00295B98">
        <w:t>epinefrin</w:t>
      </w:r>
      <w:r>
        <w:t>u je krátká vzhledem k rychlosti jeho vylučování, ke kterému dochází převážně renální cestou  ve formě neaktivních metabolitů.</w:t>
      </w:r>
    </w:p>
    <w:p w:rsidR="002C517F" w:rsidRPr="0054207E" w:rsidRDefault="002C517F" w:rsidP="002C517F">
      <w:pPr>
        <w:ind w:left="709"/>
        <w:jc w:val="both"/>
      </w:pPr>
    </w:p>
    <w:p w:rsidR="00AE6825" w:rsidRPr="00F82D13" w:rsidRDefault="00AE6825" w:rsidP="00CB4103">
      <w:pPr>
        <w:rPr>
          <w:b/>
          <w:bCs/>
        </w:rPr>
      </w:pPr>
    </w:p>
    <w:p w:rsidR="009347CD" w:rsidRPr="00F82D13" w:rsidRDefault="009347CD" w:rsidP="00CB4103">
      <w:pPr>
        <w:rPr>
          <w:b/>
          <w:bCs/>
        </w:rPr>
      </w:pPr>
    </w:p>
    <w:p w:rsidR="00900B86" w:rsidRDefault="00900B86">
      <w:pPr>
        <w:rPr>
          <w:b/>
        </w:rPr>
      </w:pPr>
      <w:r>
        <w:rPr>
          <w:b/>
        </w:rPr>
        <w:br w:type="page"/>
      </w:r>
    </w:p>
    <w:p w:rsidR="00CB4103" w:rsidRPr="00F82D13" w:rsidRDefault="00CB4103" w:rsidP="00CB4103">
      <w:pPr>
        <w:rPr>
          <w:b/>
          <w:bCs/>
        </w:rPr>
      </w:pPr>
      <w:bookmarkStart w:id="0" w:name="_GoBack"/>
      <w:bookmarkEnd w:id="0"/>
      <w:r>
        <w:rPr>
          <w:b/>
        </w:rPr>
        <w:lastRenderedPageBreak/>
        <w:t>Velikosti balení:</w:t>
      </w:r>
    </w:p>
    <w:p w:rsidR="00C3123A" w:rsidRPr="00F82D13" w:rsidRDefault="00C3123A" w:rsidP="00D65B68">
      <w:pPr>
        <w:jc w:val="both"/>
      </w:pPr>
      <w:r>
        <w:t>1 x 50 ml</w:t>
      </w:r>
    </w:p>
    <w:p w:rsidR="00C3123A" w:rsidRPr="00F82D13" w:rsidRDefault="00C3123A" w:rsidP="00D65B68">
      <w:pPr>
        <w:jc w:val="both"/>
      </w:pPr>
      <w:r>
        <w:t>1 x 100 ml</w:t>
      </w:r>
    </w:p>
    <w:p w:rsidR="00C3123A" w:rsidRPr="00F82D13" w:rsidRDefault="00C3123A" w:rsidP="00D65B68">
      <w:pPr>
        <w:jc w:val="both"/>
      </w:pPr>
      <w:r>
        <w:t>1 x 250 ml</w:t>
      </w:r>
    </w:p>
    <w:p w:rsidR="00A74841" w:rsidRPr="00F82D13" w:rsidRDefault="00A74841" w:rsidP="00D65B68">
      <w:pPr>
        <w:jc w:val="both"/>
      </w:pPr>
    </w:p>
    <w:p w:rsidR="009B5690" w:rsidRPr="00F82D13" w:rsidRDefault="000F6CC5" w:rsidP="009B5690">
      <w:pPr>
        <w:pStyle w:val="Zkladntextodsazen3"/>
        <w:ind w:left="0"/>
        <w:rPr>
          <w:bCs/>
          <w:sz w:val="24"/>
          <w:szCs w:val="24"/>
        </w:rPr>
      </w:pPr>
      <w:r w:rsidRPr="000F6CC5">
        <w:rPr>
          <w:sz w:val="24"/>
        </w:rPr>
        <w:t>Na trhu nemusí být všechny velikosti balení</w:t>
      </w:r>
      <w:r w:rsidR="00CB4103">
        <w:rPr>
          <w:sz w:val="24"/>
        </w:rPr>
        <w:t>.</w:t>
      </w:r>
    </w:p>
    <w:sectPr w:rsidR="009B5690" w:rsidRPr="00F82D13" w:rsidSect="0005711D">
      <w:headerReference w:type="default" r:id="rId9"/>
      <w:footerReference w:type="default" r:id="rId10"/>
      <w:pgSz w:w="11906" w:h="16838" w:code="9"/>
      <w:pgMar w:top="851" w:right="1134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FB" w:rsidRDefault="001B52FB">
      <w:r>
        <w:separator/>
      </w:r>
    </w:p>
  </w:endnote>
  <w:endnote w:type="continuationSeparator" w:id="0">
    <w:p w:rsidR="001B52FB" w:rsidRDefault="001B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AB" w:rsidRPr="00932AE7" w:rsidRDefault="001B52FB" w:rsidP="00B9516E">
    <w:pPr>
      <w:pStyle w:val="Zpat"/>
      <w:jc w:val="center"/>
      <w:rPr>
        <w:sz w:val="22"/>
      </w:rPr>
    </w:pPr>
    <w:sdt>
      <w:sdtPr>
        <w:id w:val="2130098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EB0338" w:rsidRPr="00932AE7">
          <w:rPr>
            <w:sz w:val="20"/>
          </w:rPr>
          <w:fldChar w:fldCharType="begin"/>
        </w:r>
        <w:r w:rsidR="009B67AB" w:rsidRPr="00932AE7">
          <w:rPr>
            <w:sz w:val="20"/>
          </w:rPr>
          <w:instrText>PAGE   \* MERGEFORMAT</w:instrText>
        </w:r>
        <w:r w:rsidR="00EB0338" w:rsidRPr="00932AE7">
          <w:rPr>
            <w:sz w:val="20"/>
          </w:rPr>
          <w:fldChar w:fldCharType="separate"/>
        </w:r>
        <w:r w:rsidR="00900B86">
          <w:rPr>
            <w:noProof/>
            <w:sz w:val="20"/>
          </w:rPr>
          <w:t>6</w:t>
        </w:r>
        <w:r w:rsidR="00EB0338" w:rsidRPr="00932AE7">
          <w:rPr>
            <w:sz w:val="20"/>
          </w:rPr>
          <w:fldChar w:fldCharType="end"/>
        </w:r>
      </w:sdtContent>
    </w:sdt>
    <w:r w:rsidR="0005711D">
      <w:rPr>
        <w:sz w:val="20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FB" w:rsidRDefault="001B52FB">
      <w:r>
        <w:separator/>
      </w:r>
    </w:p>
  </w:footnote>
  <w:footnote w:type="continuationSeparator" w:id="0">
    <w:p w:rsidR="001B52FB" w:rsidRDefault="001B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95" w:rsidRDefault="00334317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50A"/>
    <w:multiLevelType w:val="hybridMultilevel"/>
    <w:tmpl w:val="BE78974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">
    <w:nsid w:val="084C7659"/>
    <w:multiLevelType w:val="hybridMultilevel"/>
    <w:tmpl w:val="1DFE14B2"/>
    <w:lvl w:ilvl="0" w:tplc="45788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DB209E1"/>
    <w:multiLevelType w:val="hybridMultilevel"/>
    <w:tmpl w:val="73108BE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E6C7961"/>
    <w:multiLevelType w:val="hybridMultilevel"/>
    <w:tmpl w:val="9E6E795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>
    <w:nsid w:val="127424D6"/>
    <w:multiLevelType w:val="hybridMultilevel"/>
    <w:tmpl w:val="BFCC82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A4167A6"/>
    <w:multiLevelType w:val="hybridMultilevel"/>
    <w:tmpl w:val="40D0BDB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nsid w:val="23B631FA"/>
    <w:multiLevelType w:val="hybridMultilevel"/>
    <w:tmpl w:val="C9AC5D4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2065D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">
    <w:nsid w:val="33340AE9"/>
    <w:multiLevelType w:val="hybridMultilevel"/>
    <w:tmpl w:val="47562E1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D5350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0">
    <w:nsid w:val="38EB5308"/>
    <w:multiLevelType w:val="hybridMultilevel"/>
    <w:tmpl w:val="551A5CC4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1">
    <w:nsid w:val="3DE41682"/>
    <w:multiLevelType w:val="hybridMultilevel"/>
    <w:tmpl w:val="88D4988C"/>
    <w:lvl w:ilvl="0" w:tplc="9BA6CD3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1868C5"/>
    <w:multiLevelType w:val="hybridMultilevel"/>
    <w:tmpl w:val="319812A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575B7385"/>
    <w:multiLevelType w:val="hybridMultilevel"/>
    <w:tmpl w:val="FB8E1F06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4">
    <w:nsid w:val="58FD3C7A"/>
    <w:multiLevelType w:val="hybridMultilevel"/>
    <w:tmpl w:val="C80888B6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5">
    <w:nsid w:val="649D1459"/>
    <w:multiLevelType w:val="hybridMultilevel"/>
    <w:tmpl w:val="9D08D75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6">
    <w:nsid w:val="6E9C1861"/>
    <w:multiLevelType w:val="multilevel"/>
    <w:tmpl w:val="9E6E795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7">
    <w:nsid w:val="7B734F6F"/>
    <w:multiLevelType w:val="multilevel"/>
    <w:tmpl w:val="FB8E1F06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>
    <w:nsid w:val="7FCA3111"/>
    <w:multiLevelType w:val="multilevel"/>
    <w:tmpl w:val="319812A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3"/>
  </w:num>
  <w:num w:numId="8">
    <w:abstractNumId w:val="16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10"/>
  </w:num>
  <w:num w:numId="14">
    <w:abstractNumId w:val="4"/>
  </w:num>
  <w:num w:numId="15">
    <w:abstractNumId w:val="1"/>
  </w:num>
  <w:num w:numId="16">
    <w:abstractNumId w:val="6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05"/>
    <w:rsid w:val="000008F7"/>
    <w:rsid w:val="0000322F"/>
    <w:rsid w:val="00007E32"/>
    <w:rsid w:val="000139F0"/>
    <w:rsid w:val="00014632"/>
    <w:rsid w:val="000160A2"/>
    <w:rsid w:val="00022CD6"/>
    <w:rsid w:val="00024DDA"/>
    <w:rsid w:val="000261EC"/>
    <w:rsid w:val="0003391E"/>
    <w:rsid w:val="0005711D"/>
    <w:rsid w:val="00061EC4"/>
    <w:rsid w:val="00073435"/>
    <w:rsid w:val="00083FF2"/>
    <w:rsid w:val="00090C5A"/>
    <w:rsid w:val="00091B93"/>
    <w:rsid w:val="000A52A3"/>
    <w:rsid w:val="000B3DBC"/>
    <w:rsid w:val="000B5BEB"/>
    <w:rsid w:val="000D08B7"/>
    <w:rsid w:val="000D16EE"/>
    <w:rsid w:val="000D5C16"/>
    <w:rsid w:val="000E6D32"/>
    <w:rsid w:val="000F6CC5"/>
    <w:rsid w:val="00101090"/>
    <w:rsid w:val="0012498E"/>
    <w:rsid w:val="00124E71"/>
    <w:rsid w:val="001253FC"/>
    <w:rsid w:val="00126CA3"/>
    <w:rsid w:val="00127F49"/>
    <w:rsid w:val="001342F1"/>
    <w:rsid w:val="00135E5F"/>
    <w:rsid w:val="00154B9D"/>
    <w:rsid w:val="00163F79"/>
    <w:rsid w:val="00164BF5"/>
    <w:rsid w:val="00164EAE"/>
    <w:rsid w:val="001708A1"/>
    <w:rsid w:val="001773F8"/>
    <w:rsid w:val="001A4AE5"/>
    <w:rsid w:val="001A799A"/>
    <w:rsid w:val="001B52FB"/>
    <w:rsid w:val="001B63A0"/>
    <w:rsid w:val="001C0A86"/>
    <w:rsid w:val="001C6129"/>
    <w:rsid w:val="001D704B"/>
    <w:rsid w:val="001E17C0"/>
    <w:rsid w:val="001E5A56"/>
    <w:rsid w:val="002010CB"/>
    <w:rsid w:val="00202476"/>
    <w:rsid w:val="00202AA1"/>
    <w:rsid w:val="00215C65"/>
    <w:rsid w:val="002243A1"/>
    <w:rsid w:val="00226FC5"/>
    <w:rsid w:val="002403F9"/>
    <w:rsid w:val="00240F8E"/>
    <w:rsid w:val="00252493"/>
    <w:rsid w:val="0025658D"/>
    <w:rsid w:val="0026367B"/>
    <w:rsid w:val="00284154"/>
    <w:rsid w:val="00287312"/>
    <w:rsid w:val="00291A5B"/>
    <w:rsid w:val="00292E9E"/>
    <w:rsid w:val="0029582B"/>
    <w:rsid w:val="00295B98"/>
    <w:rsid w:val="002A6CCB"/>
    <w:rsid w:val="002B614B"/>
    <w:rsid w:val="002C4F0A"/>
    <w:rsid w:val="002C517F"/>
    <w:rsid w:val="002D486D"/>
    <w:rsid w:val="002E1E14"/>
    <w:rsid w:val="002E24FD"/>
    <w:rsid w:val="002E62AF"/>
    <w:rsid w:val="002F6E2E"/>
    <w:rsid w:val="00300F65"/>
    <w:rsid w:val="00334317"/>
    <w:rsid w:val="00337C87"/>
    <w:rsid w:val="00344E4D"/>
    <w:rsid w:val="0036349C"/>
    <w:rsid w:val="003647B7"/>
    <w:rsid w:val="00373DD3"/>
    <w:rsid w:val="003824CA"/>
    <w:rsid w:val="00385F48"/>
    <w:rsid w:val="00386AF0"/>
    <w:rsid w:val="00395678"/>
    <w:rsid w:val="00396B97"/>
    <w:rsid w:val="003C5BD3"/>
    <w:rsid w:val="003D4809"/>
    <w:rsid w:val="003E25F4"/>
    <w:rsid w:val="003E37ED"/>
    <w:rsid w:val="0040503A"/>
    <w:rsid w:val="00407364"/>
    <w:rsid w:val="00424DC2"/>
    <w:rsid w:val="0042505F"/>
    <w:rsid w:val="0043238D"/>
    <w:rsid w:val="00434B58"/>
    <w:rsid w:val="00440F1C"/>
    <w:rsid w:val="00441378"/>
    <w:rsid w:val="00441699"/>
    <w:rsid w:val="00447FCA"/>
    <w:rsid w:val="00456D5A"/>
    <w:rsid w:val="00481BE6"/>
    <w:rsid w:val="0048586F"/>
    <w:rsid w:val="00496EA1"/>
    <w:rsid w:val="00497BBC"/>
    <w:rsid w:val="004A5B0A"/>
    <w:rsid w:val="004B4B4E"/>
    <w:rsid w:val="004F1FD8"/>
    <w:rsid w:val="00502276"/>
    <w:rsid w:val="00511FC7"/>
    <w:rsid w:val="00513BEC"/>
    <w:rsid w:val="00516712"/>
    <w:rsid w:val="005249D3"/>
    <w:rsid w:val="005322FB"/>
    <w:rsid w:val="00535DD1"/>
    <w:rsid w:val="00541FAB"/>
    <w:rsid w:val="005434FA"/>
    <w:rsid w:val="00546FB4"/>
    <w:rsid w:val="00547C1C"/>
    <w:rsid w:val="00554295"/>
    <w:rsid w:val="00570561"/>
    <w:rsid w:val="00570A05"/>
    <w:rsid w:val="005838AB"/>
    <w:rsid w:val="00597A74"/>
    <w:rsid w:val="005B1BF7"/>
    <w:rsid w:val="005C6EFA"/>
    <w:rsid w:val="005D02B7"/>
    <w:rsid w:val="005E4586"/>
    <w:rsid w:val="005E6CB5"/>
    <w:rsid w:val="006120D5"/>
    <w:rsid w:val="006302FA"/>
    <w:rsid w:val="00630A4F"/>
    <w:rsid w:val="006321E7"/>
    <w:rsid w:val="00641185"/>
    <w:rsid w:val="0066521D"/>
    <w:rsid w:val="006777F6"/>
    <w:rsid w:val="00695018"/>
    <w:rsid w:val="006B36B1"/>
    <w:rsid w:val="006B50C2"/>
    <w:rsid w:val="006B7A4B"/>
    <w:rsid w:val="006C6473"/>
    <w:rsid w:val="006F3800"/>
    <w:rsid w:val="00703B4D"/>
    <w:rsid w:val="0072381B"/>
    <w:rsid w:val="00727720"/>
    <w:rsid w:val="00730570"/>
    <w:rsid w:val="00745D1C"/>
    <w:rsid w:val="007531BD"/>
    <w:rsid w:val="007565E5"/>
    <w:rsid w:val="0076272F"/>
    <w:rsid w:val="00763DEF"/>
    <w:rsid w:val="00771283"/>
    <w:rsid w:val="00772104"/>
    <w:rsid w:val="0077656C"/>
    <w:rsid w:val="00781567"/>
    <w:rsid w:val="007A5F69"/>
    <w:rsid w:val="007B22F3"/>
    <w:rsid w:val="007C2751"/>
    <w:rsid w:val="007D7AF7"/>
    <w:rsid w:val="007E14D4"/>
    <w:rsid w:val="007E7426"/>
    <w:rsid w:val="007F62AF"/>
    <w:rsid w:val="008041E6"/>
    <w:rsid w:val="00805618"/>
    <w:rsid w:val="00825290"/>
    <w:rsid w:val="00826890"/>
    <w:rsid w:val="00836F31"/>
    <w:rsid w:val="00837CFB"/>
    <w:rsid w:val="00841C6E"/>
    <w:rsid w:val="00851677"/>
    <w:rsid w:val="008631CE"/>
    <w:rsid w:val="008720FF"/>
    <w:rsid w:val="00873166"/>
    <w:rsid w:val="00873872"/>
    <w:rsid w:val="008856F6"/>
    <w:rsid w:val="008926CC"/>
    <w:rsid w:val="008965DE"/>
    <w:rsid w:val="008A4FC4"/>
    <w:rsid w:val="008C2C91"/>
    <w:rsid w:val="008C7571"/>
    <w:rsid w:val="008D075E"/>
    <w:rsid w:val="008E1443"/>
    <w:rsid w:val="008F5BCA"/>
    <w:rsid w:val="00900189"/>
    <w:rsid w:val="00900B86"/>
    <w:rsid w:val="009048C3"/>
    <w:rsid w:val="009141CF"/>
    <w:rsid w:val="00922FD8"/>
    <w:rsid w:val="00932AE7"/>
    <w:rsid w:val="009347CD"/>
    <w:rsid w:val="00934BCE"/>
    <w:rsid w:val="00937510"/>
    <w:rsid w:val="00965463"/>
    <w:rsid w:val="00972C55"/>
    <w:rsid w:val="0097449E"/>
    <w:rsid w:val="00977EA6"/>
    <w:rsid w:val="00986A87"/>
    <w:rsid w:val="009935D2"/>
    <w:rsid w:val="009B5690"/>
    <w:rsid w:val="009B67AB"/>
    <w:rsid w:val="009C1FF4"/>
    <w:rsid w:val="009D28A8"/>
    <w:rsid w:val="009D4A14"/>
    <w:rsid w:val="009E2CF2"/>
    <w:rsid w:val="009E719D"/>
    <w:rsid w:val="009F59CC"/>
    <w:rsid w:val="00A0058D"/>
    <w:rsid w:val="00A06B0D"/>
    <w:rsid w:val="00A07544"/>
    <w:rsid w:val="00A1299C"/>
    <w:rsid w:val="00A16B30"/>
    <w:rsid w:val="00A41D65"/>
    <w:rsid w:val="00A42133"/>
    <w:rsid w:val="00A42836"/>
    <w:rsid w:val="00A45ABD"/>
    <w:rsid w:val="00A47FF0"/>
    <w:rsid w:val="00A73CF0"/>
    <w:rsid w:val="00A74841"/>
    <w:rsid w:val="00A758C9"/>
    <w:rsid w:val="00A76228"/>
    <w:rsid w:val="00A80101"/>
    <w:rsid w:val="00AA5836"/>
    <w:rsid w:val="00AA6132"/>
    <w:rsid w:val="00AB33DA"/>
    <w:rsid w:val="00AD6964"/>
    <w:rsid w:val="00AE6825"/>
    <w:rsid w:val="00B154B4"/>
    <w:rsid w:val="00B41BCE"/>
    <w:rsid w:val="00B524EB"/>
    <w:rsid w:val="00B56649"/>
    <w:rsid w:val="00B579F5"/>
    <w:rsid w:val="00B60369"/>
    <w:rsid w:val="00B61C68"/>
    <w:rsid w:val="00B707D8"/>
    <w:rsid w:val="00B75E09"/>
    <w:rsid w:val="00B77397"/>
    <w:rsid w:val="00B81116"/>
    <w:rsid w:val="00B941F2"/>
    <w:rsid w:val="00B94504"/>
    <w:rsid w:val="00B9516E"/>
    <w:rsid w:val="00B95E5F"/>
    <w:rsid w:val="00BA4795"/>
    <w:rsid w:val="00BB1706"/>
    <w:rsid w:val="00BB356B"/>
    <w:rsid w:val="00BB44B6"/>
    <w:rsid w:val="00BB647F"/>
    <w:rsid w:val="00BD16F4"/>
    <w:rsid w:val="00BD6ACF"/>
    <w:rsid w:val="00C104B9"/>
    <w:rsid w:val="00C1277F"/>
    <w:rsid w:val="00C21359"/>
    <w:rsid w:val="00C22048"/>
    <w:rsid w:val="00C30614"/>
    <w:rsid w:val="00C3123A"/>
    <w:rsid w:val="00C32C1B"/>
    <w:rsid w:val="00C32F12"/>
    <w:rsid w:val="00C42E86"/>
    <w:rsid w:val="00C432D3"/>
    <w:rsid w:val="00C56B22"/>
    <w:rsid w:val="00C57D7B"/>
    <w:rsid w:val="00C65645"/>
    <w:rsid w:val="00C80CB7"/>
    <w:rsid w:val="00C82A79"/>
    <w:rsid w:val="00C8384C"/>
    <w:rsid w:val="00C872EB"/>
    <w:rsid w:val="00C90D44"/>
    <w:rsid w:val="00C93260"/>
    <w:rsid w:val="00CB0DB4"/>
    <w:rsid w:val="00CB4103"/>
    <w:rsid w:val="00CB46F7"/>
    <w:rsid w:val="00CC11E0"/>
    <w:rsid w:val="00CF32CE"/>
    <w:rsid w:val="00D15002"/>
    <w:rsid w:val="00D3688B"/>
    <w:rsid w:val="00D44697"/>
    <w:rsid w:val="00D65B68"/>
    <w:rsid w:val="00D72CE1"/>
    <w:rsid w:val="00D74FFA"/>
    <w:rsid w:val="00D83DAE"/>
    <w:rsid w:val="00D84405"/>
    <w:rsid w:val="00D91D9B"/>
    <w:rsid w:val="00DB4C80"/>
    <w:rsid w:val="00DC442B"/>
    <w:rsid w:val="00DC72A8"/>
    <w:rsid w:val="00DD5354"/>
    <w:rsid w:val="00DD6425"/>
    <w:rsid w:val="00DE2D9E"/>
    <w:rsid w:val="00DE3B05"/>
    <w:rsid w:val="00DE54D0"/>
    <w:rsid w:val="00DE5830"/>
    <w:rsid w:val="00DF4DCD"/>
    <w:rsid w:val="00DF6063"/>
    <w:rsid w:val="00E05FBE"/>
    <w:rsid w:val="00E146BB"/>
    <w:rsid w:val="00E155AA"/>
    <w:rsid w:val="00E15F62"/>
    <w:rsid w:val="00E17D80"/>
    <w:rsid w:val="00E24747"/>
    <w:rsid w:val="00E26100"/>
    <w:rsid w:val="00E60846"/>
    <w:rsid w:val="00E6234D"/>
    <w:rsid w:val="00E6394D"/>
    <w:rsid w:val="00E71595"/>
    <w:rsid w:val="00E75160"/>
    <w:rsid w:val="00E8103F"/>
    <w:rsid w:val="00E854DF"/>
    <w:rsid w:val="00E85C36"/>
    <w:rsid w:val="00E91A5C"/>
    <w:rsid w:val="00EA2801"/>
    <w:rsid w:val="00EB0338"/>
    <w:rsid w:val="00EB4621"/>
    <w:rsid w:val="00EB5F7C"/>
    <w:rsid w:val="00EC492B"/>
    <w:rsid w:val="00EC6009"/>
    <w:rsid w:val="00EE1435"/>
    <w:rsid w:val="00EF00D7"/>
    <w:rsid w:val="00EF0579"/>
    <w:rsid w:val="00F034F5"/>
    <w:rsid w:val="00F03B0D"/>
    <w:rsid w:val="00F053F8"/>
    <w:rsid w:val="00F06DAA"/>
    <w:rsid w:val="00F10488"/>
    <w:rsid w:val="00F12564"/>
    <w:rsid w:val="00F23171"/>
    <w:rsid w:val="00F34BA1"/>
    <w:rsid w:val="00F37D75"/>
    <w:rsid w:val="00F4007B"/>
    <w:rsid w:val="00F46785"/>
    <w:rsid w:val="00F53473"/>
    <w:rsid w:val="00F66616"/>
    <w:rsid w:val="00F67E1E"/>
    <w:rsid w:val="00F70BAC"/>
    <w:rsid w:val="00F808E0"/>
    <w:rsid w:val="00F82D13"/>
    <w:rsid w:val="00F9430D"/>
    <w:rsid w:val="00F95CC4"/>
    <w:rsid w:val="00FB3AF7"/>
    <w:rsid w:val="00FC0526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11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2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2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2F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5711D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05711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11D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05711D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semiHidden/>
    <w:rsid w:val="0005711D"/>
    <w:rPr>
      <w:rFonts w:ascii="Times New Roman" w:hAnsi="Times New Roman" w:cs="Times New Roman"/>
    </w:rPr>
  </w:style>
  <w:style w:type="character" w:customStyle="1" w:styleId="hps">
    <w:name w:val="hps"/>
    <w:rsid w:val="0005711D"/>
  </w:style>
  <w:style w:type="paragraph" w:customStyle="1" w:styleId="Testofumetto1">
    <w:name w:val="Testo fumetto1"/>
    <w:basedOn w:val="Normln"/>
    <w:rsid w:val="0005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5711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711D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711D"/>
    <w:rPr>
      <w:sz w:val="20"/>
      <w:szCs w:val="20"/>
    </w:rPr>
  </w:style>
  <w:style w:type="character" w:customStyle="1" w:styleId="CommentTextChar">
    <w:name w:val="Comment Text Char"/>
    <w:rsid w:val="0005711D"/>
    <w:rPr>
      <w:rFonts w:ascii="Times New Roman" w:hAnsi="Times New Roman" w:cs="Times New Roman"/>
      <w:sz w:val="20"/>
      <w:szCs w:val="20"/>
    </w:rPr>
  </w:style>
  <w:style w:type="paragraph" w:customStyle="1" w:styleId="Soggettocommento1">
    <w:name w:val="Soggetto commento1"/>
    <w:basedOn w:val="Textkomente"/>
    <w:next w:val="Textkomente"/>
    <w:rsid w:val="0005711D"/>
    <w:rPr>
      <w:b/>
      <w:bCs/>
    </w:rPr>
  </w:style>
  <w:style w:type="character" w:customStyle="1" w:styleId="CommentSubjectChar">
    <w:name w:val="Comment Subject Char"/>
    <w:rsid w:val="0005711D"/>
    <w:rPr>
      <w:rFonts w:ascii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B05"/>
    <w:rPr>
      <w:b/>
      <w:bCs/>
    </w:rPr>
  </w:style>
  <w:style w:type="character" w:customStyle="1" w:styleId="TextkomenteChar">
    <w:name w:val="Text komentáře Char"/>
    <w:link w:val="Textkomente"/>
    <w:semiHidden/>
    <w:rsid w:val="00DE3B05"/>
    <w:rPr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DE3B05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3B05"/>
    <w:rPr>
      <w:rFonts w:ascii="Tahoma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922FD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2FD8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22FD8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922FD8"/>
    <w:pPr>
      <w:spacing w:line="360" w:lineRule="auto"/>
      <w:jc w:val="both"/>
    </w:pPr>
    <w:rPr>
      <w:rFonts w:ascii="Verdana" w:hAnsi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22FD8"/>
    <w:rPr>
      <w:rFonts w:ascii="Verdana" w:hAnsi="Verdana"/>
      <w:sz w:val="22"/>
      <w:szCs w:val="22"/>
      <w:lang w:val="cs-CZ"/>
    </w:rPr>
  </w:style>
  <w:style w:type="paragraph" w:customStyle="1" w:styleId="Default">
    <w:name w:val="Default"/>
    <w:rsid w:val="00922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B410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B4103"/>
    <w:rPr>
      <w:sz w:val="16"/>
      <w:szCs w:val="16"/>
      <w:lang w:val="cs-CZ" w:eastAsia="cs-CZ"/>
    </w:rPr>
  </w:style>
  <w:style w:type="character" w:customStyle="1" w:styleId="shorttext">
    <w:name w:val="short_text"/>
    <w:uiPriority w:val="99"/>
    <w:rsid w:val="00CB4103"/>
  </w:style>
  <w:style w:type="character" w:customStyle="1" w:styleId="ZpatChar">
    <w:name w:val="Zápatí Char"/>
    <w:link w:val="Zpat"/>
    <w:uiPriority w:val="99"/>
    <w:locked/>
    <w:rsid w:val="00CB4103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72C55"/>
    <w:pPr>
      <w:ind w:left="720"/>
      <w:contextualSpacing/>
    </w:pPr>
  </w:style>
  <w:style w:type="paragraph" w:customStyle="1" w:styleId="HPRAMainBodyText">
    <w:name w:val="HPRA_MainBodyText"/>
    <w:basedOn w:val="Normln"/>
    <w:link w:val="HPRAMainBodyTextChar"/>
    <w:qFormat/>
    <w:rsid w:val="005D02B7"/>
    <w:rPr>
      <w:rFonts w:ascii="Segoe UI" w:eastAsia="Segoe UI" w:hAnsi="Segoe UI"/>
      <w:sz w:val="20"/>
      <w:szCs w:val="20"/>
    </w:rPr>
  </w:style>
  <w:style w:type="character" w:customStyle="1" w:styleId="HPRAMainBodyTextChar">
    <w:name w:val="HPRA_MainBodyText Char"/>
    <w:link w:val="HPRAMainBodyText"/>
    <w:rsid w:val="005D02B7"/>
    <w:rPr>
      <w:rFonts w:ascii="Segoe UI" w:eastAsia="Segoe UI" w:hAnsi="Segoe UI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11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2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2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2F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5711D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05711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5711D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05711D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semiHidden/>
    <w:rsid w:val="0005711D"/>
    <w:rPr>
      <w:rFonts w:ascii="Times New Roman" w:hAnsi="Times New Roman" w:cs="Times New Roman"/>
    </w:rPr>
  </w:style>
  <w:style w:type="character" w:customStyle="1" w:styleId="hps">
    <w:name w:val="hps"/>
    <w:rsid w:val="0005711D"/>
  </w:style>
  <w:style w:type="paragraph" w:customStyle="1" w:styleId="Testofumetto1">
    <w:name w:val="Testo fumetto1"/>
    <w:basedOn w:val="Normln"/>
    <w:rsid w:val="0005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5711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711D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711D"/>
    <w:rPr>
      <w:sz w:val="20"/>
      <w:szCs w:val="20"/>
    </w:rPr>
  </w:style>
  <w:style w:type="character" w:customStyle="1" w:styleId="CommentTextChar">
    <w:name w:val="Comment Text Char"/>
    <w:rsid w:val="0005711D"/>
    <w:rPr>
      <w:rFonts w:ascii="Times New Roman" w:hAnsi="Times New Roman" w:cs="Times New Roman"/>
      <w:sz w:val="20"/>
      <w:szCs w:val="20"/>
    </w:rPr>
  </w:style>
  <w:style w:type="paragraph" w:customStyle="1" w:styleId="Soggettocommento1">
    <w:name w:val="Soggetto commento1"/>
    <w:basedOn w:val="Textkomente"/>
    <w:next w:val="Textkomente"/>
    <w:rsid w:val="0005711D"/>
    <w:rPr>
      <w:b/>
      <w:bCs/>
    </w:rPr>
  </w:style>
  <w:style w:type="character" w:customStyle="1" w:styleId="CommentSubjectChar">
    <w:name w:val="Comment Subject Char"/>
    <w:rsid w:val="0005711D"/>
    <w:rPr>
      <w:rFonts w:ascii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B05"/>
    <w:rPr>
      <w:b/>
      <w:bCs/>
    </w:rPr>
  </w:style>
  <w:style w:type="character" w:customStyle="1" w:styleId="TextkomenteChar">
    <w:name w:val="Text komentáře Char"/>
    <w:link w:val="Textkomente"/>
    <w:semiHidden/>
    <w:rsid w:val="00DE3B05"/>
    <w:rPr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DE3B05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3B05"/>
    <w:rPr>
      <w:rFonts w:ascii="Tahoma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922FD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2FD8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22FD8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922FD8"/>
    <w:pPr>
      <w:spacing w:line="360" w:lineRule="auto"/>
      <w:jc w:val="both"/>
    </w:pPr>
    <w:rPr>
      <w:rFonts w:ascii="Verdana" w:hAnsi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22FD8"/>
    <w:rPr>
      <w:rFonts w:ascii="Verdana" w:hAnsi="Verdana"/>
      <w:sz w:val="22"/>
      <w:szCs w:val="22"/>
      <w:lang w:val="cs-CZ"/>
    </w:rPr>
  </w:style>
  <w:style w:type="paragraph" w:customStyle="1" w:styleId="Default">
    <w:name w:val="Default"/>
    <w:rsid w:val="00922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B410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B4103"/>
    <w:rPr>
      <w:sz w:val="16"/>
      <w:szCs w:val="16"/>
      <w:lang w:val="cs-CZ" w:eastAsia="cs-CZ"/>
    </w:rPr>
  </w:style>
  <w:style w:type="character" w:customStyle="1" w:styleId="shorttext">
    <w:name w:val="short_text"/>
    <w:uiPriority w:val="99"/>
    <w:rsid w:val="00CB4103"/>
  </w:style>
  <w:style w:type="character" w:customStyle="1" w:styleId="ZpatChar">
    <w:name w:val="Zápatí Char"/>
    <w:link w:val="Zpat"/>
    <w:uiPriority w:val="99"/>
    <w:locked/>
    <w:rsid w:val="00CB4103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72C55"/>
    <w:pPr>
      <w:ind w:left="720"/>
      <w:contextualSpacing/>
    </w:pPr>
  </w:style>
  <w:style w:type="paragraph" w:customStyle="1" w:styleId="HPRAMainBodyText">
    <w:name w:val="HPRA_MainBodyText"/>
    <w:basedOn w:val="Normln"/>
    <w:link w:val="HPRAMainBodyTextChar"/>
    <w:qFormat/>
    <w:rsid w:val="005D02B7"/>
    <w:rPr>
      <w:rFonts w:ascii="Segoe UI" w:eastAsia="Segoe UI" w:hAnsi="Segoe UI"/>
      <w:sz w:val="20"/>
      <w:szCs w:val="20"/>
    </w:rPr>
  </w:style>
  <w:style w:type="character" w:customStyle="1" w:styleId="HPRAMainBodyTextChar">
    <w:name w:val="HPRA_MainBodyText Char"/>
    <w:link w:val="HPRAMainBodyText"/>
    <w:rsid w:val="005D02B7"/>
    <w:rPr>
      <w:rFonts w:ascii="Segoe UI" w:eastAsia="Segoe UI" w:hAnsi="Segoe U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10E4-4463-4475-9C98-B463F60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1693</Words>
  <Characters>9991</Characters>
  <Application>Microsoft Office Word</Application>
  <DocSecurity>0</DocSecurity>
  <Lines>83</Lines>
  <Paragraphs>23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</vt:lpstr>
      <vt:lpstr>1</vt:lpstr>
      <vt:lpstr>1</vt:lpstr>
      <vt:lpstr>1</vt:lpstr>
    </vt:vector>
  </TitlesOfParts>
  <Company>fatro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amadori simonetta</dc:creator>
  <cp:lastModifiedBy>Neugebauerová Kateřina</cp:lastModifiedBy>
  <cp:revision>16</cp:revision>
  <cp:lastPrinted>2016-08-10T10:20:00Z</cp:lastPrinted>
  <dcterms:created xsi:type="dcterms:W3CDTF">2016-02-26T14:45:00Z</dcterms:created>
  <dcterms:modified xsi:type="dcterms:W3CDTF">2016-08-10T10:20:00Z</dcterms:modified>
</cp:coreProperties>
</file>