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9E" w:rsidRDefault="007241A7">
      <w:pPr>
        <w:pStyle w:val="Standard"/>
        <w:pageBreakBefore/>
        <w:ind w:left="0"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PŘÍBALOVÁ INFORMACE PRO:</w:t>
      </w:r>
    </w:p>
    <w:p w:rsidR="0065239E" w:rsidRDefault="007241A7">
      <w:pPr>
        <w:pStyle w:val="Standard"/>
        <w:ind w:left="0" w:firstLine="0"/>
        <w:jc w:val="center"/>
      </w:pPr>
      <w:r>
        <w:rPr>
          <w:b/>
          <w:bCs/>
          <w:szCs w:val="22"/>
        </w:rPr>
        <w:t xml:space="preserve">CANIGEN </w:t>
      </w:r>
      <w:proofErr w:type="spellStart"/>
      <w:r>
        <w:rPr>
          <w:b/>
          <w:bCs/>
          <w:szCs w:val="22"/>
        </w:rPr>
        <w:t>Pi</w:t>
      </w:r>
      <w:proofErr w:type="spellEnd"/>
      <w:r>
        <w:rPr>
          <w:b/>
          <w:bCs/>
          <w:szCs w:val="22"/>
        </w:rPr>
        <w:t xml:space="preserve">/L </w:t>
      </w:r>
      <w:proofErr w:type="spellStart"/>
      <w:r>
        <w:rPr>
          <w:b/>
          <w:iCs/>
        </w:rPr>
        <w:t>l</w:t>
      </w:r>
      <w:r>
        <w:rPr>
          <w:b/>
          <w:szCs w:val="22"/>
        </w:rPr>
        <w:t>yofilizát</w:t>
      </w:r>
      <w:proofErr w:type="spellEnd"/>
      <w:r>
        <w:rPr>
          <w:b/>
          <w:szCs w:val="22"/>
        </w:rPr>
        <w:t xml:space="preserve"> </w:t>
      </w:r>
      <w:r>
        <w:rPr>
          <w:b/>
        </w:rPr>
        <w:t>a suspenze pro injekční suspenz</w:t>
      </w:r>
      <w:r w:rsidR="00167EE2">
        <w:rPr>
          <w:b/>
        </w:rPr>
        <w:t>i</w:t>
      </w:r>
      <w:r>
        <w:rPr>
          <w:b/>
        </w:rPr>
        <w:t xml:space="preserve"> pro psy</w:t>
      </w:r>
    </w:p>
    <w:p w:rsidR="0065239E" w:rsidRDefault="0065239E">
      <w:pPr>
        <w:pStyle w:val="Standard"/>
        <w:ind w:left="0" w:firstLine="0"/>
        <w:rPr>
          <w:b/>
          <w:bCs/>
          <w:szCs w:val="22"/>
        </w:rPr>
      </w:pPr>
    </w:p>
    <w:p w:rsidR="0065239E" w:rsidRDefault="007241A7">
      <w:pPr>
        <w:pStyle w:val="Standard"/>
        <w:ind w:left="0" w:firstLine="0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65239E" w:rsidRDefault="0065239E">
      <w:pPr>
        <w:pStyle w:val="Standard"/>
        <w:ind w:left="0" w:firstLine="0"/>
        <w:rPr>
          <w:b/>
        </w:rPr>
      </w:pPr>
    </w:p>
    <w:p w:rsidR="0065239E" w:rsidRDefault="007241A7">
      <w:pPr>
        <w:pStyle w:val="Standard"/>
        <w:ind w:left="0" w:firstLine="0"/>
        <w:rPr>
          <w:u w:val="single"/>
        </w:rPr>
      </w:pPr>
      <w:r>
        <w:rPr>
          <w:u w:val="single"/>
        </w:rPr>
        <w:t>Držitel rozhodnutí o registraci a výrobce odpovědný za uvolnění šarže:</w:t>
      </w:r>
    </w:p>
    <w:p w:rsidR="0065239E" w:rsidRDefault="0065239E">
      <w:pPr>
        <w:pStyle w:val="Standard"/>
      </w:pPr>
    </w:p>
    <w:p w:rsidR="0065239E" w:rsidRDefault="00724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VIRBAC</w:t>
      </w:r>
    </w:p>
    <w:p w:rsidR="0065239E" w:rsidRDefault="007241A7">
      <w:pPr>
        <w:spacing w:after="0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avenue 2065 m LID</w:t>
      </w:r>
    </w:p>
    <w:p w:rsidR="0065239E" w:rsidRDefault="007241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06516 </w:t>
      </w:r>
      <w:proofErr w:type="spellStart"/>
      <w:r>
        <w:rPr>
          <w:rFonts w:ascii="Times New Roman" w:hAnsi="Times New Roman"/>
        </w:rPr>
        <w:t>Carros</w:t>
      </w:r>
      <w:proofErr w:type="spellEnd"/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Francie</w:t>
      </w:r>
    </w:p>
    <w:p w:rsidR="0065239E" w:rsidRDefault="0065239E">
      <w:pPr>
        <w:pStyle w:val="Standard"/>
      </w:pPr>
    </w:p>
    <w:p w:rsidR="0065239E" w:rsidRDefault="0065239E">
      <w:pPr>
        <w:pStyle w:val="Standard"/>
      </w:pPr>
    </w:p>
    <w:p w:rsidR="0065239E" w:rsidRDefault="007241A7">
      <w:pPr>
        <w:pStyle w:val="Standard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65239E" w:rsidRDefault="0065239E">
      <w:pPr>
        <w:pStyle w:val="Standard"/>
        <w:rPr>
          <w:b/>
        </w:rPr>
      </w:pPr>
    </w:p>
    <w:p w:rsidR="0065239E" w:rsidRDefault="007241A7">
      <w:pPr>
        <w:pStyle w:val="Standard"/>
      </w:pPr>
      <w:r>
        <w:t xml:space="preserve">CANIGEN </w:t>
      </w:r>
      <w:proofErr w:type="spellStart"/>
      <w:r>
        <w:t>Pi</w:t>
      </w:r>
      <w:proofErr w:type="spellEnd"/>
      <w:r>
        <w:t xml:space="preserve">/L </w:t>
      </w:r>
      <w:proofErr w:type="spellStart"/>
      <w:r>
        <w:t>lyofilizát</w:t>
      </w:r>
      <w:proofErr w:type="spellEnd"/>
      <w:r>
        <w:t xml:space="preserve"> a suspenze pro injekční suspenz</w:t>
      </w:r>
      <w:r w:rsidR="00167EE2">
        <w:t>i</w:t>
      </w:r>
      <w:r>
        <w:t xml:space="preserve"> pro psy</w:t>
      </w:r>
    </w:p>
    <w:p w:rsidR="0065239E" w:rsidRDefault="0065239E">
      <w:pPr>
        <w:pStyle w:val="Standard"/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:rsidR="0065239E" w:rsidRDefault="0065239E">
      <w:pPr>
        <w:pStyle w:val="Standard"/>
        <w:rPr>
          <w:szCs w:val="22"/>
        </w:rPr>
      </w:pPr>
    </w:p>
    <w:p w:rsidR="0065239E" w:rsidRDefault="00EA398B">
      <w:pPr>
        <w:pStyle w:val="Standard"/>
        <w:rPr>
          <w:szCs w:val="22"/>
        </w:rPr>
      </w:pPr>
      <w:r>
        <w:rPr>
          <w:szCs w:val="22"/>
        </w:rPr>
        <w:t xml:space="preserve">1 </w:t>
      </w:r>
      <w:r w:rsidR="007241A7">
        <w:rPr>
          <w:szCs w:val="22"/>
        </w:rPr>
        <w:t xml:space="preserve">dávka </w:t>
      </w:r>
      <w:r>
        <w:rPr>
          <w:szCs w:val="22"/>
        </w:rPr>
        <w:t>(</w:t>
      </w:r>
      <w:r w:rsidR="007241A7">
        <w:rPr>
          <w:szCs w:val="22"/>
        </w:rPr>
        <w:t>1 ml</w:t>
      </w:r>
      <w:r>
        <w:rPr>
          <w:szCs w:val="22"/>
        </w:rPr>
        <w:t>)</w:t>
      </w:r>
      <w:r w:rsidR="007241A7">
        <w:rPr>
          <w:szCs w:val="22"/>
        </w:rPr>
        <w:t xml:space="preserve"> obsahuje: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Léčivé látky:</w:t>
      </w:r>
    </w:p>
    <w:p w:rsidR="0065239E" w:rsidRDefault="007241A7">
      <w:pPr>
        <w:pStyle w:val="Standard"/>
        <w:tabs>
          <w:tab w:val="left" w:leader="dot" w:pos="7767"/>
          <w:tab w:val="left" w:pos="8919"/>
        </w:tabs>
        <w:rPr>
          <w:szCs w:val="22"/>
          <w:u w:val="single"/>
        </w:rPr>
      </w:pPr>
      <w:proofErr w:type="spellStart"/>
      <w:r>
        <w:rPr>
          <w:szCs w:val="22"/>
          <w:u w:val="single"/>
        </w:rPr>
        <w:t>Lyofilizát</w:t>
      </w:r>
      <w:proofErr w:type="spellEnd"/>
      <w:r>
        <w:rPr>
          <w:szCs w:val="22"/>
          <w:u w:val="single"/>
        </w:rPr>
        <w:t>:</w:t>
      </w:r>
    </w:p>
    <w:p w:rsidR="0065239E" w:rsidRPr="00EA398B" w:rsidRDefault="007241A7">
      <w:pPr>
        <w:pStyle w:val="Standard"/>
        <w:tabs>
          <w:tab w:val="left" w:leader="dot" w:pos="7767"/>
          <w:tab w:val="left" w:pos="8222"/>
        </w:tabs>
      </w:pPr>
      <w:r w:rsidRPr="00EA398B">
        <w:rPr>
          <w:szCs w:val="22"/>
        </w:rPr>
        <w:t xml:space="preserve">Virus </w:t>
      </w:r>
      <w:proofErr w:type="spellStart"/>
      <w:r w:rsidRPr="00EA398B">
        <w:rPr>
          <w:szCs w:val="22"/>
        </w:rPr>
        <w:t>parainfluensis</w:t>
      </w:r>
      <w:proofErr w:type="spellEnd"/>
      <w:r w:rsidRPr="00EA398B">
        <w:rPr>
          <w:szCs w:val="22"/>
        </w:rPr>
        <w:t xml:space="preserve"> </w:t>
      </w:r>
      <w:proofErr w:type="spellStart"/>
      <w:r w:rsidRPr="00EA398B">
        <w:rPr>
          <w:szCs w:val="22"/>
        </w:rPr>
        <w:t>canis</w:t>
      </w:r>
      <w:proofErr w:type="spellEnd"/>
      <w:r w:rsidRPr="00EA398B">
        <w:rPr>
          <w:szCs w:val="22"/>
        </w:rPr>
        <w:t xml:space="preserve"> (</w:t>
      </w:r>
      <w:proofErr w:type="spellStart"/>
      <w:r w:rsidRPr="00EA398B">
        <w:rPr>
          <w:szCs w:val="22"/>
        </w:rPr>
        <w:t>CPiV</w:t>
      </w:r>
      <w:proofErr w:type="spellEnd"/>
      <w:r w:rsidRPr="00EA398B">
        <w:rPr>
          <w:szCs w:val="22"/>
        </w:rPr>
        <w:t>), kmen Manhattan                           10</w:t>
      </w:r>
      <w:r w:rsidRPr="00EA398B">
        <w:rPr>
          <w:caps/>
          <w:szCs w:val="22"/>
          <w:vertAlign w:val="superscript"/>
        </w:rPr>
        <w:t>4,8</w:t>
      </w:r>
      <w:r w:rsidRPr="00EA398B">
        <w:rPr>
          <w:caps/>
          <w:szCs w:val="22"/>
        </w:rPr>
        <w:t xml:space="preserve"> - 10</w:t>
      </w:r>
      <w:r w:rsidRPr="00EA398B">
        <w:rPr>
          <w:caps/>
          <w:szCs w:val="22"/>
          <w:vertAlign w:val="superscript"/>
        </w:rPr>
        <w:t xml:space="preserve">6,9   </w:t>
      </w:r>
      <w:r w:rsidRPr="00EA398B">
        <w:rPr>
          <w:szCs w:val="22"/>
        </w:rPr>
        <w:t>TCID</w:t>
      </w:r>
      <w:r w:rsidRPr="00EA398B">
        <w:rPr>
          <w:caps/>
          <w:szCs w:val="22"/>
          <w:vertAlign w:val="subscript"/>
        </w:rPr>
        <w:t>50</w:t>
      </w:r>
      <w:r w:rsidRPr="00EA398B">
        <w:rPr>
          <w:szCs w:val="22"/>
        </w:rPr>
        <w:t>*</w:t>
      </w:r>
    </w:p>
    <w:p w:rsidR="0065239E" w:rsidRPr="00EA398B" w:rsidRDefault="0065239E">
      <w:pPr>
        <w:pStyle w:val="Standard"/>
        <w:tabs>
          <w:tab w:val="left" w:leader="dot" w:pos="7767"/>
          <w:tab w:val="left" w:pos="8222"/>
        </w:tabs>
        <w:rPr>
          <w:caps/>
          <w:szCs w:val="22"/>
        </w:rPr>
      </w:pPr>
    </w:p>
    <w:p w:rsidR="0065239E" w:rsidRDefault="007241A7">
      <w:pPr>
        <w:pStyle w:val="Standard"/>
        <w:rPr>
          <w:szCs w:val="22"/>
        </w:rPr>
      </w:pPr>
      <w:r w:rsidRPr="00EA398B">
        <w:rPr>
          <w:szCs w:val="22"/>
        </w:rPr>
        <w:t xml:space="preserve">* 50% infekční dávka pro </w:t>
      </w:r>
      <w:r w:rsidR="00EA398B">
        <w:rPr>
          <w:szCs w:val="22"/>
        </w:rPr>
        <w:t>tkáňové</w:t>
      </w:r>
      <w:r w:rsidR="00EA398B" w:rsidRPr="00EA398B">
        <w:rPr>
          <w:szCs w:val="22"/>
        </w:rPr>
        <w:t xml:space="preserve"> </w:t>
      </w:r>
      <w:r w:rsidRPr="00EA398B">
        <w:rPr>
          <w:szCs w:val="22"/>
        </w:rPr>
        <w:t>kultury</w:t>
      </w:r>
    </w:p>
    <w:p w:rsidR="0065239E" w:rsidRDefault="0065239E">
      <w:pPr>
        <w:pStyle w:val="Standard"/>
        <w:tabs>
          <w:tab w:val="left" w:leader="dot" w:pos="7767"/>
          <w:tab w:val="left" w:pos="8222"/>
        </w:tabs>
        <w:rPr>
          <w:caps/>
          <w:szCs w:val="22"/>
        </w:rPr>
      </w:pPr>
    </w:p>
    <w:p w:rsidR="0065239E" w:rsidRDefault="00BA33D1">
      <w:pPr>
        <w:pStyle w:val="Nadpis1"/>
        <w:spacing w:after="0"/>
      </w:pPr>
      <w:r w:rsidRPr="00F5569B">
        <w:rPr>
          <w:b w:val="0"/>
          <w:caps w:val="0"/>
          <w:sz w:val="22"/>
          <w:szCs w:val="22"/>
          <w:u w:val="single"/>
          <w:lang w:val="cs-CZ"/>
        </w:rPr>
        <w:t>Suspenze</w:t>
      </w:r>
      <w:r w:rsidR="007241A7">
        <w:rPr>
          <w:b w:val="0"/>
          <w:sz w:val="22"/>
          <w:szCs w:val="22"/>
          <w:u w:val="single"/>
          <w:lang w:val="cs-CZ"/>
        </w:rPr>
        <w:t>:</w:t>
      </w:r>
    </w:p>
    <w:p w:rsidR="0065239E" w:rsidRDefault="007241A7">
      <w:pPr>
        <w:pStyle w:val="Nadpis2"/>
        <w:spacing w:before="0" w:after="0"/>
        <w:ind w:left="0" w:firstLine="0"/>
      </w:pPr>
      <w:r>
        <w:rPr>
          <w:rFonts w:ascii="Times New Roman" w:hAnsi="Times New Roman"/>
          <w:b w:val="0"/>
          <w:sz w:val="22"/>
          <w:szCs w:val="22"/>
        </w:rPr>
        <w:t xml:space="preserve">Leptospira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interrogans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, sérová skupina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Canicola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sérovar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Canicola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BE7377">
        <w:rPr>
          <w:rFonts w:ascii="Times New Roman" w:hAnsi="Times New Roman"/>
          <w:b w:val="0"/>
          <w:i w:val="0"/>
          <w:sz w:val="22"/>
          <w:szCs w:val="22"/>
        </w:rPr>
        <w:t>inaktivovaná</w:t>
      </w:r>
      <w:r>
        <w:rPr>
          <w:rFonts w:ascii="Times New Roman" w:hAnsi="Times New Roman"/>
          <w:b w:val="0"/>
          <w:i w:val="0"/>
          <w:sz w:val="22"/>
          <w:szCs w:val="22"/>
        </w:rPr>
        <w:t>, kmen 601903</w:t>
      </w:r>
      <w:r>
        <w:rPr>
          <w:rFonts w:ascii="Times New Roman" w:hAnsi="Times New Roman"/>
          <w:b w:val="0"/>
          <w:i w:val="0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  <w:u w:val="single"/>
        </w:rPr>
        <w:t>&gt;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80% ochranná dávka **</w:t>
      </w:r>
    </w:p>
    <w:p w:rsidR="0065239E" w:rsidRDefault="007241A7">
      <w:pPr>
        <w:pStyle w:val="Nadpis2"/>
        <w:spacing w:before="0"/>
        <w:ind w:left="0" w:firstLine="0"/>
      </w:pPr>
      <w:r>
        <w:rPr>
          <w:rFonts w:ascii="Times New Roman" w:hAnsi="Times New Roman"/>
          <w:b w:val="0"/>
          <w:sz w:val="22"/>
          <w:szCs w:val="22"/>
        </w:rPr>
        <w:t xml:space="preserve">Leptospira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interrogans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, sérová skupina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Icterohaemorrhagiae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sérovar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Icterohaemorrhagiae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BE7377">
        <w:rPr>
          <w:rFonts w:ascii="Times New Roman" w:hAnsi="Times New Roman"/>
          <w:b w:val="0"/>
          <w:i w:val="0"/>
          <w:sz w:val="22"/>
          <w:szCs w:val="22"/>
        </w:rPr>
        <w:t>inaktivovaná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, kmen 601895 </w:t>
      </w:r>
      <w:r>
        <w:rPr>
          <w:rFonts w:ascii="Times New Roman" w:hAnsi="Times New Roman"/>
          <w:sz w:val="22"/>
          <w:szCs w:val="22"/>
          <w:u w:val="single"/>
        </w:rPr>
        <w:t>&gt;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80% ochranná dávka **</w:t>
      </w:r>
      <w:r>
        <w:rPr>
          <w:rFonts w:ascii="Times New Roman" w:hAnsi="Times New Roman"/>
          <w:b w:val="0"/>
          <w:i w:val="0"/>
          <w:sz w:val="22"/>
          <w:szCs w:val="22"/>
        </w:rPr>
        <w:br/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** dle monografie 447 evropského lékopisu, zkouška účinnosti na křečcích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</w:rPr>
      </w:pP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>: Bílá peleta.</w:t>
      </w:r>
    </w:p>
    <w:p w:rsidR="0065239E" w:rsidRDefault="002F3A48">
      <w:pPr>
        <w:pStyle w:val="Standard"/>
        <w:rPr>
          <w:szCs w:val="22"/>
        </w:rPr>
      </w:pPr>
      <w:r>
        <w:rPr>
          <w:szCs w:val="22"/>
        </w:rPr>
        <w:t>Suspenze</w:t>
      </w:r>
      <w:r w:rsidR="007241A7">
        <w:rPr>
          <w:szCs w:val="22"/>
        </w:rPr>
        <w:t>: Průhledná tekutina.</w:t>
      </w:r>
    </w:p>
    <w:p w:rsidR="0065239E" w:rsidRDefault="0065239E">
      <w:pPr>
        <w:pStyle w:val="Standard"/>
        <w:rPr>
          <w:szCs w:val="22"/>
        </w:rPr>
      </w:pP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u w:val="single"/>
        </w:rPr>
        <w:t>K aktivní imunizaci</w:t>
      </w:r>
      <w:r>
        <w:rPr>
          <w:color w:val="222222"/>
          <w:u w:val="single"/>
        </w:rPr>
        <w:t xml:space="preserve"> </w:t>
      </w:r>
      <w:r>
        <w:rPr>
          <w:rStyle w:val="hps"/>
          <w:color w:val="222222"/>
          <w:u w:val="single"/>
        </w:rPr>
        <w:t>psů od</w:t>
      </w:r>
      <w:r>
        <w:rPr>
          <w:color w:val="222222"/>
          <w:u w:val="single"/>
        </w:rPr>
        <w:t xml:space="preserve"> </w:t>
      </w:r>
      <w:r>
        <w:rPr>
          <w:rStyle w:val="hps"/>
          <w:color w:val="222222"/>
          <w:u w:val="single"/>
        </w:rPr>
        <w:t>8 týdnů věku:</w:t>
      </w:r>
      <w:r>
        <w:rPr>
          <w:rStyle w:val="hps"/>
          <w:color w:val="222222"/>
          <w:u w:val="single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ke </w:t>
      </w:r>
      <w:r>
        <w:rPr>
          <w:rStyle w:val="hps"/>
          <w:color w:val="222222"/>
        </w:rPr>
        <w:t>snížení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respiračních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klinických příznaků 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viru</w:t>
      </w:r>
      <w:r>
        <w:rPr>
          <w:color w:val="222222"/>
        </w:rPr>
        <w:t xml:space="preserve"> </w:t>
      </w:r>
      <w:proofErr w:type="spellStart"/>
      <w:r>
        <w:rPr>
          <w:rStyle w:val="hps"/>
          <w:color w:val="222222"/>
        </w:rPr>
        <w:t>parainfluenzy</w:t>
      </w:r>
      <w:proofErr w:type="spellEnd"/>
      <w:r>
        <w:rPr>
          <w:rStyle w:val="hps"/>
          <w:color w:val="222222"/>
        </w:rPr>
        <w:t xml:space="preserve"> psů;</w:t>
      </w:r>
      <w:r>
        <w:rPr>
          <w:rStyle w:val="hps"/>
          <w:color w:val="222222"/>
        </w:rPr>
        <w:br/>
        <w:t>-</w:t>
      </w:r>
      <w:r>
        <w:rPr>
          <w:color w:val="222222"/>
        </w:rPr>
        <w:t xml:space="preserve"> k </w:t>
      </w:r>
      <w:r>
        <w:rPr>
          <w:rStyle w:val="hps"/>
          <w:color w:val="222222"/>
        </w:rPr>
        <w:t>prevenci mortality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snížení infekce</w:t>
      </w:r>
      <w:r>
        <w:rPr>
          <w:color w:val="222222"/>
        </w:rPr>
        <w:t xml:space="preserve">, klinických příznaků, </w:t>
      </w:r>
      <w:r>
        <w:rPr>
          <w:rStyle w:val="hps"/>
          <w:color w:val="222222"/>
        </w:rPr>
        <w:t>kolonizace ledvin,</w:t>
      </w:r>
      <w:r>
        <w:rPr>
          <w:color w:val="222222"/>
        </w:rPr>
        <w:t xml:space="preserve"> l</w:t>
      </w:r>
      <w:r>
        <w:rPr>
          <w:rStyle w:val="hps"/>
          <w:color w:val="222222"/>
        </w:rPr>
        <w:t>ézí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v</w:t>
      </w:r>
      <w:r>
        <w:rPr>
          <w:rStyle w:val="hps"/>
          <w:color w:val="222222"/>
        </w:rPr>
        <w:t>ylučování močí v případě infekce</w:t>
      </w:r>
      <w:r>
        <w:rPr>
          <w:i/>
          <w:color w:val="222222"/>
        </w:rPr>
        <w:t xml:space="preserve"> 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color w:val="222222"/>
        </w:rPr>
        <w:t>;</w:t>
      </w:r>
      <w:r>
        <w:rPr>
          <w:color w:val="222222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ke </w:t>
      </w:r>
      <w:r>
        <w:rPr>
          <w:rStyle w:val="hps"/>
          <w:color w:val="222222"/>
        </w:rPr>
        <w:t>snížení infekce</w:t>
      </w:r>
      <w:r>
        <w:rPr>
          <w:color w:val="222222"/>
        </w:rPr>
        <w:t xml:space="preserve">, klinických příznaků, </w:t>
      </w:r>
      <w:r>
        <w:rPr>
          <w:rStyle w:val="hps"/>
          <w:color w:val="222222"/>
        </w:rPr>
        <w:t>kolonizace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močí v případě infekce</w:t>
      </w:r>
      <w:r>
        <w:rPr>
          <w:color w:val="222222"/>
        </w:rPr>
        <w:t xml:space="preserve"> </w:t>
      </w:r>
      <w:r>
        <w:rPr>
          <w:i/>
          <w:szCs w:val="22"/>
        </w:rPr>
        <w:t>Leptospira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Icterohaemorrhagiae</w:t>
      </w:r>
      <w:proofErr w:type="spellEnd"/>
      <w:r>
        <w:rPr>
          <w:u w:val="single"/>
        </w:rPr>
        <w:t>.</w:t>
      </w:r>
    </w:p>
    <w:p w:rsidR="0065239E" w:rsidRDefault="0065239E">
      <w:pPr>
        <w:pStyle w:val="Standard"/>
        <w:ind w:left="0" w:firstLine="0"/>
        <w:rPr>
          <w:u w:val="single"/>
        </w:rPr>
      </w:pPr>
    </w:p>
    <w:p w:rsidR="0065239E" w:rsidRDefault="007241A7">
      <w:pPr>
        <w:pStyle w:val="Standard"/>
        <w:ind w:left="0" w:firstLine="0"/>
        <w:rPr>
          <w:u w:val="single"/>
        </w:rPr>
      </w:pPr>
      <w:r>
        <w:rPr>
          <w:u w:val="single"/>
        </w:rPr>
        <w:t>Nástup imunity:</w:t>
      </w:r>
    </w:p>
    <w:p w:rsidR="0065239E" w:rsidRDefault="007241A7">
      <w:pPr>
        <w:pStyle w:val="Standard"/>
        <w:ind w:left="0" w:firstLine="0"/>
      </w:pPr>
      <w:r>
        <w:t xml:space="preserve">Nástup imunity byl prokázán po 4 týdnech po </w:t>
      </w:r>
      <w:proofErr w:type="spellStart"/>
      <w:r>
        <w:t>primovakcinaci</w:t>
      </w:r>
      <w:proofErr w:type="spellEnd"/>
      <w:r>
        <w:t xml:space="preserve"> u </w:t>
      </w:r>
      <w:proofErr w:type="spellStart"/>
      <w:r>
        <w:t>parainfluenzy</w:t>
      </w:r>
      <w:proofErr w:type="spellEnd"/>
      <w:r>
        <w:t xml:space="preserve"> psů,  po 5 týdnech u </w:t>
      </w:r>
      <w:r>
        <w:rPr>
          <w:i/>
          <w:color w:val="222222"/>
        </w:rPr>
        <w:t xml:space="preserve">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i/>
        </w:rPr>
        <w:t xml:space="preserve"> </w:t>
      </w:r>
      <w:r>
        <w:t xml:space="preserve">a po 2 týdnech u </w:t>
      </w:r>
      <w:proofErr w:type="gramStart"/>
      <w:r>
        <w:rPr>
          <w:i/>
          <w:szCs w:val="22"/>
        </w:rPr>
        <w:t>Leptospira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Icterohaemorrhagiae</w:t>
      </w:r>
      <w:proofErr w:type="spellEnd"/>
      <w:r>
        <w:rPr>
          <w:i/>
        </w:rPr>
        <w:t>.</w:t>
      </w:r>
    </w:p>
    <w:p w:rsidR="0065239E" w:rsidRDefault="0065239E">
      <w:pPr>
        <w:pStyle w:val="Standard"/>
      </w:pPr>
    </w:p>
    <w:p w:rsidR="0065239E" w:rsidRDefault="007241A7">
      <w:pPr>
        <w:pStyle w:val="Standard"/>
        <w:rPr>
          <w:u w:val="single"/>
        </w:rPr>
      </w:pPr>
      <w:r>
        <w:rPr>
          <w:u w:val="single"/>
        </w:rPr>
        <w:t>Doba trvání imunity:</w:t>
      </w:r>
    </w:p>
    <w:p w:rsidR="0065239E" w:rsidRDefault="007241A7">
      <w:pPr>
        <w:pStyle w:val="Standard"/>
      </w:pPr>
      <w:r>
        <w:t xml:space="preserve">Doba trvání imunity je jeden rok po </w:t>
      </w:r>
      <w:proofErr w:type="spellStart"/>
      <w:r>
        <w:t>primovakcinaci</w:t>
      </w:r>
      <w:proofErr w:type="spellEnd"/>
      <w:r>
        <w:t xml:space="preserve"> u všech složek.</w:t>
      </w: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</w:rPr>
        <w:lastRenderedPageBreak/>
        <w:t>Ve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studiích ročního trvání imunity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nebyl zjištěn žádný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významný rozdíl mezi</w:t>
      </w:r>
      <w:r>
        <w:rPr>
          <w:color w:val="222222"/>
        </w:rPr>
        <w:t xml:space="preserve"> skupinou </w:t>
      </w:r>
      <w:r>
        <w:rPr>
          <w:rStyle w:val="hps"/>
          <w:color w:val="222222"/>
        </w:rPr>
        <w:t>vakcinovaných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kontrolních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psů ve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viru pro</w:t>
      </w:r>
      <w:r>
        <w:rPr>
          <w:color w:val="222222"/>
        </w:rPr>
        <w:t xml:space="preserve"> </w:t>
      </w:r>
      <w:proofErr w:type="spellStart"/>
      <w:r>
        <w:rPr>
          <w:rStyle w:val="hps"/>
          <w:color w:val="222222"/>
        </w:rPr>
        <w:t>CPiV</w:t>
      </w:r>
      <w:proofErr w:type="spellEnd"/>
      <w:r>
        <w:rPr>
          <w:color w:val="222222"/>
        </w:rPr>
        <w:t xml:space="preserve">, </w:t>
      </w:r>
      <w:r>
        <w:rPr>
          <w:rStyle w:val="hps"/>
          <w:color w:val="222222"/>
        </w:rPr>
        <w:t>ve snížení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kolonizace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 pro</w:t>
      </w:r>
      <w:r>
        <w:rPr>
          <w:color w:val="222222"/>
        </w:rPr>
        <w:t xml:space="preserve"> </w:t>
      </w:r>
      <w:r>
        <w:rPr>
          <w:i/>
          <w:color w:val="222222"/>
        </w:rPr>
        <w:t xml:space="preserve">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i/>
        </w:rPr>
        <w:t xml:space="preserve"> </w:t>
      </w:r>
      <w:r>
        <w:rPr>
          <w:rStyle w:val="hps"/>
          <w:color w:val="222222"/>
        </w:rPr>
        <w:t xml:space="preserve">a </w:t>
      </w:r>
      <w:r>
        <w:rPr>
          <w:i/>
          <w:szCs w:val="22"/>
        </w:rPr>
        <w:t>Leptospira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Icterohaemorrhagiae</w:t>
      </w:r>
      <w:proofErr w:type="spellEnd"/>
      <w:r>
        <w:rPr>
          <w:color w:val="222222"/>
        </w:rPr>
        <w:t xml:space="preserve">, </w:t>
      </w:r>
      <w:r>
        <w:rPr>
          <w:rStyle w:val="hps"/>
          <w:color w:val="222222"/>
        </w:rPr>
        <w:t>ani</w:t>
      </w:r>
      <w:r>
        <w:rPr>
          <w:color w:val="222222"/>
        </w:rPr>
        <w:t xml:space="preserve"> ve snížení </w:t>
      </w:r>
      <w:r>
        <w:rPr>
          <w:rStyle w:val="hps"/>
          <w:color w:val="222222"/>
        </w:rPr>
        <w:t>ledvinových lézí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 xml:space="preserve">a vylučování </w:t>
      </w:r>
      <w:r>
        <w:rPr>
          <w:i/>
          <w:color w:val="222222"/>
        </w:rPr>
        <w:t xml:space="preserve">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i/>
        </w:rPr>
        <w:t xml:space="preserve"> </w:t>
      </w:r>
      <w:r>
        <w:rPr>
          <w:rStyle w:val="hps"/>
          <w:color w:val="222222"/>
        </w:rPr>
        <w:t>močí</w:t>
      </w:r>
      <w:r>
        <w:rPr>
          <w:color w:val="222222"/>
        </w:rPr>
        <w:t>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 xml:space="preserve"> </w:t>
      </w: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KONTRAINDIKACE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Nejsou.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szCs w:val="22"/>
        </w:rPr>
        <w:t>Ve studiích bezpečnosti byl často pozorován přechodný otok (≤ 4 cm) nebo mírný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difuzní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lokální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edém, který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spontánně vymizí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během 1 až 2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týdnů. Ve vzácných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případech</w:t>
      </w:r>
      <w:r>
        <w:rPr>
          <w:color w:val="222222"/>
          <w:szCs w:val="22"/>
        </w:rPr>
        <w:t xml:space="preserve"> byl </w:t>
      </w:r>
      <w:r>
        <w:rPr>
          <w:rStyle w:val="hps"/>
          <w:color w:val="222222"/>
          <w:szCs w:val="22"/>
        </w:rPr>
        <w:t>spojený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bolestí 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svěděním.</w:t>
      </w: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szCs w:val="22"/>
        </w:rPr>
        <w:t xml:space="preserve">V klinických studiích byly </w:t>
      </w:r>
      <w:r w:rsidR="002F3A48">
        <w:rPr>
          <w:rStyle w:val="hps"/>
          <w:color w:val="222222"/>
          <w:szCs w:val="22"/>
        </w:rPr>
        <w:t xml:space="preserve">často </w:t>
      </w:r>
      <w:r>
        <w:rPr>
          <w:rStyle w:val="hps"/>
          <w:color w:val="222222"/>
          <w:szCs w:val="22"/>
        </w:rPr>
        <w:t>pozorovány přechodné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post-</w:t>
      </w:r>
      <w:r>
        <w:rPr>
          <w:color w:val="222222"/>
          <w:szCs w:val="22"/>
        </w:rPr>
        <w:t xml:space="preserve">vakcinační </w:t>
      </w:r>
      <w:r>
        <w:rPr>
          <w:rStyle w:val="hps"/>
          <w:color w:val="222222"/>
          <w:szCs w:val="22"/>
        </w:rPr>
        <w:t>letargické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stavy.</w:t>
      </w: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szCs w:val="22"/>
        </w:rPr>
        <w:t>Ve vzácných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případech</w:t>
      </w:r>
      <w:r>
        <w:rPr>
          <w:color w:val="222222"/>
          <w:szCs w:val="22"/>
        </w:rPr>
        <w:t xml:space="preserve"> byly z klinických studií hlášeny </w:t>
      </w:r>
      <w:r>
        <w:rPr>
          <w:rStyle w:val="hps"/>
          <w:color w:val="222222"/>
          <w:szCs w:val="22"/>
        </w:rPr>
        <w:t>hypertermie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zažívací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poruchy</w:t>
      </w:r>
      <w:r>
        <w:rPr>
          <w:color w:val="222222"/>
          <w:szCs w:val="22"/>
        </w:rPr>
        <w:t xml:space="preserve">, jako je </w:t>
      </w:r>
      <w:r>
        <w:rPr>
          <w:rStyle w:val="hps"/>
          <w:color w:val="222222"/>
          <w:szCs w:val="22"/>
        </w:rPr>
        <w:t>anorexie</w:t>
      </w:r>
      <w:r>
        <w:rPr>
          <w:color w:val="222222"/>
          <w:szCs w:val="22"/>
        </w:rPr>
        <w:t xml:space="preserve">, průjem </w:t>
      </w:r>
      <w:r>
        <w:rPr>
          <w:rStyle w:val="hps"/>
          <w:color w:val="222222"/>
          <w:szCs w:val="22"/>
        </w:rPr>
        <w:t>nebo zvracení.</w:t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Velmi vzácně byly spontánně hlášeny hypersenzitivní reakce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 takové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alergické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anafylaktické reakce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 měla být podána adekvátní symptomatická léčba</w:t>
      </w:r>
      <w:r>
        <w:rPr>
          <w:color w:val="222222"/>
          <w:szCs w:val="22"/>
        </w:rPr>
        <w:t>.</w:t>
      </w:r>
    </w:p>
    <w:p w:rsidR="0065239E" w:rsidRDefault="0065239E">
      <w:pPr>
        <w:pStyle w:val="BodyText31"/>
        <w:widowControl/>
        <w:tabs>
          <w:tab w:val="clear" w:pos="7200"/>
          <w:tab w:val="clear" w:pos="7655"/>
        </w:tabs>
        <w:jc w:val="left"/>
      </w:pPr>
    </w:p>
    <w:p w:rsidR="0065239E" w:rsidRDefault="007241A7">
      <w:pPr>
        <w:pStyle w:val="BodyText31"/>
        <w:widowControl/>
        <w:tabs>
          <w:tab w:val="clear" w:pos="7200"/>
          <w:tab w:val="clear" w:pos="7655"/>
        </w:tabs>
        <w:jc w:val="left"/>
      </w:pPr>
      <w:r>
        <w:rPr>
          <w:rStyle w:val="hps"/>
          <w:rFonts w:ascii="Times New Roman" w:hAnsi="Times New Roman"/>
          <w:color w:val="222222"/>
          <w:sz w:val="22"/>
          <w:szCs w:val="22"/>
        </w:rPr>
        <w:t>Četnost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nežádoucích účinků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je charakterizována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podle následujících pravidel</w:t>
      </w:r>
      <w:r>
        <w:rPr>
          <w:rFonts w:ascii="Times New Roman" w:hAnsi="Times New Roman"/>
          <w:color w:val="222222"/>
          <w:sz w:val="22"/>
          <w:szCs w:val="22"/>
        </w:rPr>
        <w:t>:</w:t>
      </w:r>
      <w:r>
        <w:rPr>
          <w:rFonts w:ascii="Times New Roman" w:hAnsi="Times New Roman"/>
          <w:color w:val="222222"/>
          <w:sz w:val="22"/>
          <w:szCs w:val="22"/>
        </w:rPr>
        <w:br/>
      </w:r>
      <w:r>
        <w:rPr>
          <w:rStyle w:val="hps"/>
          <w:rFonts w:ascii="Times New Roman" w:hAnsi="Times New Roman"/>
          <w:color w:val="222222"/>
          <w:sz w:val="22"/>
          <w:szCs w:val="22"/>
        </w:rPr>
        <w:t>-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Velmi časté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(</w:t>
      </w:r>
      <w:r>
        <w:rPr>
          <w:rFonts w:ascii="Times New Roman" w:hAnsi="Times New Roman"/>
          <w:color w:val="222222"/>
          <w:sz w:val="22"/>
          <w:szCs w:val="22"/>
        </w:rPr>
        <w:t xml:space="preserve">více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 z 10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zvířat, která vykazují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nežádoucí účinky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v průběhu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jednoho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ošetření</w:t>
      </w:r>
      <w:r>
        <w:rPr>
          <w:rFonts w:ascii="Times New Roman" w:hAnsi="Times New Roman"/>
          <w:color w:val="222222"/>
          <w:sz w:val="22"/>
          <w:szCs w:val="22"/>
        </w:rPr>
        <w:t>)</w:t>
      </w:r>
      <w:r>
        <w:rPr>
          <w:rFonts w:ascii="Times New Roman" w:hAnsi="Times New Roman"/>
          <w:color w:val="222222"/>
          <w:sz w:val="22"/>
          <w:szCs w:val="22"/>
        </w:rPr>
        <w:br/>
      </w:r>
      <w:r>
        <w:rPr>
          <w:rStyle w:val="hps"/>
          <w:rFonts w:ascii="Times New Roman" w:hAnsi="Times New Roman"/>
          <w:color w:val="222222"/>
          <w:sz w:val="22"/>
          <w:szCs w:val="22"/>
        </w:rPr>
        <w:t>-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 xml:space="preserve">Časté (u </w:t>
      </w:r>
      <w:r>
        <w:rPr>
          <w:rFonts w:ascii="Times New Roman" w:hAnsi="Times New Roman"/>
          <w:color w:val="222222"/>
          <w:sz w:val="22"/>
          <w:szCs w:val="22"/>
        </w:rPr>
        <w:t xml:space="preserve">více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</w:t>
      </w:r>
      <w:r>
        <w:rPr>
          <w:rFonts w:ascii="Times New Roman" w:hAnsi="Times New Roman"/>
          <w:color w:val="222222"/>
          <w:sz w:val="22"/>
          <w:szCs w:val="22"/>
        </w:rPr>
        <w:t xml:space="preserve">, ale méně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10 zvířat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ze 100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zvířat</w:t>
      </w:r>
      <w:r>
        <w:rPr>
          <w:rFonts w:ascii="Times New Roman" w:hAnsi="Times New Roman"/>
          <w:color w:val="222222"/>
          <w:sz w:val="22"/>
          <w:szCs w:val="22"/>
        </w:rPr>
        <w:t>)</w:t>
      </w:r>
      <w:r>
        <w:rPr>
          <w:rFonts w:ascii="Times New Roman" w:hAnsi="Times New Roman"/>
          <w:color w:val="222222"/>
          <w:sz w:val="22"/>
          <w:szCs w:val="22"/>
        </w:rPr>
        <w:br/>
      </w:r>
      <w:r>
        <w:rPr>
          <w:rStyle w:val="hps"/>
          <w:rFonts w:ascii="Times New Roman" w:hAnsi="Times New Roman"/>
          <w:color w:val="222222"/>
          <w:sz w:val="22"/>
          <w:szCs w:val="22"/>
        </w:rPr>
        <w:t>-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Neobvyklé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 xml:space="preserve">(u </w:t>
      </w:r>
      <w:r>
        <w:rPr>
          <w:rFonts w:ascii="Times New Roman" w:hAnsi="Times New Roman"/>
          <w:color w:val="222222"/>
          <w:sz w:val="22"/>
          <w:szCs w:val="22"/>
        </w:rPr>
        <w:t xml:space="preserve">více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</w:t>
      </w:r>
      <w:r>
        <w:rPr>
          <w:rFonts w:ascii="Times New Roman" w:hAnsi="Times New Roman"/>
          <w:color w:val="222222"/>
          <w:sz w:val="22"/>
          <w:szCs w:val="22"/>
        </w:rPr>
        <w:t xml:space="preserve">, ale méně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10 zvířat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 1000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zvířat</w:t>
      </w:r>
      <w:r>
        <w:rPr>
          <w:rFonts w:ascii="Times New Roman" w:hAnsi="Times New Roman"/>
          <w:color w:val="222222"/>
          <w:sz w:val="22"/>
          <w:szCs w:val="22"/>
        </w:rPr>
        <w:t>)</w:t>
      </w:r>
      <w:r>
        <w:rPr>
          <w:rFonts w:ascii="Times New Roman" w:hAnsi="Times New Roman"/>
          <w:color w:val="222222"/>
          <w:sz w:val="22"/>
          <w:szCs w:val="22"/>
        </w:rPr>
        <w:br/>
      </w:r>
      <w:r>
        <w:rPr>
          <w:rStyle w:val="hps"/>
          <w:rFonts w:ascii="Times New Roman" w:hAnsi="Times New Roman"/>
          <w:color w:val="222222"/>
          <w:sz w:val="22"/>
          <w:szCs w:val="22"/>
        </w:rPr>
        <w:t>-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Vzácné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(u více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</w:t>
      </w:r>
      <w:r>
        <w:rPr>
          <w:rFonts w:ascii="Times New Roman" w:hAnsi="Times New Roman"/>
          <w:color w:val="222222"/>
          <w:sz w:val="22"/>
          <w:szCs w:val="22"/>
        </w:rPr>
        <w:t xml:space="preserve">, ale méně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10 zvířat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 10 000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zvířat</w:t>
      </w:r>
      <w:r>
        <w:rPr>
          <w:rFonts w:ascii="Times New Roman" w:hAnsi="Times New Roman"/>
          <w:color w:val="222222"/>
          <w:sz w:val="22"/>
          <w:szCs w:val="22"/>
        </w:rPr>
        <w:t>)</w:t>
      </w:r>
      <w:r>
        <w:rPr>
          <w:rFonts w:ascii="Times New Roman" w:hAnsi="Times New Roman"/>
          <w:color w:val="222222"/>
          <w:sz w:val="22"/>
          <w:szCs w:val="22"/>
        </w:rPr>
        <w:br/>
      </w:r>
      <w:r>
        <w:rPr>
          <w:rStyle w:val="hps"/>
          <w:rFonts w:ascii="Times New Roman" w:hAnsi="Times New Roman"/>
          <w:color w:val="222222"/>
          <w:sz w:val="22"/>
          <w:szCs w:val="22"/>
        </w:rPr>
        <w:t>-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Velmi vzácné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 xml:space="preserve">(u </w:t>
      </w:r>
      <w:r>
        <w:rPr>
          <w:rFonts w:ascii="Times New Roman" w:hAnsi="Times New Roman"/>
          <w:color w:val="222222"/>
          <w:sz w:val="22"/>
          <w:szCs w:val="22"/>
        </w:rPr>
        <w:t xml:space="preserve">méně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1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zvířete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 10 000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zvířat</w:t>
      </w:r>
      <w:r>
        <w:rPr>
          <w:rFonts w:ascii="Times New Roman" w:hAnsi="Times New Roman"/>
          <w:color w:val="222222"/>
          <w:sz w:val="22"/>
          <w:szCs w:val="22"/>
        </w:rPr>
        <w:t xml:space="preserve">,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včetně ojedinělých hlášení</w:t>
      </w:r>
      <w:r>
        <w:rPr>
          <w:rFonts w:ascii="Times New Roman" w:hAnsi="Times New Roman"/>
          <w:color w:val="222222"/>
          <w:sz w:val="22"/>
          <w:szCs w:val="22"/>
        </w:rPr>
        <w:t>).</w:t>
      </w:r>
    </w:p>
    <w:p w:rsidR="0065239E" w:rsidRDefault="0065239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color w:val="222222"/>
          <w:sz w:val="22"/>
          <w:szCs w:val="22"/>
        </w:rPr>
      </w:pPr>
    </w:p>
    <w:p w:rsidR="0065239E" w:rsidRDefault="007241A7">
      <w:pPr>
        <w:pStyle w:val="BodyText31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Jestliže zaznamenáte jakékoliv závažné nežádoucí účinky či jiné reakce, které nejsou uvedeny v této</w:t>
      </w:r>
    </w:p>
    <w:p w:rsidR="0065239E" w:rsidRDefault="007241A7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příbalové informaci, oznamte to prosím svému veterinárnímu lékaři.</w:t>
      </w:r>
    </w:p>
    <w:p w:rsidR="0065239E" w:rsidRDefault="0065239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65239E" w:rsidRDefault="0065239E">
      <w:pPr>
        <w:pStyle w:val="Standard"/>
        <w:rPr>
          <w:szCs w:val="22"/>
        </w:rPr>
      </w:pPr>
    </w:p>
    <w:p w:rsidR="0065239E" w:rsidRDefault="002F3A48">
      <w:pPr>
        <w:pStyle w:val="Standard"/>
      </w:pPr>
      <w:r>
        <w:rPr>
          <w:szCs w:val="22"/>
        </w:rPr>
        <w:t>Psi</w:t>
      </w:r>
      <w:r w:rsidR="007241A7">
        <w:rPr>
          <w:szCs w:val="22"/>
        </w:rPr>
        <w:t>.</w:t>
      </w:r>
    </w:p>
    <w:p w:rsidR="0065239E" w:rsidRDefault="0065239E">
      <w:pPr>
        <w:pStyle w:val="Standard"/>
        <w:rPr>
          <w:strike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 xml:space="preserve">DÁVKOVÁNÍ PRO KAŽDÝ DRUH, </w:t>
      </w:r>
      <w:proofErr w:type="gramStart"/>
      <w:r>
        <w:rPr>
          <w:b/>
          <w:szCs w:val="22"/>
        </w:rPr>
        <w:t>CESTA(Y) A ZPŮSOB</w:t>
      </w:r>
      <w:proofErr w:type="gramEnd"/>
      <w:r>
        <w:rPr>
          <w:b/>
          <w:szCs w:val="22"/>
        </w:rPr>
        <w:t xml:space="preserve"> PODÁNÍ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ind w:left="0" w:firstLine="0"/>
      </w:pPr>
      <w:r>
        <w:t xml:space="preserve">Po </w:t>
      </w:r>
      <w:r w:rsidR="002F3A48" w:rsidRPr="00C67FD8">
        <w:t xml:space="preserve">smíchání lyofilizované a tekuté složky </w:t>
      </w:r>
      <w:r>
        <w:t>lehce protřepejte a okamžitě podávejte jednu dávku 1 ml subkutánně dle následujícího vakcinačního schématu:</w:t>
      </w:r>
    </w:p>
    <w:p w:rsidR="0065239E" w:rsidRDefault="0065239E">
      <w:pPr>
        <w:pStyle w:val="Standard"/>
        <w:rPr>
          <w:b/>
          <w:i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proofErr w:type="spellStart"/>
      <w:r>
        <w:rPr>
          <w:szCs w:val="22"/>
          <w:u w:val="single"/>
        </w:rPr>
        <w:t>Primovakcinace</w:t>
      </w:r>
      <w:proofErr w:type="spellEnd"/>
      <w:r>
        <w:rPr>
          <w:szCs w:val="22"/>
          <w:u w:val="single"/>
        </w:rPr>
        <w:t>:</w:t>
      </w:r>
    </w:p>
    <w:p w:rsidR="0065239E" w:rsidRDefault="007241A7">
      <w:pPr>
        <w:pStyle w:val="Standard"/>
      </w:pPr>
      <w:r>
        <w:t>První vakcinace od 8 týdnů věku.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Druhá vakcinace o 3 – 4 týdny později.</w:t>
      </w:r>
    </w:p>
    <w:p w:rsidR="0065239E" w:rsidRDefault="0065239E">
      <w:pPr>
        <w:pStyle w:val="Standard"/>
        <w:rPr>
          <w:b/>
          <w:i/>
          <w:szCs w:val="22"/>
        </w:rPr>
      </w:pPr>
    </w:p>
    <w:p w:rsidR="0065239E" w:rsidRDefault="007241A7">
      <w:pPr>
        <w:pStyle w:val="Standard"/>
        <w:ind w:left="0" w:firstLine="0"/>
      </w:pPr>
      <w:r>
        <w:rPr>
          <w:rStyle w:val="hps"/>
          <w:color w:val="222222"/>
          <w:u w:val="single"/>
        </w:rPr>
        <w:t>Každoroční revakcinace</w:t>
      </w:r>
      <w:r>
        <w:rPr>
          <w:color w:val="222222"/>
          <w:u w:val="single"/>
        </w:rPr>
        <w:t>:</w:t>
      </w:r>
      <w:r>
        <w:rPr>
          <w:color w:val="222222"/>
          <w:u w:val="single"/>
        </w:rPr>
        <w:br/>
      </w:r>
      <w:r>
        <w:rPr>
          <w:rStyle w:val="hps"/>
          <w:color w:val="222222"/>
        </w:rPr>
        <w:t>Jedna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booster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injekce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jedné dávky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by měla být</w:t>
      </w:r>
      <w:r>
        <w:rPr>
          <w:color w:val="222222"/>
        </w:rPr>
        <w:t xml:space="preserve"> podána </w:t>
      </w:r>
      <w:r>
        <w:rPr>
          <w:rStyle w:val="hps"/>
          <w:color w:val="222222"/>
        </w:rPr>
        <w:t>1 rok po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druhé injekci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poté každý rok</w:t>
      </w:r>
      <w:r>
        <w:rPr>
          <w:color w:val="222222"/>
        </w:rPr>
        <w:t>.</w:t>
      </w:r>
    </w:p>
    <w:p w:rsidR="0065239E" w:rsidRDefault="0065239E">
      <w:pPr>
        <w:pStyle w:val="Standard"/>
        <w:ind w:left="0" w:firstLine="0"/>
        <w:rPr>
          <w:color w:val="222222"/>
        </w:rPr>
      </w:pPr>
    </w:p>
    <w:p w:rsidR="0065239E" w:rsidRDefault="007241A7">
      <w:pPr>
        <w:pStyle w:val="Standard"/>
        <w:ind w:left="0" w:firstLine="0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:rsidR="0065239E" w:rsidRDefault="007241A7">
      <w:pPr>
        <w:pStyle w:val="Standard"/>
        <w:ind w:left="0" w:firstLine="0"/>
      </w:pPr>
      <w:r>
        <w:rPr>
          <w:color w:val="222222"/>
        </w:rPr>
        <w:br/>
      </w:r>
      <w:r>
        <w:rPr>
          <w:rStyle w:val="hps"/>
          <w:color w:val="222222"/>
        </w:rPr>
        <w:t>Vzhled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rekonstituovaného přípravku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je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lehce nažloutle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béžový.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OCHRANNÁ LHŮTA</w:t>
      </w:r>
    </w:p>
    <w:p w:rsidR="0065239E" w:rsidRDefault="0065239E">
      <w:pPr>
        <w:pStyle w:val="Standard"/>
        <w:rPr>
          <w:szCs w:val="22"/>
        </w:rPr>
      </w:pPr>
    </w:p>
    <w:p w:rsidR="002F3A48" w:rsidRPr="008D790A" w:rsidRDefault="002F3A48" w:rsidP="002F3A48">
      <w:pPr>
        <w:widowControl/>
        <w:suppressAutoHyphens w:val="0"/>
        <w:autoSpaceDN/>
        <w:spacing w:after="0" w:line="240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8D790A">
        <w:rPr>
          <w:rFonts w:ascii="Times New Roman" w:eastAsia="Times New Roman" w:hAnsi="Times New Roman" w:cs="Times New Roman"/>
          <w:kern w:val="0"/>
        </w:rPr>
        <w:t>Není určeno pro potravinová zvířata.</w:t>
      </w:r>
    </w:p>
    <w:p w:rsidR="002F3A48" w:rsidRDefault="002F3A48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:rsidR="0065239E" w:rsidRDefault="0065239E">
      <w:pPr>
        <w:pStyle w:val="Standard"/>
        <w:rPr>
          <w:szCs w:val="22"/>
        </w:rPr>
      </w:pPr>
    </w:p>
    <w:p w:rsidR="002F3A48" w:rsidRPr="002F3A48" w:rsidRDefault="002F3A48" w:rsidP="002F3A48">
      <w:pPr>
        <w:pStyle w:val="Standard"/>
      </w:pPr>
      <w:r w:rsidRPr="002F3A48">
        <w:t>Uchovávat mimo dosah dětí.</w:t>
      </w:r>
    </w:p>
    <w:p w:rsidR="0065239E" w:rsidRDefault="007241A7">
      <w:pPr>
        <w:pStyle w:val="Standard"/>
        <w:ind w:right="-318"/>
      </w:pPr>
      <w:r>
        <w:rPr>
          <w:szCs w:val="22"/>
        </w:rPr>
        <w:t xml:space="preserve">Uchovávejte a přepravujte chlazené (2 </w:t>
      </w:r>
      <w:r>
        <w:rPr>
          <w:rFonts w:ascii="Symbol" w:hAnsi="Symbol"/>
          <w:szCs w:val="22"/>
        </w:rPr>
        <w:t></w:t>
      </w:r>
      <w:r>
        <w:rPr>
          <w:szCs w:val="22"/>
        </w:rPr>
        <w:t xml:space="preserve">C – 8 </w:t>
      </w:r>
      <w:r>
        <w:rPr>
          <w:rFonts w:ascii="Symbol" w:hAnsi="Symbol"/>
          <w:szCs w:val="22"/>
        </w:rPr>
        <w:t></w:t>
      </w:r>
      <w:r>
        <w:rPr>
          <w:szCs w:val="22"/>
        </w:rPr>
        <w:t>C).</w:t>
      </w:r>
    </w:p>
    <w:p w:rsidR="0065239E" w:rsidRDefault="007241A7">
      <w:pPr>
        <w:pStyle w:val="Standard"/>
        <w:ind w:right="-318"/>
        <w:rPr>
          <w:szCs w:val="22"/>
        </w:rPr>
      </w:pPr>
      <w:r>
        <w:rPr>
          <w:szCs w:val="22"/>
        </w:rPr>
        <w:lastRenderedPageBreak/>
        <w:t>Chraňte před světlem.</w:t>
      </w:r>
    </w:p>
    <w:p w:rsidR="0065239E" w:rsidRDefault="007241A7">
      <w:pPr>
        <w:pStyle w:val="Standard"/>
        <w:ind w:right="-318"/>
      </w:pPr>
      <w:r>
        <w:t>Chraňte před mrazem.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Nepoužívejte po uplynutí doby použitelnosti uvedené na každém balení za zkratkou EXP.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Spotřebujte bezprostředně po naředění.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:rsidR="0065239E" w:rsidRDefault="007241A7">
      <w:pPr>
        <w:pStyle w:val="Standard"/>
      </w:pPr>
      <w:r>
        <w:t>Vakcinovat pouze zdravá zvířata.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zvířatům: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V případě náhodného sebepoškození injekčně aplikovaným přípravkem vyhledejte ihned lékařskou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pomoc a ukažte příbalovou informaci nebo etiketu praktickému lékaři.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Použití v průběhu březosti a laktace:</w:t>
      </w: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Nepoužívat během březosti a laktace.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Interakce s dalšími léčivými přípravky a další formy interakce:</w:t>
      </w:r>
    </w:p>
    <w:p w:rsidR="0065239E" w:rsidRDefault="007241A7">
      <w:pPr>
        <w:pStyle w:val="Standard"/>
        <w:ind w:left="0" w:firstLine="0"/>
        <w:rPr>
          <w:szCs w:val="22"/>
        </w:rPr>
      </w:pPr>
      <w:r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):</w:t>
      </w:r>
    </w:p>
    <w:p w:rsidR="0065239E" w:rsidRDefault="007241A7">
      <w:pPr>
        <w:pStyle w:val="Standard"/>
        <w:ind w:left="0" w:firstLine="0"/>
        <w:rPr>
          <w:szCs w:val="22"/>
        </w:rPr>
      </w:pPr>
      <w:r>
        <w:rPr>
          <w:szCs w:val="22"/>
        </w:rPr>
        <w:t>Podání desetinásobné dávky do jednoho místa nezpůsobilo žádné jiné reakce než ty uvedené</w:t>
      </w:r>
    </w:p>
    <w:p w:rsidR="0065239E" w:rsidRDefault="007241A7">
      <w:pPr>
        <w:pStyle w:val="Standard"/>
        <w:ind w:left="0" w:firstLine="0"/>
      </w:pPr>
      <w:r>
        <w:rPr>
          <w:szCs w:val="22"/>
        </w:rPr>
        <w:t>v bodu o n</w:t>
      </w:r>
      <w:r>
        <w:rPr>
          <w:rStyle w:val="hps"/>
          <w:color w:val="222222"/>
        </w:rPr>
        <w:t>ežádoucích účincích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 výjimkou toho</w:t>
      </w:r>
      <w:r>
        <w:rPr>
          <w:color w:val="222222"/>
        </w:rPr>
        <w:t xml:space="preserve">, že doba trvání </w:t>
      </w:r>
      <w:r>
        <w:rPr>
          <w:rStyle w:val="hps"/>
          <w:color w:val="222222"/>
        </w:rPr>
        <w:t>lokálních reakcí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byla zvýšena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(</w:t>
      </w:r>
      <w:r>
        <w:rPr>
          <w:color w:val="222222"/>
        </w:rPr>
        <w:t xml:space="preserve">až 26 </w:t>
      </w:r>
      <w:r>
        <w:rPr>
          <w:rStyle w:val="hps"/>
          <w:color w:val="222222"/>
        </w:rPr>
        <w:t>dnů</w:t>
      </w:r>
      <w:r>
        <w:rPr>
          <w:color w:val="222222"/>
        </w:rPr>
        <w:t>).</w:t>
      </w:r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Inkompatibility:</w:t>
      </w:r>
    </w:p>
    <w:p w:rsidR="0065239E" w:rsidRDefault="007241A7">
      <w:pPr>
        <w:pStyle w:val="Standard"/>
        <w:ind w:left="0" w:firstLine="0"/>
        <w:rPr>
          <w:szCs w:val="22"/>
        </w:rPr>
      </w:pPr>
      <w:r>
        <w:rPr>
          <w:szCs w:val="22"/>
        </w:rPr>
        <w:t>Nemísit s jiným veterinárním léčivým přípravkem.</w:t>
      </w:r>
    </w:p>
    <w:p w:rsidR="0065239E" w:rsidRDefault="0065239E">
      <w:pPr>
        <w:pStyle w:val="Standard"/>
        <w:ind w:left="0" w:firstLine="0"/>
        <w:rPr>
          <w:szCs w:val="22"/>
        </w:rPr>
      </w:pPr>
    </w:p>
    <w:p w:rsidR="0065239E" w:rsidRDefault="0065239E">
      <w:pPr>
        <w:pStyle w:val="Standard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:rsidR="0065239E" w:rsidRDefault="0065239E">
      <w:pPr>
        <w:pStyle w:val="Standard"/>
        <w:rPr>
          <w:b/>
          <w:szCs w:val="22"/>
        </w:rPr>
      </w:pPr>
    </w:p>
    <w:p w:rsidR="0065239E" w:rsidRPr="007241A7" w:rsidRDefault="007241A7">
      <w:pPr>
        <w:spacing w:line="240" w:lineRule="auto"/>
        <w:ind w:right="-318"/>
        <w:rPr>
          <w:rFonts w:ascii="Times New Roman" w:hAnsi="Times New Roman" w:cs="Times New Roman"/>
        </w:rPr>
      </w:pPr>
      <w:r w:rsidRPr="007241A7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 Léčivé přípravky se nesmí likvidovat prostřednictvím odpadní vody či domovního odpadu.</w:t>
      </w:r>
    </w:p>
    <w:p w:rsidR="0065239E" w:rsidRDefault="0065239E">
      <w:pPr>
        <w:pStyle w:val="Standard"/>
        <w:ind w:left="0" w:firstLine="0"/>
        <w:rPr>
          <w:b/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701E18" w:rsidRDefault="00701E18">
      <w:pPr>
        <w:pStyle w:val="Standard"/>
        <w:rPr>
          <w:b/>
          <w:szCs w:val="22"/>
        </w:rPr>
      </w:pPr>
    </w:p>
    <w:p w:rsidR="0065239E" w:rsidRDefault="00701E18">
      <w:pPr>
        <w:pStyle w:val="Standard"/>
        <w:rPr>
          <w:szCs w:val="22"/>
        </w:rPr>
      </w:pPr>
      <w:r w:rsidRPr="00701E18">
        <w:rPr>
          <w:szCs w:val="22"/>
        </w:rPr>
        <w:t>Únor 2017</w:t>
      </w:r>
    </w:p>
    <w:p w:rsidR="00701E18" w:rsidRPr="00701E18" w:rsidRDefault="00701E18">
      <w:pPr>
        <w:pStyle w:val="Standard"/>
        <w:rPr>
          <w:szCs w:val="22"/>
        </w:rPr>
      </w:pPr>
      <w:bookmarkStart w:id="0" w:name="_GoBack"/>
      <w:bookmarkEnd w:id="0"/>
    </w:p>
    <w:p w:rsidR="0065239E" w:rsidRDefault="0065239E">
      <w:pPr>
        <w:pStyle w:val="Standard"/>
        <w:rPr>
          <w:szCs w:val="22"/>
        </w:rPr>
      </w:pPr>
    </w:p>
    <w:p w:rsidR="0065239E" w:rsidRDefault="007241A7">
      <w:pPr>
        <w:pStyle w:val="Standard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65239E" w:rsidRDefault="0065239E">
      <w:pPr>
        <w:pStyle w:val="Standard"/>
        <w:ind w:right="-318"/>
        <w:rPr>
          <w:szCs w:val="22"/>
        </w:rPr>
      </w:pPr>
    </w:p>
    <w:p w:rsidR="0065239E" w:rsidRDefault="007241A7">
      <w:pPr>
        <w:pStyle w:val="Standard"/>
        <w:ind w:left="0" w:right="-318" w:firstLine="0"/>
        <w:rPr>
          <w:szCs w:val="22"/>
        </w:rPr>
      </w:pPr>
      <w:r>
        <w:rPr>
          <w:rStyle w:val="hps"/>
        </w:rPr>
        <w:t>Skleněná lahvička typu I</w:t>
      </w:r>
      <w:r>
        <w:t xml:space="preserve"> </w:t>
      </w:r>
      <w:r>
        <w:rPr>
          <w:rStyle w:val="hps"/>
        </w:rPr>
        <w:t>obsahující 1</w:t>
      </w:r>
      <w:r>
        <w:t xml:space="preserve"> </w:t>
      </w:r>
      <w:r>
        <w:rPr>
          <w:rStyle w:val="hps"/>
        </w:rPr>
        <w:t xml:space="preserve">dávku </w:t>
      </w:r>
      <w:proofErr w:type="spellStart"/>
      <w:r>
        <w:rPr>
          <w:rStyle w:val="hps"/>
        </w:rPr>
        <w:t>lyofilizátu</w:t>
      </w:r>
      <w:proofErr w:type="spellEnd"/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skleněná lahvička</w:t>
      </w:r>
      <w:r>
        <w:t xml:space="preserve"> </w:t>
      </w:r>
      <w:r>
        <w:rPr>
          <w:rStyle w:val="hps"/>
        </w:rPr>
        <w:t>typu I</w:t>
      </w:r>
      <w:r>
        <w:t xml:space="preserve"> </w:t>
      </w:r>
      <w:r>
        <w:rPr>
          <w:rStyle w:val="hps"/>
        </w:rPr>
        <w:t>obsahující</w:t>
      </w:r>
      <w:r>
        <w:t xml:space="preserve"> </w:t>
      </w:r>
      <w:r>
        <w:rPr>
          <w:rStyle w:val="hps"/>
        </w:rPr>
        <w:t>1 ml</w:t>
      </w:r>
      <w:r>
        <w:t xml:space="preserve"> </w:t>
      </w:r>
      <w:r>
        <w:rPr>
          <w:rStyle w:val="hps"/>
        </w:rPr>
        <w:t>suspenze. Obě lahvičky</w:t>
      </w:r>
      <w:r>
        <w:t xml:space="preserve"> jsou </w:t>
      </w:r>
      <w:r>
        <w:rPr>
          <w:rStyle w:val="hps"/>
        </w:rPr>
        <w:t>uzavřeny</w:t>
      </w:r>
      <w:r>
        <w:t xml:space="preserve"> </w:t>
      </w:r>
      <w:r>
        <w:rPr>
          <w:rStyle w:val="hps"/>
        </w:rPr>
        <w:t>butyl-</w:t>
      </w:r>
      <w:r>
        <w:t xml:space="preserve">elastomerovou </w:t>
      </w:r>
      <w:r>
        <w:rPr>
          <w:rStyle w:val="hps"/>
        </w:rPr>
        <w:t>zátkou a</w:t>
      </w:r>
      <w:r>
        <w:t xml:space="preserve"> </w:t>
      </w:r>
      <w:r>
        <w:rPr>
          <w:rStyle w:val="hps"/>
        </w:rPr>
        <w:t xml:space="preserve">hliníkovou </w:t>
      </w:r>
      <w:proofErr w:type="spellStart"/>
      <w:r>
        <w:rPr>
          <w:rStyle w:val="hps"/>
        </w:rPr>
        <w:t>pertlí</w:t>
      </w:r>
      <w:proofErr w:type="spellEnd"/>
      <w:r>
        <w:rPr>
          <w:rStyle w:val="hps"/>
        </w:rPr>
        <w:t>, v plastové nebo kartonové krabičce.</w:t>
      </w:r>
    </w:p>
    <w:p w:rsidR="0065239E" w:rsidRDefault="0065239E">
      <w:pPr>
        <w:pStyle w:val="Standard"/>
      </w:pPr>
    </w:p>
    <w:p w:rsidR="0065239E" w:rsidRDefault="007241A7">
      <w:pPr>
        <w:pStyle w:val="Contents2"/>
        <w:ind w:firstLine="346"/>
      </w:pPr>
      <w:r>
        <w:t>Velikosti balení:</w:t>
      </w:r>
    </w:p>
    <w:p w:rsidR="0065239E" w:rsidRDefault="007241A7">
      <w:pPr>
        <w:pStyle w:val="Standard"/>
      </w:pPr>
      <w:r>
        <w:rPr>
          <w:szCs w:val="22"/>
        </w:rPr>
        <w:t xml:space="preserve">1 lahvička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1 lahvička </w:t>
      </w:r>
      <w:r>
        <w:rPr>
          <w:rStyle w:val="hps"/>
          <w:color w:val="222222"/>
        </w:rPr>
        <w:t>suspenze</w:t>
      </w:r>
    </w:p>
    <w:p w:rsidR="0065239E" w:rsidRDefault="007241A7">
      <w:pPr>
        <w:pStyle w:val="Standard"/>
      </w:pPr>
      <w:r>
        <w:rPr>
          <w:szCs w:val="22"/>
        </w:rPr>
        <w:t xml:space="preserve">10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10 lahviček </w:t>
      </w:r>
      <w:r>
        <w:rPr>
          <w:rStyle w:val="hps"/>
          <w:color w:val="222222"/>
        </w:rPr>
        <w:t>suspenze</w:t>
      </w:r>
    </w:p>
    <w:p w:rsidR="0065239E" w:rsidRDefault="007241A7">
      <w:pPr>
        <w:pStyle w:val="Standard"/>
      </w:pPr>
      <w:r>
        <w:rPr>
          <w:szCs w:val="22"/>
        </w:rPr>
        <w:t xml:space="preserve">25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25 lahviček </w:t>
      </w:r>
      <w:r>
        <w:rPr>
          <w:rStyle w:val="hps"/>
          <w:color w:val="222222"/>
        </w:rPr>
        <w:t>suspenze</w:t>
      </w:r>
    </w:p>
    <w:p w:rsidR="0065239E" w:rsidRDefault="007241A7">
      <w:pPr>
        <w:pStyle w:val="Standard"/>
      </w:pPr>
      <w:r>
        <w:rPr>
          <w:szCs w:val="22"/>
        </w:rPr>
        <w:t xml:space="preserve">50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50 lahviček </w:t>
      </w:r>
      <w:r>
        <w:rPr>
          <w:rStyle w:val="hps"/>
          <w:color w:val="222222"/>
        </w:rPr>
        <w:t>suspenze</w:t>
      </w:r>
    </w:p>
    <w:p w:rsidR="0065239E" w:rsidRDefault="007241A7" w:rsidP="00D96586">
      <w:pPr>
        <w:pStyle w:val="Standard"/>
        <w:rPr>
          <w:caps/>
          <w:szCs w:val="22"/>
        </w:rPr>
      </w:pPr>
      <w:r>
        <w:rPr>
          <w:szCs w:val="22"/>
        </w:rPr>
        <w:t xml:space="preserve">100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100 lahviček </w:t>
      </w:r>
      <w:r>
        <w:rPr>
          <w:rStyle w:val="hps"/>
          <w:color w:val="222222"/>
        </w:rPr>
        <w:t>suspenze.</w:t>
      </w:r>
    </w:p>
    <w:p w:rsidR="00D96586" w:rsidRDefault="00D96586">
      <w:pPr>
        <w:pStyle w:val="Standard"/>
        <w:rPr>
          <w:szCs w:val="22"/>
        </w:rPr>
      </w:pPr>
    </w:p>
    <w:p w:rsidR="0065239E" w:rsidRDefault="007241A7">
      <w:pPr>
        <w:pStyle w:val="Standard"/>
        <w:rPr>
          <w:szCs w:val="22"/>
        </w:rPr>
      </w:pPr>
      <w:r>
        <w:rPr>
          <w:szCs w:val="22"/>
        </w:rPr>
        <w:t>Na trhu nemusí být všechny velikosti balení.</w:t>
      </w:r>
    </w:p>
    <w:p w:rsidR="00D96586" w:rsidRPr="00D96586" w:rsidRDefault="00D96586" w:rsidP="00D96586">
      <w:pPr>
        <w:pStyle w:val="Standard"/>
      </w:pPr>
    </w:p>
    <w:p w:rsidR="00D96586" w:rsidRPr="00D96586" w:rsidRDefault="00D96586" w:rsidP="00D96586">
      <w:pPr>
        <w:pStyle w:val="Standard"/>
      </w:pPr>
      <w:r w:rsidRPr="00D96586">
        <w:lastRenderedPageBreak/>
        <w:t>Pouze pro zvířata.</w:t>
      </w:r>
    </w:p>
    <w:p w:rsidR="00D96586" w:rsidRDefault="00D96586" w:rsidP="00D96586">
      <w:pPr>
        <w:pStyle w:val="Standard"/>
      </w:pPr>
      <w:r w:rsidRPr="00D96586">
        <w:t>Veterinární léčivý přípravek je vydáván pouze na předpis.</w:t>
      </w:r>
    </w:p>
    <w:sectPr w:rsidR="00D96586">
      <w:footerReference w:type="default" r:id="rId7"/>
      <w:footerReference w:type="first" r:id="rId8"/>
      <w:endnotePr>
        <w:numFmt w:val="decimal"/>
      </w:endnotePr>
      <w:pgSz w:w="11918" w:h="16838"/>
      <w:pgMar w:top="1134" w:right="1418" w:bottom="737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BC" w:rsidRDefault="00B10CBC">
      <w:pPr>
        <w:spacing w:after="0" w:line="240" w:lineRule="auto"/>
      </w:pPr>
      <w:r>
        <w:separator/>
      </w:r>
    </w:p>
  </w:endnote>
  <w:endnote w:type="continuationSeparator" w:id="0">
    <w:p w:rsidR="00B10CBC" w:rsidRDefault="00B1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C1" w:rsidRDefault="007241A7">
    <w:pPr>
      <w:pStyle w:val="Zpat"/>
      <w:tabs>
        <w:tab w:val="clear" w:pos="9497"/>
        <w:tab w:val="right" w:pos="949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1E1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C1" w:rsidRDefault="00B10CBC">
    <w:pPr>
      <w:pStyle w:val="Zpat"/>
      <w:tabs>
        <w:tab w:val="clear" w:pos="9497"/>
        <w:tab w:val="right" w:pos="9498"/>
      </w:tabs>
    </w:pPr>
  </w:p>
  <w:p w:rsidR="00176BC1" w:rsidRDefault="007241A7">
    <w:pPr>
      <w:pStyle w:val="Zpat"/>
      <w:tabs>
        <w:tab w:val="clear" w:pos="9497"/>
        <w:tab w:val="right" w:pos="949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1E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BC" w:rsidRDefault="00B10C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0CBC" w:rsidRDefault="00B10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65239E"/>
    <w:rsid w:val="00167EE2"/>
    <w:rsid w:val="002F3A48"/>
    <w:rsid w:val="0039353D"/>
    <w:rsid w:val="003F3FDE"/>
    <w:rsid w:val="003F786A"/>
    <w:rsid w:val="005461B7"/>
    <w:rsid w:val="0065239E"/>
    <w:rsid w:val="00701E18"/>
    <w:rsid w:val="007241A7"/>
    <w:rsid w:val="007F24FB"/>
    <w:rsid w:val="00800009"/>
    <w:rsid w:val="00865869"/>
    <w:rsid w:val="00AB5B98"/>
    <w:rsid w:val="00B10CBC"/>
    <w:rsid w:val="00BA33D1"/>
    <w:rsid w:val="00BE7377"/>
    <w:rsid w:val="00D96586"/>
    <w:rsid w:val="00DD4699"/>
    <w:rsid w:val="00EA398B"/>
    <w:rsid w:val="00E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5103"/>
        <w:tab w:val="center" w:pos="9497"/>
      </w:tabs>
    </w:pPr>
    <w:rPr>
      <w:rFonts w:ascii="Helvetica" w:hAnsi="Helvetica"/>
      <w:sz w:val="16"/>
    </w:rPr>
  </w:style>
  <w:style w:type="paragraph" w:customStyle="1" w:styleId="Contents2">
    <w:name w:val="Contents 2"/>
    <w:basedOn w:val="Standard"/>
    <w:pPr>
      <w:tabs>
        <w:tab w:val="right" w:leader="dot" w:pos="9009"/>
      </w:tabs>
      <w:ind w:left="-346" w:firstLine="0"/>
      <w:jc w:val="both"/>
    </w:pPr>
    <w:rPr>
      <w:color w:val="222222"/>
      <w:u w:val="single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7200"/>
        <w:tab w:val="left" w:pos="7655"/>
      </w:tabs>
      <w:ind w:left="0" w:firstLine="0"/>
      <w:jc w:val="both"/>
    </w:pPr>
    <w:rPr>
      <w:rFonts w:ascii="Tahoma" w:hAnsi="Tahoma"/>
      <w:sz w:val="24"/>
      <w:lang w:eastAsia="cs-CZ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6804"/>
        <w:tab w:val="left" w:pos="7230"/>
      </w:tabs>
      <w:ind w:left="0" w:firstLine="0"/>
    </w:pPr>
    <w:rPr>
      <w:rFonts w:ascii="Tahoma" w:hAnsi="Tahoma"/>
      <w:sz w:val="24"/>
      <w:lang w:eastAsia="cs-CZ"/>
    </w:rPr>
  </w:style>
  <w:style w:type="paragraph" w:styleId="Normlnweb">
    <w:name w:val="Normal (Web)"/>
    <w:basedOn w:val="Standard"/>
    <w:pPr>
      <w:spacing w:before="100" w:after="119"/>
      <w:ind w:left="0" w:firstLine="0"/>
    </w:pPr>
    <w:rPr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Standardnpsmoodstavce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ZpatChar">
    <w:name w:val="Zápatí Char"/>
    <w:basedOn w:val="Standardnpsmoodstavce"/>
    <w:rPr>
      <w:rFonts w:ascii="Helvetica" w:eastAsia="Times New Roman" w:hAnsi="Helvetica" w:cs="Times New Roman"/>
      <w:sz w:val="16"/>
      <w:szCs w:val="20"/>
    </w:rPr>
  </w:style>
  <w:style w:type="character" w:customStyle="1" w:styleId="hps">
    <w:name w:val="hps"/>
  </w:style>
  <w:style w:type="character" w:customStyle="1" w:styleId="EndnoteSymbol">
    <w:name w:val="Endnote Symbol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pPr>
      <w:widowControl/>
      <w:suppressAutoHyphens w:val="0"/>
      <w:spacing w:after="0" w:line="280" w:lineRule="exact"/>
      <w:jc w:val="both"/>
      <w:textAlignment w:val="auto"/>
    </w:pPr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  <w:style w:type="character" w:customStyle="1" w:styleId="CorpsdetexteCar">
    <w:name w:val="Corps de texte Car"/>
    <w:basedOn w:val="Standardnpsmoodstavce"/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5103"/>
        <w:tab w:val="center" w:pos="9497"/>
      </w:tabs>
    </w:pPr>
    <w:rPr>
      <w:rFonts w:ascii="Helvetica" w:hAnsi="Helvetica"/>
      <w:sz w:val="16"/>
    </w:rPr>
  </w:style>
  <w:style w:type="paragraph" w:customStyle="1" w:styleId="Contents2">
    <w:name w:val="Contents 2"/>
    <w:basedOn w:val="Standard"/>
    <w:pPr>
      <w:tabs>
        <w:tab w:val="right" w:leader="dot" w:pos="9009"/>
      </w:tabs>
      <w:ind w:left="-346" w:firstLine="0"/>
      <w:jc w:val="both"/>
    </w:pPr>
    <w:rPr>
      <w:color w:val="222222"/>
      <w:u w:val="single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7200"/>
        <w:tab w:val="left" w:pos="7655"/>
      </w:tabs>
      <w:ind w:left="0" w:firstLine="0"/>
      <w:jc w:val="both"/>
    </w:pPr>
    <w:rPr>
      <w:rFonts w:ascii="Tahoma" w:hAnsi="Tahoma"/>
      <w:sz w:val="24"/>
      <w:lang w:eastAsia="cs-CZ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6804"/>
        <w:tab w:val="left" w:pos="7230"/>
      </w:tabs>
      <w:ind w:left="0" w:firstLine="0"/>
    </w:pPr>
    <w:rPr>
      <w:rFonts w:ascii="Tahoma" w:hAnsi="Tahoma"/>
      <w:sz w:val="24"/>
      <w:lang w:eastAsia="cs-CZ"/>
    </w:rPr>
  </w:style>
  <w:style w:type="paragraph" w:styleId="Normlnweb">
    <w:name w:val="Normal (Web)"/>
    <w:basedOn w:val="Standard"/>
    <w:pPr>
      <w:spacing w:before="100" w:after="119"/>
      <w:ind w:left="0" w:firstLine="0"/>
    </w:pPr>
    <w:rPr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Standardnpsmoodstavce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ZpatChar">
    <w:name w:val="Zápatí Char"/>
    <w:basedOn w:val="Standardnpsmoodstavce"/>
    <w:rPr>
      <w:rFonts w:ascii="Helvetica" w:eastAsia="Times New Roman" w:hAnsi="Helvetica" w:cs="Times New Roman"/>
      <w:sz w:val="16"/>
      <w:szCs w:val="20"/>
    </w:rPr>
  </w:style>
  <w:style w:type="character" w:customStyle="1" w:styleId="hps">
    <w:name w:val="hps"/>
  </w:style>
  <w:style w:type="character" w:customStyle="1" w:styleId="EndnoteSymbol">
    <w:name w:val="Endnote Symbol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pPr>
      <w:widowControl/>
      <w:suppressAutoHyphens w:val="0"/>
      <w:spacing w:after="0" w:line="280" w:lineRule="exact"/>
      <w:jc w:val="both"/>
      <w:textAlignment w:val="auto"/>
    </w:pPr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  <w:style w:type="character" w:customStyle="1" w:styleId="CorpsdetexteCar">
    <w:name w:val="Corps de texte Car"/>
    <w:basedOn w:val="Standardnpsmoodstavce"/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914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Neugebauerová Kateřina</cp:lastModifiedBy>
  <cp:revision>9</cp:revision>
  <cp:lastPrinted>2017-02-23T12:41:00Z</cp:lastPrinted>
  <dcterms:created xsi:type="dcterms:W3CDTF">2017-02-08T14:16:00Z</dcterms:created>
  <dcterms:modified xsi:type="dcterms:W3CDTF">2017-02-23T12:41:00Z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