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3" w:rsidRDefault="002F7C63" w:rsidP="00C57E7A">
      <w:pPr>
        <w:jc w:val="center"/>
      </w:pPr>
      <w:bookmarkStart w:id="0" w:name="_GoBack"/>
      <w:bookmarkEnd w:id="0"/>
      <w:r>
        <w:rPr>
          <w:b/>
        </w:rPr>
        <w:t>PŘÍBALOVÁ INFORMACE</w:t>
      </w:r>
    </w:p>
    <w:p w:rsidR="002F7C63" w:rsidRDefault="002F7C63" w:rsidP="00940843">
      <w:pPr>
        <w:jc w:val="center"/>
        <w:rPr>
          <w:b/>
        </w:rPr>
      </w:pPr>
    </w:p>
    <w:p w:rsidR="002F7C63" w:rsidRPr="00985F33" w:rsidRDefault="002F7C63" w:rsidP="00985F33">
      <w:pPr>
        <w:jc w:val="center"/>
      </w:pPr>
      <w:r w:rsidRPr="00985F33">
        <w:t>OESTRACTON 52,4 µg/ml injekční roztok pro skot, koně, prasata</w:t>
      </w:r>
    </w:p>
    <w:p w:rsidR="002F7C63" w:rsidRDefault="002F7C63" w:rsidP="00C57E7A"/>
    <w:p w:rsidR="002F7C63" w:rsidRDefault="002F7C63" w:rsidP="00C57E7A">
      <w:pPr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2F7C63" w:rsidRDefault="002F7C63" w:rsidP="00907DF9">
      <w:pPr>
        <w:jc w:val="both"/>
        <w:rPr>
          <w:iCs/>
        </w:rPr>
      </w:pPr>
      <w:r>
        <w:rPr>
          <w:iCs/>
          <w:u w:val="single"/>
        </w:rPr>
        <w:t>Držitel rozhodnutí o registraci</w:t>
      </w:r>
      <w:r>
        <w:rPr>
          <w:iCs/>
        </w:rPr>
        <w:t xml:space="preserve">:  </w:t>
      </w:r>
    </w:p>
    <w:p w:rsidR="008D6E15" w:rsidRDefault="008D6E15" w:rsidP="008D6E15">
      <w:pPr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VETOQUINOL </w:t>
      </w:r>
      <w:proofErr w:type="gramStart"/>
      <w:r>
        <w:rPr>
          <w:snapToGrid w:val="0"/>
          <w:color w:val="000000"/>
          <w:sz w:val="22"/>
          <w:szCs w:val="22"/>
        </w:rPr>
        <w:t>S.A.</w:t>
      </w:r>
      <w:proofErr w:type="gramEnd"/>
      <w:r>
        <w:rPr>
          <w:snapToGrid w:val="0"/>
          <w:color w:val="000000"/>
          <w:sz w:val="22"/>
          <w:szCs w:val="22"/>
        </w:rPr>
        <w:t>, Magny-</w:t>
      </w:r>
      <w:proofErr w:type="spellStart"/>
      <w:r>
        <w:rPr>
          <w:snapToGrid w:val="0"/>
          <w:color w:val="000000"/>
          <w:sz w:val="22"/>
          <w:szCs w:val="22"/>
        </w:rPr>
        <w:t>Vernois</w:t>
      </w:r>
      <w:proofErr w:type="spellEnd"/>
      <w:r>
        <w:rPr>
          <w:snapToGrid w:val="0"/>
          <w:color w:val="000000"/>
          <w:sz w:val="22"/>
          <w:szCs w:val="22"/>
        </w:rPr>
        <w:t xml:space="preserve">, 70200 </w:t>
      </w:r>
      <w:proofErr w:type="spellStart"/>
      <w:r>
        <w:rPr>
          <w:snapToGrid w:val="0"/>
          <w:color w:val="000000"/>
          <w:sz w:val="22"/>
          <w:szCs w:val="22"/>
        </w:rPr>
        <w:t>Lure</w:t>
      </w:r>
      <w:proofErr w:type="spellEnd"/>
      <w:r>
        <w:rPr>
          <w:snapToGrid w:val="0"/>
          <w:color w:val="000000"/>
          <w:sz w:val="22"/>
          <w:szCs w:val="22"/>
        </w:rPr>
        <w:t>, Francie</w:t>
      </w:r>
    </w:p>
    <w:p w:rsidR="002F7C63" w:rsidRDefault="002F7C63" w:rsidP="00940843">
      <w:pPr>
        <w:jc w:val="both"/>
      </w:pPr>
    </w:p>
    <w:p w:rsidR="002F7C63" w:rsidRPr="00907DF9" w:rsidRDefault="002F7C63" w:rsidP="00C57E7A">
      <w:pPr>
        <w:rPr>
          <w:iCs/>
          <w:u w:val="single"/>
        </w:rPr>
      </w:pPr>
      <w:r w:rsidRPr="00907DF9">
        <w:rPr>
          <w:iCs/>
          <w:u w:val="single"/>
        </w:rPr>
        <w:t xml:space="preserve">Výrobce odpovědný za uvolnění šarže: </w:t>
      </w:r>
    </w:p>
    <w:p w:rsidR="002F7C63" w:rsidRPr="00FF570D" w:rsidRDefault="002F7C63" w:rsidP="00FF570D">
      <w:pPr>
        <w:jc w:val="both"/>
        <w:rPr>
          <w:lang w:val="sv-SE" w:eastAsia="de-DE"/>
        </w:rPr>
      </w:pPr>
      <w:r w:rsidRPr="00FF570D">
        <w:rPr>
          <w:lang w:val="sv-SE" w:eastAsia="de-DE"/>
        </w:rPr>
        <w:t>Wirtschaftsgenossenschaft deutscher Tierärzte (WdT) eG</w:t>
      </w:r>
      <w:r>
        <w:rPr>
          <w:lang w:val="sv-SE" w:eastAsia="de-DE"/>
        </w:rPr>
        <w:t xml:space="preserve">, </w:t>
      </w:r>
      <w:r w:rsidRPr="00FF570D">
        <w:rPr>
          <w:lang w:val="sv-SE" w:eastAsia="de-DE"/>
        </w:rPr>
        <w:t>Siemensstr. 14</w:t>
      </w:r>
      <w:r>
        <w:rPr>
          <w:lang w:val="sv-SE" w:eastAsia="de-DE"/>
        </w:rPr>
        <w:t xml:space="preserve">, </w:t>
      </w:r>
      <w:r w:rsidRPr="00D10511">
        <w:rPr>
          <w:lang w:val="sv-SE" w:eastAsia="de-DE"/>
        </w:rPr>
        <w:t xml:space="preserve">D-30827 </w:t>
      </w:r>
      <w:r w:rsidRPr="00FF570D">
        <w:rPr>
          <w:lang w:val="sv-SE" w:eastAsia="de-DE"/>
        </w:rPr>
        <w:t>Garbsen</w:t>
      </w:r>
    </w:p>
    <w:p w:rsidR="002F7C63" w:rsidRDefault="002F7C63" w:rsidP="00C57E7A"/>
    <w:p w:rsidR="002F7C63" w:rsidRDefault="002F7C63" w:rsidP="00C57E7A">
      <w:pPr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2F7C63" w:rsidRPr="00E525DE" w:rsidRDefault="002F7C63" w:rsidP="00FF570D">
      <w:pPr>
        <w:jc w:val="both"/>
      </w:pPr>
      <w:r w:rsidRPr="00E525DE">
        <w:t xml:space="preserve">OESTRACTON 52,4 µg/ml injekční roztok pro skot, koně, prasata   </w:t>
      </w:r>
    </w:p>
    <w:p w:rsidR="002F7C63" w:rsidRDefault="002F7C63" w:rsidP="00985F33">
      <w:proofErr w:type="spellStart"/>
      <w:r>
        <w:t>Gonadorelini</w:t>
      </w:r>
      <w:proofErr w:type="spellEnd"/>
      <w:r w:rsidRPr="00364E33">
        <w:t>[6-D-Phe]</w:t>
      </w:r>
      <w:proofErr w:type="spellStart"/>
      <w:r>
        <w:t>acetas</w:t>
      </w:r>
      <w:proofErr w:type="spellEnd"/>
    </w:p>
    <w:p w:rsidR="002F7C63" w:rsidRDefault="002F7C63" w:rsidP="00C57E7A">
      <w:pPr>
        <w:rPr>
          <w:b/>
        </w:rPr>
      </w:pPr>
    </w:p>
    <w:p w:rsidR="002F7C63" w:rsidRDefault="002F7C63" w:rsidP="00C57E7A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2F7C63" w:rsidRPr="00064CA2" w:rsidRDefault="002F7C63" w:rsidP="00FF570D">
      <w:pPr>
        <w:jc w:val="both"/>
        <w:rPr>
          <w:u w:val="single"/>
        </w:rPr>
      </w:pPr>
      <w:r w:rsidRPr="00064CA2">
        <w:rPr>
          <w:u w:val="single"/>
        </w:rPr>
        <w:t xml:space="preserve">1 </w:t>
      </w:r>
      <w:proofErr w:type="spellStart"/>
      <w:r w:rsidRPr="00064CA2">
        <w:rPr>
          <w:u w:val="single"/>
        </w:rPr>
        <w:t>mlobsahuje</w:t>
      </w:r>
      <w:proofErr w:type="spellEnd"/>
      <w:r w:rsidRPr="00064CA2">
        <w:rPr>
          <w:u w:val="single"/>
        </w:rPr>
        <w:t>:</w:t>
      </w:r>
    </w:p>
    <w:p w:rsidR="002F7C63" w:rsidRPr="00AB47A0" w:rsidRDefault="002F7C63" w:rsidP="00FF570D">
      <w:pPr>
        <w:tabs>
          <w:tab w:val="left" w:pos="1701"/>
        </w:tabs>
        <w:jc w:val="both"/>
        <w:rPr>
          <w:iCs/>
        </w:rPr>
      </w:pPr>
      <w:proofErr w:type="spellStart"/>
      <w:r>
        <w:t>Gonadorelini</w:t>
      </w:r>
      <w:proofErr w:type="spellEnd"/>
      <w:r w:rsidRPr="00364E33">
        <w:t>[6-D-Phe]</w:t>
      </w:r>
      <w:proofErr w:type="spellStart"/>
      <w:r>
        <w:t>acetas</w:t>
      </w:r>
      <w:proofErr w:type="spellEnd"/>
      <w:r>
        <w:tab/>
      </w:r>
      <w:r>
        <w:tab/>
      </w:r>
      <w:r w:rsidRPr="00AB47A0">
        <w:t>52,4 µg</w:t>
      </w:r>
    </w:p>
    <w:p w:rsidR="002F7C63" w:rsidRDefault="002F7C63" w:rsidP="00FF570D">
      <w:pPr>
        <w:tabs>
          <w:tab w:val="left" w:pos="1701"/>
        </w:tabs>
        <w:jc w:val="both"/>
      </w:pPr>
      <w:r>
        <w:t xml:space="preserve">(odpovídá </w:t>
      </w:r>
      <w:r w:rsidRPr="00AB47A0">
        <w:t>5</w:t>
      </w:r>
      <w:r>
        <w:t xml:space="preserve">0 </w:t>
      </w:r>
      <w:r w:rsidRPr="00AB47A0">
        <w:t>µ</w:t>
      </w:r>
      <w:proofErr w:type="spellStart"/>
      <w:r w:rsidRPr="00AB47A0">
        <w:t>g</w:t>
      </w:r>
      <w:r>
        <w:t>Gonadorelinum</w:t>
      </w:r>
      <w:proofErr w:type="spellEnd"/>
      <w:r w:rsidRPr="00364E33">
        <w:t>[6-D-Phe]</w:t>
      </w:r>
      <w:r>
        <w:t>)</w:t>
      </w:r>
    </w:p>
    <w:p w:rsidR="002F7C63" w:rsidRDefault="002F7C63" w:rsidP="00FF570D">
      <w:pPr>
        <w:tabs>
          <w:tab w:val="left" w:pos="1701"/>
        </w:tabs>
        <w:jc w:val="both"/>
        <w:rPr>
          <w:iCs/>
        </w:rPr>
      </w:pPr>
    </w:p>
    <w:p w:rsidR="002F7C63" w:rsidRDefault="002F7C63" w:rsidP="00FF570D">
      <w:pPr>
        <w:jc w:val="both"/>
      </w:pPr>
      <w:proofErr w:type="spellStart"/>
      <w:r>
        <w:t>Methylparaben</w:t>
      </w:r>
      <w:proofErr w:type="spellEnd"/>
      <w:r>
        <w:t xml:space="preserve">  (E218)                              </w:t>
      </w:r>
      <w:r>
        <w:tab/>
        <w:t>1,0 mg</w:t>
      </w:r>
    </w:p>
    <w:p w:rsidR="002F7C63" w:rsidRDefault="002F7C63" w:rsidP="00C57E7A">
      <w:pPr>
        <w:rPr>
          <w:highlight w:val="yellow"/>
        </w:rPr>
      </w:pPr>
    </w:p>
    <w:p w:rsidR="002F7C63" w:rsidRPr="00064CA2" w:rsidRDefault="002F7C63" w:rsidP="00E2253E">
      <w:pPr>
        <w:jc w:val="both"/>
        <w:rPr>
          <w:u w:val="single"/>
        </w:rPr>
      </w:pPr>
      <w:r w:rsidRPr="00064CA2">
        <w:rPr>
          <w:u w:val="single"/>
        </w:rPr>
        <w:t>Léková forma</w:t>
      </w:r>
      <w:r>
        <w:rPr>
          <w:u w:val="single"/>
        </w:rPr>
        <w:t>:</w:t>
      </w:r>
    </w:p>
    <w:p w:rsidR="002F7C63" w:rsidRPr="003602E0" w:rsidRDefault="002F7C63" w:rsidP="00E2253E">
      <w:pPr>
        <w:jc w:val="both"/>
      </w:pPr>
      <w:r w:rsidRPr="00D10511">
        <w:t>Injekční roztok - čirý, bezbarvý až hnědožlutý roztok.</w:t>
      </w:r>
    </w:p>
    <w:p w:rsidR="002F7C63" w:rsidRDefault="002F7C63" w:rsidP="00C57E7A">
      <w:pPr>
        <w:rPr>
          <w:i/>
          <w:color w:val="008000"/>
        </w:rPr>
      </w:pPr>
    </w:p>
    <w:p w:rsidR="002F7C63" w:rsidRDefault="002F7C63" w:rsidP="00C57E7A">
      <w:pPr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2F7C63" w:rsidRDefault="002F7C63" w:rsidP="0023783A">
      <w:pPr>
        <w:tabs>
          <w:tab w:val="left" w:pos="2552"/>
        </w:tabs>
        <w:autoSpaceDE w:val="0"/>
        <w:autoSpaceDN w:val="0"/>
        <w:adjustRightInd w:val="0"/>
        <w:jc w:val="both"/>
        <w:rPr>
          <w:lang w:eastAsia="de-DE"/>
        </w:rPr>
      </w:pPr>
      <w:r>
        <w:rPr>
          <w:lang w:eastAsia="de-DE"/>
        </w:rPr>
        <w:t>Regulace a stimulace reprodukce a zlepšení zabřezávání u skotu a prasat. Léčba neplodnosti nebo funkčních poruch v důsledku poruch vaječníků u skotu a koní.</w:t>
      </w:r>
    </w:p>
    <w:p w:rsidR="002F7C63" w:rsidRDefault="002F7C63" w:rsidP="00453ACD">
      <w:pPr>
        <w:tabs>
          <w:tab w:val="left" w:pos="2552"/>
        </w:tabs>
        <w:autoSpaceDE w:val="0"/>
        <w:autoSpaceDN w:val="0"/>
        <w:adjustRightInd w:val="0"/>
        <w:jc w:val="both"/>
        <w:rPr>
          <w:u w:val="single"/>
          <w:lang w:eastAsia="de-DE"/>
        </w:rPr>
      </w:pPr>
    </w:p>
    <w:p w:rsidR="002F7C63" w:rsidRPr="00892733" w:rsidRDefault="002F7C63" w:rsidP="00453ACD">
      <w:pPr>
        <w:tabs>
          <w:tab w:val="left" w:pos="2552"/>
        </w:tabs>
        <w:autoSpaceDE w:val="0"/>
        <w:autoSpaceDN w:val="0"/>
        <w:adjustRightInd w:val="0"/>
        <w:jc w:val="both"/>
        <w:rPr>
          <w:u w:val="single"/>
          <w:lang w:eastAsia="de-DE"/>
        </w:rPr>
      </w:pPr>
      <w:r>
        <w:rPr>
          <w:u w:val="single"/>
          <w:lang w:eastAsia="de-DE"/>
        </w:rPr>
        <w:t>Skot</w:t>
      </w:r>
      <w:r w:rsidRPr="00892733">
        <w:rPr>
          <w:u w:val="single"/>
          <w:lang w:eastAsia="de-DE"/>
        </w:rPr>
        <w:t>:</w:t>
      </w:r>
    </w:p>
    <w:p w:rsidR="002F7C63" w:rsidRPr="00892733" w:rsidRDefault="002F7C63" w:rsidP="001633BF">
      <w:pPr>
        <w:numPr>
          <w:ilvl w:val="0"/>
          <w:numId w:val="1"/>
          <w:numberingChange w:id="1" w:author="Unknown" w:date="2013-12-10T15:24:00Z" w:original="-"/>
        </w:numPr>
        <w:autoSpaceDE w:val="0"/>
        <w:autoSpaceDN w:val="0"/>
        <w:adjustRightInd w:val="0"/>
        <w:ind w:left="180" w:hanging="180"/>
        <w:jc w:val="both"/>
        <w:rPr>
          <w:lang w:eastAsia="de-DE"/>
        </w:rPr>
      </w:pPr>
      <w:r w:rsidRPr="00892733">
        <w:rPr>
          <w:lang w:eastAsia="de-DE"/>
        </w:rPr>
        <w:t>Vyvolání ovulace v případě jejího opoždění z důvodu nedostatku luteinizačního hormonu (LH)</w:t>
      </w:r>
    </w:p>
    <w:p w:rsidR="002F7C63" w:rsidRPr="00892733" w:rsidRDefault="002F7C63" w:rsidP="001633BF">
      <w:pPr>
        <w:numPr>
          <w:ilvl w:val="0"/>
          <w:numId w:val="1"/>
          <w:numberingChange w:id="2" w:author="Unknown" w:date="2013-12-10T15:24:00Z" w:original="-"/>
        </w:numPr>
        <w:autoSpaceDE w:val="0"/>
        <w:autoSpaceDN w:val="0"/>
        <w:adjustRightInd w:val="0"/>
        <w:ind w:left="180" w:hanging="180"/>
        <w:jc w:val="both"/>
        <w:rPr>
          <w:lang w:val="pl-PL" w:eastAsia="de-DE"/>
        </w:rPr>
      </w:pPr>
      <w:r w:rsidRPr="00892733">
        <w:rPr>
          <w:lang w:eastAsia="de-DE"/>
        </w:rPr>
        <w:t>Synchronizace ovulace v návaznosti na synchronizaci říje</w:t>
      </w:r>
    </w:p>
    <w:p w:rsidR="002F7C63" w:rsidRPr="00892733" w:rsidRDefault="002F7C63" w:rsidP="001633BF">
      <w:pPr>
        <w:numPr>
          <w:ilvl w:val="0"/>
          <w:numId w:val="1"/>
          <w:numberingChange w:id="3" w:author="Unknown" w:date="2013-12-10T15:24:00Z" w:original="-"/>
        </w:numPr>
        <w:autoSpaceDE w:val="0"/>
        <w:autoSpaceDN w:val="0"/>
        <w:adjustRightInd w:val="0"/>
        <w:ind w:left="180" w:hanging="180"/>
        <w:jc w:val="both"/>
        <w:rPr>
          <w:lang w:val="pl-PL" w:eastAsia="de-DE"/>
        </w:rPr>
      </w:pPr>
      <w:r w:rsidRPr="00892733">
        <w:rPr>
          <w:lang w:eastAsia="de-DE"/>
        </w:rPr>
        <w:t xml:space="preserve">Stimulace vaječníků v puerperiu od 12. dne post </w:t>
      </w:r>
      <w:proofErr w:type="spellStart"/>
      <w:r w:rsidRPr="00892733">
        <w:rPr>
          <w:lang w:eastAsia="de-DE"/>
        </w:rPr>
        <w:t>partum</w:t>
      </w:r>
      <w:proofErr w:type="spellEnd"/>
    </w:p>
    <w:p w:rsidR="002F7C63" w:rsidRPr="00892733" w:rsidRDefault="002F7C63" w:rsidP="001633BF">
      <w:pPr>
        <w:numPr>
          <w:ilvl w:val="0"/>
          <w:numId w:val="1"/>
          <w:numberingChange w:id="4" w:author="Unknown" w:date="2013-12-10T15:24:00Z" w:original="-"/>
        </w:numPr>
        <w:autoSpaceDE w:val="0"/>
        <w:autoSpaceDN w:val="0"/>
        <w:adjustRightInd w:val="0"/>
        <w:ind w:left="180" w:hanging="180"/>
        <w:jc w:val="both"/>
        <w:rPr>
          <w:lang w:val="pl-PL" w:eastAsia="de-DE"/>
        </w:rPr>
      </w:pPr>
      <w:r w:rsidRPr="00892733">
        <w:rPr>
          <w:lang w:eastAsia="de-DE"/>
        </w:rPr>
        <w:t xml:space="preserve">Vaječníkové cysty (v důsledku nedostatku LH). </w:t>
      </w:r>
    </w:p>
    <w:p w:rsidR="002F7C63" w:rsidRPr="00892733" w:rsidRDefault="002F7C63" w:rsidP="00453ACD">
      <w:pPr>
        <w:tabs>
          <w:tab w:val="left" w:pos="2552"/>
        </w:tabs>
        <w:autoSpaceDE w:val="0"/>
        <w:autoSpaceDN w:val="0"/>
        <w:adjustRightInd w:val="0"/>
        <w:jc w:val="both"/>
        <w:rPr>
          <w:lang w:val="pl-PL" w:eastAsia="de-DE"/>
        </w:rPr>
      </w:pPr>
    </w:p>
    <w:p w:rsidR="002F7C63" w:rsidRPr="00892733" w:rsidRDefault="002F7C63" w:rsidP="00453ACD">
      <w:pPr>
        <w:tabs>
          <w:tab w:val="left" w:pos="2552"/>
        </w:tabs>
        <w:autoSpaceDE w:val="0"/>
        <w:autoSpaceDN w:val="0"/>
        <w:adjustRightInd w:val="0"/>
        <w:jc w:val="both"/>
        <w:rPr>
          <w:lang w:eastAsia="de-DE"/>
        </w:rPr>
      </w:pPr>
      <w:r w:rsidRPr="00892733">
        <w:rPr>
          <w:u w:val="single"/>
          <w:lang w:eastAsia="de-DE"/>
        </w:rPr>
        <w:t>Klisny:</w:t>
      </w:r>
    </w:p>
    <w:p w:rsidR="002F7C63" w:rsidRPr="00892733" w:rsidRDefault="002F7C63" w:rsidP="00453ACD">
      <w:pPr>
        <w:numPr>
          <w:ilvl w:val="0"/>
          <w:numId w:val="1"/>
          <w:numberingChange w:id="5" w:author="Unknown" w:date="2013-12-10T15:24:00Z" w:original="-"/>
        </w:numPr>
        <w:autoSpaceDE w:val="0"/>
        <w:autoSpaceDN w:val="0"/>
        <w:adjustRightInd w:val="0"/>
        <w:ind w:left="142" w:hanging="142"/>
        <w:jc w:val="both"/>
        <w:rPr>
          <w:lang w:eastAsia="de-DE"/>
        </w:rPr>
      </w:pPr>
      <w:proofErr w:type="spellStart"/>
      <w:r w:rsidRPr="00892733">
        <w:rPr>
          <w:lang w:eastAsia="de-DE"/>
        </w:rPr>
        <w:t>Acyklie</w:t>
      </w:r>
      <w:proofErr w:type="spellEnd"/>
      <w:r w:rsidRPr="00892733">
        <w:rPr>
          <w:lang w:eastAsia="de-DE"/>
        </w:rPr>
        <w:t xml:space="preserve"> a anestrus v důsledku nedostatku LH</w:t>
      </w:r>
    </w:p>
    <w:p w:rsidR="002F7C63" w:rsidRPr="00892733" w:rsidRDefault="002F7C63" w:rsidP="00453ACD">
      <w:pPr>
        <w:numPr>
          <w:ilvl w:val="0"/>
          <w:numId w:val="1"/>
          <w:numberingChange w:id="6" w:author="Unknown" w:date="2013-12-10T15:24:00Z" w:original="-"/>
        </w:numPr>
        <w:autoSpaceDE w:val="0"/>
        <w:autoSpaceDN w:val="0"/>
        <w:adjustRightInd w:val="0"/>
        <w:ind w:left="142" w:hanging="142"/>
        <w:jc w:val="both"/>
        <w:rPr>
          <w:lang w:val="en-GB" w:eastAsia="de-DE"/>
        </w:rPr>
      </w:pPr>
      <w:r w:rsidRPr="00892733">
        <w:rPr>
          <w:lang w:eastAsia="de-DE"/>
        </w:rPr>
        <w:t xml:space="preserve">Vyvolání ovulace (zkrácení </w:t>
      </w:r>
      <w:proofErr w:type="spellStart"/>
      <w:r>
        <w:rPr>
          <w:lang w:eastAsia="de-DE"/>
        </w:rPr>
        <w:t>o</w:t>
      </w:r>
      <w:r w:rsidRPr="00892733">
        <w:rPr>
          <w:lang w:eastAsia="de-DE"/>
        </w:rPr>
        <w:t>estru</w:t>
      </w:r>
      <w:proofErr w:type="spellEnd"/>
      <w:r w:rsidRPr="00892733">
        <w:rPr>
          <w:lang w:eastAsia="de-DE"/>
        </w:rPr>
        <w:t>).</w:t>
      </w:r>
    </w:p>
    <w:p w:rsidR="002F7C63" w:rsidRPr="00892733" w:rsidRDefault="002F7C63" w:rsidP="00453ACD">
      <w:pPr>
        <w:tabs>
          <w:tab w:val="left" w:pos="2552"/>
        </w:tabs>
        <w:autoSpaceDE w:val="0"/>
        <w:autoSpaceDN w:val="0"/>
        <w:adjustRightInd w:val="0"/>
        <w:jc w:val="both"/>
        <w:rPr>
          <w:lang w:val="en-GB" w:eastAsia="de-DE"/>
        </w:rPr>
      </w:pPr>
    </w:p>
    <w:p w:rsidR="002F7C63" w:rsidRPr="00892733" w:rsidRDefault="002F7C63" w:rsidP="00453ACD">
      <w:pPr>
        <w:tabs>
          <w:tab w:val="left" w:pos="2552"/>
        </w:tabs>
        <w:autoSpaceDE w:val="0"/>
        <w:autoSpaceDN w:val="0"/>
        <w:adjustRightInd w:val="0"/>
        <w:jc w:val="both"/>
        <w:rPr>
          <w:lang w:eastAsia="de-DE"/>
        </w:rPr>
      </w:pPr>
      <w:r w:rsidRPr="00892733">
        <w:rPr>
          <w:u w:val="single"/>
          <w:lang w:eastAsia="de-DE"/>
        </w:rPr>
        <w:t>Prasnice:</w:t>
      </w:r>
    </w:p>
    <w:p w:rsidR="002F7C63" w:rsidRDefault="002F7C63" w:rsidP="00453ACD">
      <w:pPr>
        <w:numPr>
          <w:ilvl w:val="0"/>
          <w:numId w:val="1"/>
          <w:numberingChange w:id="7" w:author="Unknown" w:date="2013-12-10T15:24:00Z" w:original="-"/>
        </w:numPr>
        <w:autoSpaceDE w:val="0"/>
        <w:autoSpaceDN w:val="0"/>
        <w:adjustRightInd w:val="0"/>
        <w:ind w:left="142" w:hanging="142"/>
        <w:jc w:val="both"/>
        <w:rPr>
          <w:lang w:eastAsia="de-DE"/>
        </w:rPr>
      </w:pPr>
      <w:r w:rsidRPr="00892733">
        <w:rPr>
          <w:lang w:eastAsia="de-DE"/>
        </w:rPr>
        <w:t xml:space="preserve">Synchronizace ovulace společně s PMSG za účelem </w:t>
      </w:r>
      <w:r>
        <w:rPr>
          <w:lang w:eastAsia="de-DE"/>
        </w:rPr>
        <w:t xml:space="preserve">časově plánované </w:t>
      </w:r>
      <w:r w:rsidRPr="00892733">
        <w:rPr>
          <w:lang w:eastAsia="de-DE"/>
        </w:rPr>
        <w:t xml:space="preserve">inseminace jako součásti programu </w:t>
      </w:r>
      <w:r>
        <w:rPr>
          <w:lang w:eastAsia="de-DE"/>
        </w:rPr>
        <w:t>časově plánované</w:t>
      </w:r>
      <w:r w:rsidRPr="00892733">
        <w:rPr>
          <w:lang w:eastAsia="de-DE"/>
        </w:rPr>
        <w:t xml:space="preserve"> inseminace</w:t>
      </w:r>
      <w:r>
        <w:rPr>
          <w:lang w:eastAsia="de-DE"/>
        </w:rPr>
        <w:t xml:space="preserve">. </w:t>
      </w:r>
    </w:p>
    <w:p w:rsidR="002F7C63" w:rsidRDefault="002F7C63" w:rsidP="00C57E7A">
      <w:pPr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2F7C63" w:rsidRPr="003828FA" w:rsidRDefault="002F7C63" w:rsidP="00E525DE">
      <w:pPr>
        <w:autoSpaceDE w:val="0"/>
        <w:autoSpaceDN w:val="0"/>
        <w:adjustRightInd w:val="0"/>
        <w:ind w:left="180" w:hanging="180"/>
        <w:jc w:val="both"/>
        <w:rPr>
          <w:lang w:eastAsia="de-DE"/>
        </w:rPr>
      </w:pPr>
      <w:r w:rsidRPr="00983B38">
        <w:rPr>
          <w:lang w:eastAsia="de-DE"/>
        </w:rPr>
        <w:t xml:space="preserve">- </w:t>
      </w:r>
      <w:r w:rsidRPr="00983B38">
        <w:rPr>
          <w:lang w:eastAsia="de-DE"/>
        </w:rPr>
        <w:tab/>
        <w:t>Nepoužívat u krav s vyvinutým zralým terciálním folikulem připraveným k ovulaci.</w:t>
      </w:r>
    </w:p>
    <w:p w:rsidR="002F7C63" w:rsidRPr="003828FA" w:rsidRDefault="002F7C63" w:rsidP="00E525DE">
      <w:pPr>
        <w:autoSpaceDE w:val="0"/>
        <w:autoSpaceDN w:val="0"/>
        <w:adjustRightInd w:val="0"/>
        <w:ind w:left="180" w:hanging="180"/>
        <w:jc w:val="both"/>
        <w:rPr>
          <w:lang w:eastAsia="de-DE"/>
        </w:rPr>
      </w:pPr>
      <w:r>
        <w:rPr>
          <w:lang w:eastAsia="de-DE"/>
        </w:rPr>
        <w:t xml:space="preserve">- </w:t>
      </w:r>
      <w:r>
        <w:rPr>
          <w:lang w:eastAsia="de-DE"/>
        </w:rPr>
        <w:tab/>
      </w:r>
      <w:r w:rsidRPr="003828FA">
        <w:rPr>
          <w:lang w:eastAsia="de-DE"/>
        </w:rPr>
        <w:t xml:space="preserve">Nepoužívat pro zkrácení </w:t>
      </w:r>
      <w:r>
        <w:rPr>
          <w:lang w:eastAsia="de-DE"/>
        </w:rPr>
        <w:t>říje (</w:t>
      </w:r>
      <w:proofErr w:type="spellStart"/>
      <w:r>
        <w:rPr>
          <w:lang w:eastAsia="de-DE"/>
        </w:rPr>
        <w:t>o</w:t>
      </w:r>
      <w:r w:rsidRPr="003828FA">
        <w:rPr>
          <w:lang w:eastAsia="de-DE"/>
        </w:rPr>
        <w:t>estra</w:t>
      </w:r>
      <w:proofErr w:type="spellEnd"/>
      <w:r>
        <w:rPr>
          <w:lang w:eastAsia="de-DE"/>
        </w:rPr>
        <w:t>)</w:t>
      </w:r>
      <w:r w:rsidRPr="003828FA">
        <w:rPr>
          <w:lang w:eastAsia="de-DE"/>
        </w:rPr>
        <w:t xml:space="preserve"> při infekčních chorobách a dalších </w:t>
      </w:r>
      <w:proofErr w:type="gramStart"/>
      <w:r w:rsidRPr="003828FA">
        <w:rPr>
          <w:lang w:eastAsia="de-DE"/>
        </w:rPr>
        <w:t>závažných  poruchách</w:t>
      </w:r>
      <w:proofErr w:type="gramEnd"/>
      <w:r w:rsidRPr="003828FA">
        <w:rPr>
          <w:lang w:eastAsia="de-DE"/>
        </w:rPr>
        <w:t>.</w:t>
      </w:r>
    </w:p>
    <w:p w:rsidR="002F7C63" w:rsidRPr="009318A3" w:rsidRDefault="002F7C63" w:rsidP="00E525DE">
      <w:pPr>
        <w:autoSpaceDE w:val="0"/>
        <w:autoSpaceDN w:val="0"/>
        <w:adjustRightInd w:val="0"/>
        <w:ind w:left="180" w:hanging="180"/>
        <w:jc w:val="both"/>
        <w:rPr>
          <w:lang w:eastAsia="de-DE"/>
        </w:rPr>
      </w:pPr>
      <w:r>
        <w:rPr>
          <w:lang w:eastAsia="de-DE"/>
        </w:rPr>
        <w:t xml:space="preserve">- </w:t>
      </w:r>
      <w:r>
        <w:rPr>
          <w:lang w:eastAsia="de-DE"/>
        </w:rPr>
        <w:tab/>
      </w:r>
      <w:r w:rsidRPr="003828FA">
        <w:rPr>
          <w:lang w:eastAsia="de-DE"/>
        </w:rPr>
        <w:t>Nepoužívat v případě přecitlivělosti na léčivou látku, nebo na některou z pomocných látek.</w:t>
      </w:r>
    </w:p>
    <w:p w:rsidR="002F7C63" w:rsidRDefault="002F7C63" w:rsidP="00E525DE">
      <w:pPr>
        <w:ind w:left="180" w:hanging="180"/>
      </w:pPr>
    </w:p>
    <w:p w:rsidR="002F7C63" w:rsidRDefault="002F7C63" w:rsidP="00C57E7A">
      <w:r>
        <w:rPr>
          <w:b/>
        </w:rPr>
        <w:t>6.</w:t>
      </w:r>
      <w:r>
        <w:rPr>
          <w:b/>
        </w:rPr>
        <w:tab/>
        <w:t>NEŽÁDOUCÍ ÚČINKY</w:t>
      </w:r>
    </w:p>
    <w:p w:rsidR="002F7C63" w:rsidRDefault="002F7C63" w:rsidP="00940843">
      <w:pPr>
        <w:jc w:val="both"/>
      </w:pPr>
      <w:r>
        <w:t>Nejsou známy.</w:t>
      </w:r>
    </w:p>
    <w:p w:rsidR="002F7C63" w:rsidRDefault="002F7C63" w:rsidP="00C57E7A"/>
    <w:p w:rsidR="002F7C63" w:rsidRDefault="002F7C63" w:rsidP="00C57E7A">
      <w:r>
        <w:t xml:space="preserve">Jestliže zaznamenáte jakékoliv závažné nežádoucí účinky či jiné reakce, které nejsou uvedeny v této příbalové informaci, oznamte to prosím vašemu veterinárnímu lékaři. </w:t>
      </w:r>
    </w:p>
    <w:p w:rsidR="002F7C63" w:rsidRDefault="002F7C63" w:rsidP="00C57E7A">
      <w:pPr>
        <w:rPr>
          <w:b/>
        </w:rPr>
      </w:pPr>
    </w:p>
    <w:p w:rsidR="002F7C63" w:rsidRDefault="002F7C63" w:rsidP="00C57E7A">
      <w:r>
        <w:rPr>
          <w:b/>
        </w:rPr>
        <w:t>7.</w:t>
      </w:r>
      <w:r>
        <w:rPr>
          <w:b/>
        </w:rPr>
        <w:tab/>
        <w:t>CÍLOVÝ DRUH ZVÍŘAT</w:t>
      </w:r>
    </w:p>
    <w:p w:rsidR="002F7C63" w:rsidRDefault="002F7C63" w:rsidP="001674D4">
      <w:pPr>
        <w:jc w:val="both"/>
      </w:pPr>
      <w:r>
        <w:t>Skot, koně, prasata.</w:t>
      </w:r>
    </w:p>
    <w:p w:rsidR="002F7C63" w:rsidRDefault="002F7C63" w:rsidP="00C57E7A">
      <w:pPr>
        <w:rPr>
          <w:b/>
        </w:rPr>
      </w:pPr>
    </w:p>
    <w:p w:rsidR="002F7C63" w:rsidRDefault="002F7C63" w:rsidP="00C57E7A">
      <w:r>
        <w:rPr>
          <w:b/>
        </w:rPr>
        <w:t>8.</w:t>
      </w:r>
      <w:r>
        <w:rPr>
          <w:b/>
        </w:rPr>
        <w:tab/>
        <w:t xml:space="preserve">DÁVKOVÁNÍ PRO KAŽDÝ DRUH, </w:t>
      </w:r>
      <w:proofErr w:type="gramStart"/>
      <w:r>
        <w:rPr>
          <w:b/>
        </w:rPr>
        <w:t>CESTA(Y) A  ZPŮSOB</w:t>
      </w:r>
      <w:proofErr w:type="gramEnd"/>
      <w:r>
        <w:rPr>
          <w:b/>
        </w:rPr>
        <w:t xml:space="preserve"> PODÁNÍ</w:t>
      </w:r>
    </w:p>
    <w:p w:rsidR="002F7C63" w:rsidRDefault="002F7C63" w:rsidP="00CF400C">
      <w:pPr>
        <w:jc w:val="both"/>
      </w:pPr>
      <w:r w:rsidRPr="003828FA">
        <w:t>Jednorázové intramuskulární nebo subkutánní podání.</w:t>
      </w:r>
    </w:p>
    <w:p w:rsidR="002F7C63" w:rsidRDefault="002F7C63" w:rsidP="00845E07">
      <w:pPr>
        <w:jc w:val="both"/>
        <w:rPr>
          <w:b/>
        </w:rPr>
      </w:pPr>
    </w:p>
    <w:p w:rsidR="002F7C63" w:rsidRPr="003828FA" w:rsidRDefault="002F7C63" w:rsidP="00CF400C">
      <w:pPr>
        <w:jc w:val="both"/>
      </w:pPr>
      <w:r w:rsidRPr="003828FA">
        <w:t>Zátka může být bezpečně propíchnuta 20krát. Při léčbě skupin zvířat v krátkém časovém intervalu se doporučuje používat odběrovou jehlu, zavedenou do zátky lahvičky, aby se zabránilo nadměrnému propichování zátky. Po ukončení léčby se jehla odstraní.</w:t>
      </w:r>
    </w:p>
    <w:p w:rsidR="002F7C63" w:rsidRPr="003828FA" w:rsidRDefault="002F7C63" w:rsidP="00C57E7A">
      <w:pPr>
        <w:rPr>
          <w:b/>
        </w:rPr>
      </w:pPr>
    </w:p>
    <w:p w:rsidR="002F7C63" w:rsidRPr="003828FA" w:rsidRDefault="002F7C63" w:rsidP="00CF400C">
      <w:pPr>
        <w:jc w:val="both"/>
        <w:rPr>
          <w:lang w:eastAsia="de-DE"/>
        </w:rPr>
      </w:pPr>
      <w:r w:rsidRPr="001633BF">
        <w:t>Krávy a jalovice: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28FA">
        <w:rPr>
          <w:lang w:eastAsia="de-DE"/>
        </w:rPr>
        <w:t xml:space="preserve">1,0 – 2,0 ml intramuskulárně  </w:t>
      </w:r>
    </w:p>
    <w:p w:rsidR="002F7C63" w:rsidRPr="003828FA" w:rsidRDefault="002F7C63" w:rsidP="00CF400C">
      <w:pPr>
        <w:jc w:val="both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3828FA">
        <w:rPr>
          <w:lang w:eastAsia="de-DE"/>
        </w:rPr>
        <w:t xml:space="preserve">(odpovídá dávce 50 – 100 µg </w:t>
      </w:r>
      <w:proofErr w:type="spellStart"/>
      <w:r w:rsidRPr="003828FA">
        <w:rPr>
          <w:lang w:eastAsia="de-DE"/>
        </w:rPr>
        <w:t>gonadorelinu</w:t>
      </w:r>
      <w:proofErr w:type="spellEnd"/>
      <w:r w:rsidRPr="003828FA">
        <w:rPr>
          <w:lang w:eastAsia="de-DE"/>
        </w:rPr>
        <w:t xml:space="preserve"> [6-D-Phe] na zvíře)</w:t>
      </w:r>
      <w:r>
        <w:rPr>
          <w:lang w:eastAsia="de-DE"/>
        </w:rPr>
        <w:t>.</w:t>
      </w:r>
    </w:p>
    <w:p w:rsidR="002F7C63" w:rsidRPr="003828FA" w:rsidRDefault="002F7C63" w:rsidP="00E525DE">
      <w:pPr>
        <w:tabs>
          <w:tab w:val="left" w:pos="8100"/>
        </w:tabs>
        <w:autoSpaceDE w:val="0"/>
        <w:autoSpaceDN w:val="0"/>
        <w:adjustRightInd w:val="0"/>
        <w:rPr>
          <w:lang w:eastAsia="de-DE"/>
        </w:rPr>
      </w:pPr>
      <w:r w:rsidRPr="003828FA">
        <w:rPr>
          <w:lang w:eastAsia="de-DE"/>
        </w:rPr>
        <w:t>- Vyvolání ovulace při ovulaci op</w:t>
      </w:r>
      <w:r>
        <w:rPr>
          <w:lang w:eastAsia="de-DE"/>
        </w:rPr>
        <w:t>ožděné z důvodu nedostatku LH</w:t>
      </w:r>
      <w:r>
        <w:rPr>
          <w:lang w:eastAsia="de-DE"/>
        </w:rPr>
        <w:tab/>
      </w:r>
      <w:r w:rsidRPr="003828FA">
        <w:rPr>
          <w:lang w:eastAsia="de-DE"/>
        </w:rPr>
        <w:t>2,0 ml</w:t>
      </w:r>
      <w:r w:rsidRPr="003828FA">
        <w:rPr>
          <w:lang w:eastAsia="de-DE"/>
        </w:rPr>
        <w:br/>
        <w:t>- Synchronizace ovulace v návaznosti na synchronizaci říje</w:t>
      </w:r>
      <w:r w:rsidRPr="003828FA">
        <w:rPr>
          <w:lang w:eastAsia="de-DE"/>
        </w:rPr>
        <w:tab/>
        <w:t xml:space="preserve"> 1,0 ml</w:t>
      </w:r>
    </w:p>
    <w:p w:rsidR="002F7C63" w:rsidRPr="003828FA" w:rsidRDefault="002F7C63" w:rsidP="00E525DE">
      <w:pPr>
        <w:tabs>
          <w:tab w:val="left" w:pos="8100"/>
        </w:tabs>
        <w:autoSpaceDE w:val="0"/>
        <w:autoSpaceDN w:val="0"/>
        <w:adjustRightInd w:val="0"/>
        <w:jc w:val="both"/>
        <w:rPr>
          <w:lang w:eastAsia="de-DE"/>
        </w:rPr>
      </w:pPr>
      <w:r w:rsidRPr="003828FA">
        <w:rPr>
          <w:lang w:eastAsia="de-DE"/>
        </w:rPr>
        <w:t xml:space="preserve">- Stimulace vaječníků v puerperiu od 12. dne post </w:t>
      </w:r>
      <w:proofErr w:type="spellStart"/>
      <w:r w:rsidRPr="003828FA">
        <w:rPr>
          <w:lang w:eastAsia="de-DE"/>
        </w:rPr>
        <w:t>partum</w:t>
      </w:r>
      <w:proofErr w:type="spellEnd"/>
      <w:r w:rsidRPr="003828FA">
        <w:rPr>
          <w:lang w:eastAsia="de-DE"/>
        </w:rPr>
        <w:tab/>
        <w:t>1,0 ml</w:t>
      </w:r>
    </w:p>
    <w:p w:rsidR="002F7C63" w:rsidRPr="003828FA" w:rsidRDefault="002F7C63" w:rsidP="00E525DE">
      <w:pPr>
        <w:tabs>
          <w:tab w:val="left" w:pos="8100"/>
        </w:tabs>
        <w:autoSpaceDE w:val="0"/>
        <w:autoSpaceDN w:val="0"/>
        <w:adjustRightInd w:val="0"/>
        <w:rPr>
          <w:lang w:eastAsia="de-DE"/>
        </w:rPr>
      </w:pPr>
      <w:r w:rsidRPr="003828FA">
        <w:rPr>
          <w:lang w:eastAsia="de-DE"/>
        </w:rPr>
        <w:t>- Vaječníkové cysty (v důsledku nedostatku LH)</w:t>
      </w:r>
      <w:r w:rsidRPr="003828FA">
        <w:rPr>
          <w:lang w:eastAsia="de-DE"/>
        </w:rPr>
        <w:tab/>
        <w:t xml:space="preserve"> 1,0 ml.</w:t>
      </w:r>
    </w:p>
    <w:p w:rsidR="002F7C63" w:rsidRPr="004F38BE" w:rsidRDefault="002F7C63" w:rsidP="00CF400C">
      <w:pPr>
        <w:tabs>
          <w:tab w:val="right" w:pos="9214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  <w:lang w:eastAsia="de-DE"/>
        </w:rPr>
      </w:pPr>
    </w:p>
    <w:p w:rsidR="002F7C63" w:rsidRPr="003828FA" w:rsidRDefault="002F7C63" w:rsidP="00CF400C">
      <w:pPr>
        <w:tabs>
          <w:tab w:val="right" w:pos="9214"/>
        </w:tabs>
        <w:autoSpaceDE w:val="0"/>
        <w:autoSpaceDN w:val="0"/>
        <w:adjustRightInd w:val="0"/>
        <w:rPr>
          <w:lang w:eastAsia="de-DE"/>
        </w:rPr>
      </w:pPr>
      <w:r w:rsidRPr="001633BF">
        <w:rPr>
          <w:lang w:eastAsia="de-DE"/>
        </w:rPr>
        <w:t>Klisny:</w:t>
      </w:r>
      <w:r>
        <w:rPr>
          <w:lang w:eastAsia="de-DE"/>
        </w:rPr>
        <w:tab/>
      </w:r>
      <w:r w:rsidRPr="003828FA">
        <w:rPr>
          <w:lang w:eastAsia="de-DE"/>
        </w:rPr>
        <w:t xml:space="preserve">2,0 ml intramuskulárně  </w:t>
      </w:r>
    </w:p>
    <w:p w:rsidR="002F7C63" w:rsidRPr="003828FA" w:rsidRDefault="002F7C63" w:rsidP="00CF400C">
      <w:pPr>
        <w:tabs>
          <w:tab w:val="right" w:pos="9214"/>
        </w:tabs>
        <w:autoSpaceDE w:val="0"/>
        <w:autoSpaceDN w:val="0"/>
        <w:adjustRightInd w:val="0"/>
        <w:rPr>
          <w:lang w:eastAsia="de-DE"/>
        </w:rPr>
      </w:pPr>
      <w:r>
        <w:rPr>
          <w:lang w:eastAsia="de-DE"/>
        </w:rPr>
        <w:tab/>
      </w:r>
      <w:r w:rsidRPr="003828FA">
        <w:rPr>
          <w:lang w:eastAsia="de-DE"/>
        </w:rPr>
        <w:t xml:space="preserve">(odpovídá dávce 100 µg </w:t>
      </w:r>
      <w:proofErr w:type="spellStart"/>
      <w:r w:rsidRPr="003828FA">
        <w:rPr>
          <w:lang w:eastAsia="de-DE"/>
        </w:rPr>
        <w:t>gonadorelinu</w:t>
      </w:r>
      <w:proofErr w:type="spellEnd"/>
      <w:r w:rsidRPr="003828FA">
        <w:rPr>
          <w:lang w:eastAsia="de-DE"/>
        </w:rPr>
        <w:t xml:space="preserve"> [6-D-Phe] na zvíře)</w:t>
      </w:r>
      <w:r>
        <w:rPr>
          <w:lang w:eastAsia="de-DE"/>
        </w:rPr>
        <w:t>.</w:t>
      </w:r>
    </w:p>
    <w:p w:rsidR="002F7C63" w:rsidRPr="004F38BE" w:rsidRDefault="002F7C63" w:rsidP="00CF400C">
      <w:pPr>
        <w:jc w:val="both"/>
        <w:rPr>
          <w:highlight w:val="yellow"/>
        </w:rPr>
      </w:pPr>
    </w:p>
    <w:p w:rsidR="002F7C63" w:rsidRPr="000353B3" w:rsidRDefault="002F7C63" w:rsidP="00CF400C">
      <w:pPr>
        <w:tabs>
          <w:tab w:val="right" w:pos="9214"/>
        </w:tabs>
        <w:autoSpaceDE w:val="0"/>
        <w:autoSpaceDN w:val="0"/>
        <w:adjustRightInd w:val="0"/>
        <w:rPr>
          <w:lang w:eastAsia="de-DE"/>
        </w:rPr>
      </w:pPr>
      <w:r w:rsidRPr="001633BF">
        <w:rPr>
          <w:lang w:eastAsia="de-DE"/>
        </w:rPr>
        <w:t>Prasnice a prasničky:</w:t>
      </w:r>
      <w:r>
        <w:rPr>
          <w:lang w:eastAsia="de-DE"/>
        </w:rPr>
        <w:tab/>
      </w:r>
      <w:r w:rsidRPr="000353B3">
        <w:rPr>
          <w:lang w:eastAsia="de-DE"/>
        </w:rPr>
        <w:t xml:space="preserve">0,5 – 1,5 </w:t>
      </w:r>
      <w:proofErr w:type="gramStart"/>
      <w:r w:rsidRPr="000353B3">
        <w:rPr>
          <w:lang w:eastAsia="de-DE"/>
        </w:rPr>
        <w:t>ml  intramuskulárně</w:t>
      </w:r>
      <w:proofErr w:type="gramEnd"/>
      <w:r w:rsidRPr="000353B3">
        <w:rPr>
          <w:lang w:eastAsia="de-DE"/>
        </w:rPr>
        <w:t xml:space="preserve"> nebo subkutánně  </w:t>
      </w:r>
    </w:p>
    <w:p w:rsidR="002F7C63" w:rsidRPr="000353B3" w:rsidRDefault="002F7C63" w:rsidP="00CF400C">
      <w:pPr>
        <w:tabs>
          <w:tab w:val="right" w:pos="9214"/>
        </w:tabs>
        <w:autoSpaceDE w:val="0"/>
        <w:autoSpaceDN w:val="0"/>
        <w:adjustRightInd w:val="0"/>
        <w:rPr>
          <w:lang w:eastAsia="de-DE"/>
        </w:rPr>
      </w:pPr>
      <w:r>
        <w:rPr>
          <w:lang w:eastAsia="de-DE"/>
        </w:rPr>
        <w:tab/>
      </w:r>
      <w:r w:rsidRPr="000353B3">
        <w:rPr>
          <w:lang w:eastAsia="de-DE"/>
        </w:rPr>
        <w:t xml:space="preserve">(odpovídá dávce 25 – 75 µg </w:t>
      </w:r>
      <w:proofErr w:type="spellStart"/>
      <w:r w:rsidRPr="000353B3">
        <w:rPr>
          <w:lang w:eastAsia="de-DE"/>
        </w:rPr>
        <w:t>gonadorelinu</w:t>
      </w:r>
      <w:proofErr w:type="spellEnd"/>
      <w:r w:rsidRPr="000353B3">
        <w:rPr>
          <w:lang w:eastAsia="de-DE"/>
        </w:rPr>
        <w:t xml:space="preserve"> [6-D-Phe] na zvíře)</w:t>
      </w:r>
      <w:r>
        <w:rPr>
          <w:lang w:eastAsia="de-DE"/>
        </w:rPr>
        <w:t>.</w:t>
      </w:r>
    </w:p>
    <w:p w:rsidR="002F7C63" w:rsidRPr="002E5ECA" w:rsidRDefault="002F7C63" w:rsidP="00CF400C">
      <w:pPr>
        <w:tabs>
          <w:tab w:val="left" w:pos="5103"/>
        </w:tabs>
        <w:autoSpaceDE w:val="0"/>
        <w:autoSpaceDN w:val="0"/>
        <w:adjustRightInd w:val="0"/>
        <w:jc w:val="both"/>
        <w:rPr>
          <w:lang w:eastAsia="de-DE"/>
        </w:rPr>
      </w:pPr>
      <w:r w:rsidRPr="000353B3">
        <w:rPr>
          <w:lang w:eastAsia="de-DE"/>
        </w:rPr>
        <w:t xml:space="preserve">Synchronizace ovulace společně s PMSG za účelem </w:t>
      </w:r>
      <w:r>
        <w:rPr>
          <w:lang w:eastAsia="de-DE"/>
        </w:rPr>
        <w:t>časově plánované</w:t>
      </w:r>
      <w:r w:rsidRPr="000353B3">
        <w:rPr>
          <w:lang w:eastAsia="de-DE"/>
        </w:rPr>
        <w:t xml:space="preserve"> inseminace jako součásti </w:t>
      </w:r>
      <w:proofErr w:type="gramStart"/>
      <w:r w:rsidRPr="000353B3">
        <w:rPr>
          <w:lang w:eastAsia="de-DE"/>
        </w:rPr>
        <w:t xml:space="preserve">programu  </w:t>
      </w:r>
      <w:r>
        <w:rPr>
          <w:lang w:eastAsia="de-DE"/>
        </w:rPr>
        <w:t>časově</w:t>
      </w:r>
      <w:proofErr w:type="gramEnd"/>
      <w:r>
        <w:rPr>
          <w:lang w:eastAsia="de-DE"/>
        </w:rPr>
        <w:t xml:space="preserve"> plánované</w:t>
      </w:r>
      <w:r w:rsidRPr="000353B3">
        <w:rPr>
          <w:lang w:eastAsia="de-DE"/>
        </w:rPr>
        <w:t xml:space="preserve"> inseminace</w:t>
      </w:r>
      <w:r>
        <w:rPr>
          <w:lang w:eastAsia="de-DE"/>
        </w:rPr>
        <w:t xml:space="preserve">. </w:t>
      </w:r>
    </w:p>
    <w:p w:rsidR="002F7C63" w:rsidRPr="002E5ECA" w:rsidRDefault="002F7C63" w:rsidP="00A224C6">
      <w:pPr>
        <w:tabs>
          <w:tab w:val="left" w:pos="5103"/>
          <w:tab w:val="left" w:pos="6521"/>
          <w:tab w:val="left" w:pos="7088"/>
        </w:tabs>
        <w:autoSpaceDE w:val="0"/>
        <w:autoSpaceDN w:val="0"/>
        <w:adjustRightInd w:val="0"/>
        <w:jc w:val="both"/>
        <w:rPr>
          <w:lang w:eastAsia="de-DE"/>
        </w:rPr>
      </w:pPr>
      <w:r>
        <w:rPr>
          <w:lang w:eastAsia="de-DE"/>
        </w:rPr>
        <w:tab/>
        <w:t xml:space="preserve">- dospělé prasnice    </w:t>
      </w:r>
      <w:r>
        <w:rPr>
          <w:lang w:eastAsia="de-DE"/>
        </w:rPr>
        <w:tab/>
      </w:r>
      <w:r>
        <w:rPr>
          <w:lang w:eastAsia="de-DE"/>
        </w:rPr>
        <w:tab/>
      </w:r>
      <w:r w:rsidRPr="002E5ECA">
        <w:rPr>
          <w:lang w:eastAsia="de-DE"/>
        </w:rPr>
        <w:t>0</w:t>
      </w:r>
      <w:r>
        <w:rPr>
          <w:lang w:eastAsia="de-DE"/>
        </w:rPr>
        <w:t>,</w:t>
      </w:r>
      <w:r w:rsidRPr="002E5ECA">
        <w:rPr>
          <w:lang w:eastAsia="de-DE"/>
        </w:rPr>
        <w:t>5 – 1</w:t>
      </w:r>
      <w:r>
        <w:rPr>
          <w:lang w:eastAsia="de-DE"/>
        </w:rPr>
        <w:t>,</w:t>
      </w:r>
      <w:r w:rsidRPr="002E5ECA">
        <w:rPr>
          <w:lang w:eastAsia="de-DE"/>
        </w:rPr>
        <w:t>0 ml</w:t>
      </w:r>
      <w:r w:rsidRPr="002E5ECA">
        <w:rPr>
          <w:lang w:eastAsia="de-DE"/>
        </w:rPr>
        <w:tab/>
      </w:r>
      <w:r>
        <w:rPr>
          <w:lang w:eastAsia="de-DE"/>
        </w:rPr>
        <w:t>- prasničky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2E5ECA">
        <w:rPr>
          <w:lang w:eastAsia="de-DE"/>
        </w:rPr>
        <w:t>1</w:t>
      </w:r>
      <w:r>
        <w:rPr>
          <w:lang w:eastAsia="de-DE"/>
        </w:rPr>
        <w:t>,</w:t>
      </w:r>
      <w:r w:rsidRPr="002E5ECA">
        <w:rPr>
          <w:lang w:eastAsia="de-DE"/>
        </w:rPr>
        <w:t>0 – 1</w:t>
      </w:r>
      <w:r>
        <w:rPr>
          <w:lang w:eastAsia="de-DE"/>
        </w:rPr>
        <w:t>,</w:t>
      </w:r>
      <w:r w:rsidRPr="002E5ECA">
        <w:rPr>
          <w:lang w:eastAsia="de-DE"/>
        </w:rPr>
        <w:t>5 ml</w:t>
      </w:r>
      <w:r>
        <w:rPr>
          <w:lang w:eastAsia="de-DE"/>
        </w:rPr>
        <w:t>.</w:t>
      </w:r>
    </w:p>
    <w:p w:rsidR="002F7C63" w:rsidRPr="00436C4A" w:rsidRDefault="002F7C63" w:rsidP="00CF400C">
      <w:pPr>
        <w:tabs>
          <w:tab w:val="right" w:pos="9214"/>
        </w:tabs>
        <w:autoSpaceDE w:val="0"/>
        <w:autoSpaceDN w:val="0"/>
        <w:adjustRightInd w:val="0"/>
        <w:jc w:val="both"/>
        <w:rPr>
          <w:sz w:val="16"/>
          <w:szCs w:val="16"/>
          <w:lang w:eastAsia="de-DE"/>
        </w:rPr>
      </w:pPr>
    </w:p>
    <w:p w:rsidR="002F7C63" w:rsidRPr="001633BF" w:rsidRDefault="002F7C63" w:rsidP="00CF400C">
      <w:pPr>
        <w:tabs>
          <w:tab w:val="right" w:pos="9214"/>
        </w:tabs>
        <w:autoSpaceDE w:val="0"/>
        <w:autoSpaceDN w:val="0"/>
        <w:adjustRightInd w:val="0"/>
        <w:jc w:val="both"/>
        <w:rPr>
          <w:b/>
          <w:i/>
          <w:u w:val="single"/>
          <w:lang w:eastAsia="de-DE"/>
        </w:rPr>
      </w:pPr>
      <w:r w:rsidRPr="001633BF">
        <w:rPr>
          <w:b/>
          <w:i/>
          <w:u w:val="single"/>
          <w:lang w:eastAsia="de-DE"/>
        </w:rPr>
        <w:t>Zvláštní informace</w:t>
      </w:r>
    </w:p>
    <w:p w:rsidR="002F7C63" w:rsidRPr="00921131" w:rsidRDefault="002F7C63" w:rsidP="00CF400C">
      <w:pPr>
        <w:tabs>
          <w:tab w:val="right" w:pos="9214"/>
        </w:tabs>
        <w:autoSpaceDE w:val="0"/>
        <w:autoSpaceDN w:val="0"/>
        <w:adjustRightInd w:val="0"/>
        <w:jc w:val="both"/>
        <w:rPr>
          <w:lang w:eastAsia="de-DE"/>
        </w:rPr>
      </w:pPr>
      <w:r w:rsidRPr="00921131">
        <w:rPr>
          <w:lang w:eastAsia="de-DE"/>
        </w:rPr>
        <w:t xml:space="preserve">Systém synchronizace ovulace zahrnuje podání PMSG a </w:t>
      </w:r>
      <w:proofErr w:type="spellStart"/>
      <w:r w:rsidRPr="00921131">
        <w:rPr>
          <w:lang w:eastAsia="de-DE"/>
        </w:rPr>
        <w:t>Oestractonu</w:t>
      </w:r>
      <w:proofErr w:type="spellEnd"/>
      <w:r w:rsidRPr="00921131">
        <w:rPr>
          <w:lang w:eastAsia="de-DE"/>
        </w:rPr>
        <w:t xml:space="preserve"> po skončení synchronizace říje (např. podáním </w:t>
      </w:r>
      <w:proofErr w:type="spellStart"/>
      <w:r w:rsidRPr="00921131">
        <w:rPr>
          <w:lang w:eastAsia="de-DE"/>
        </w:rPr>
        <w:t>Altrenogestu</w:t>
      </w:r>
      <w:proofErr w:type="spellEnd"/>
      <w:r w:rsidRPr="00921131">
        <w:rPr>
          <w:lang w:eastAsia="de-DE"/>
        </w:rPr>
        <w:t>) prasničkám nebo po odstavu selat prasnicím a dvě umělé inseminace (AI) v intervalu 40 – 42 hodin.</w:t>
      </w:r>
    </w:p>
    <w:p w:rsidR="002F7C63" w:rsidRDefault="002F7C63" w:rsidP="00CF400C">
      <w:pPr>
        <w:jc w:val="both"/>
      </w:pPr>
      <w:r w:rsidRPr="00921131">
        <w:t xml:space="preserve">U dospělých prasnic závisí </w:t>
      </w:r>
      <w:r>
        <w:t xml:space="preserve">časový </w:t>
      </w:r>
      <w:r w:rsidRPr="00921131">
        <w:t xml:space="preserve">rozvrh podání na době kojení. </w:t>
      </w:r>
    </w:p>
    <w:p w:rsidR="002F7C63" w:rsidRDefault="002F7C63" w:rsidP="00CF400C">
      <w:pPr>
        <w:jc w:val="both"/>
      </w:pPr>
    </w:p>
    <w:p w:rsidR="002F7C63" w:rsidRPr="00921131" w:rsidRDefault="002F7C63" w:rsidP="00CF400C">
      <w:pPr>
        <w:jc w:val="both"/>
        <w:rPr>
          <w:u w:val="single"/>
        </w:rPr>
      </w:pPr>
      <w:r w:rsidRPr="00921131">
        <w:rPr>
          <w:u w:val="single"/>
        </w:rPr>
        <w:t>Dospělé prasnice (doba kojení 33 dní a více):</w:t>
      </w:r>
    </w:p>
    <w:p w:rsidR="002F7C63" w:rsidRPr="00921131" w:rsidRDefault="002F7C63" w:rsidP="00CF400C">
      <w:pPr>
        <w:jc w:val="both"/>
      </w:pPr>
      <w:r w:rsidRPr="00921131">
        <w:t>Interval mezi odstavem a podáním PMSG:</w:t>
      </w:r>
      <w:r w:rsidRPr="00921131">
        <w:tab/>
      </w:r>
      <w:r w:rsidRPr="00921131">
        <w:tab/>
      </w:r>
      <w:r w:rsidRPr="00921131">
        <w:tab/>
      </w:r>
      <w:r w:rsidRPr="00921131">
        <w:tab/>
        <w:t>24 hodin</w:t>
      </w:r>
    </w:p>
    <w:p w:rsidR="002F7C63" w:rsidRPr="00921131" w:rsidRDefault="002F7C63" w:rsidP="00CF400C">
      <w:pPr>
        <w:jc w:val="both"/>
      </w:pPr>
      <w:r w:rsidRPr="00921131">
        <w:t xml:space="preserve">Interval mezi podáním PMSG a </w:t>
      </w:r>
      <w:proofErr w:type="spellStart"/>
      <w:r w:rsidRPr="00921131">
        <w:t>Oestractonu</w:t>
      </w:r>
      <w:proofErr w:type="spellEnd"/>
      <w:r w:rsidRPr="00921131">
        <w:tab/>
      </w:r>
      <w:r w:rsidRPr="00921131">
        <w:tab/>
      </w:r>
      <w:r w:rsidRPr="00921131">
        <w:tab/>
        <w:t>56 hodin (±1 hodina)</w:t>
      </w:r>
    </w:p>
    <w:p w:rsidR="002F7C63" w:rsidRPr="00921131" w:rsidRDefault="002F7C63" w:rsidP="00CF400C">
      <w:pPr>
        <w:jc w:val="both"/>
      </w:pPr>
      <w:r w:rsidRPr="00921131">
        <w:t xml:space="preserve">Interval mezi podáním </w:t>
      </w:r>
      <w:proofErr w:type="spellStart"/>
      <w:r w:rsidRPr="00921131">
        <w:t>Oestractonu</w:t>
      </w:r>
      <w:proofErr w:type="spellEnd"/>
      <w:r w:rsidRPr="00921131">
        <w:t xml:space="preserve"> a 1. AI</w:t>
      </w:r>
      <w:r w:rsidRPr="00921131">
        <w:tab/>
      </w:r>
      <w:r w:rsidRPr="00921131">
        <w:tab/>
      </w:r>
      <w:r w:rsidRPr="00921131">
        <w:tab/>
      </w:r>
      <w:r w:rsidRPr="00921131">
        <w:tab/>
        <w:t>24 – 26 hodin</w:t>
      </w:r>
    </w:p>
    <w:p w:rsidR="002F7C63" w:rsidRPr="00921131" w:rsidRDefault="002F7C63" w:rsidP="00CF400C">
      <w:pPr>
        <w:jc w:val="both"/>
      </w:pPr>
      <w:r w:rsidRPr="00921131">
        <w:t xml:space="preserve">Interval mezi podáním </w:t>
      </w:r>
      <w:proofErr w:type="spellStart"/>
      <w:r w:rsidRPr="00921131">
        <w:t>Oestractonu</w:t>
      </w:r>
      <w:proofErr w:type="spellEnd"/>
      <w:r w:rsidRPr="00921131">
        <w:t xml:space="preserve"> a 2. AI</w:t>
      </w:r>
      <w:r w:rsidRPr="00921131">
        <w:tab/>
      </w:r>
      <w:r w:rsidRPr="00921131">
        <w:tab/>
      </w:r>
      <w:r w:rsidRPr="00921131">
        <w:tab/>
      </w:r>
      <w:r w:rsidRPr="00921131">
        <w:tab/>
        <w:t xml:space="preserve">40 – 42 hodin. </w:t>
      </w:r>
    </w:p>
    <w:p w:rsidR="002F7C63" w:rsidRPr="004F38BE" w:rsidRDefault="002F7C63" w:rsidP="00CF400C">
      <w:pPr>
        <w:jc w:val="both"/>
        <w:rPr>
          <w:sz w:val="16"/>
          <w:szCs w:val="16"/>
          <w:highlight w:val="yellow"/>
        </w:rPr>
      </w:pPr>
    </w:p>
    <w:p w:rsidR="002F7C63" w:rsidRPr="00144988" w:rsidRDefault="002F7C63" w:rsidP="00CF400C">
      <w:pPr>
        <w:jc w:val="both"/>
      </w:pPr>
      <w:r w:rsidRPr="00144988">
        <w:t xml:space="preserve">Doporučená dávka </w:t>
      </w:r>
      <w:proofErr w:type="spellStart"/>
      <w:r w:rsidRPr="00144988">
        <w:t>Oestractonu</w:t>
      </w:r>
      <w:proofErr w:type="spellEnd"/>
      <w:r w:rsidRPr="00144988">
        <w:t xml:space="preserve"> je 50</w:t>
      </w:r>
      <w:r w:rsidRPr="00144988">
        <w:rPr>
          <w:lang w:eastAsia="de-DE"/>
        </w:rPr>
        <w:t xml:space="preserve"> µg. Avšak podání 25 µg je také postačující </w:t>
      </w:r>
      <w:r>
        <w:rPr>
          <w:lang w:eastAsia="de-DE"/>
        </w:rPr>
        <w:t xml:space="preserve">v případě prasnic po více než 3 </w:t>
      </w:r>
      <w:proofErr w:type="gramStart"/>
      <w:r>
        <w:rPr>
          <w:lang w:eastAsia="de-DE"/>
        </w:rPr>
        <w:t xml:space="preserve">vrzích </w:t>
      </w:r>
      <w:r w:rsidRPr="00144988">
        <w:t xml:space="preserve"> nebo</w:t>
      </w:r>
      <w:proofErr w:type="gramEnd"/>
      <w:r w:rsidRPr="00144988">
        <w:t xml:space="preserve"> v případě inseminace v období od září do května.</w:t>
      </w:r>
    </w:p>
    <w:p w:rsidR="002F7C63" w:rsidRPr="004F38BE" w:rsidRDefault="002F7C63" w:rsidP="00CF400C">
      <w:pPr>
        <w:jc w:val="both"/>
        <w:rPr>
          <w:sz w:val="16"/>
          <w:szCs w:val="16"/>
          <w:highlight w:val="yellow"/>
        </w:rPr>
      </w:pPr>
    </w:p>
    <w:p w:rsidR="002F7C63" w:rsidRPr="00921131" w:rsidRDefault="002F7C63" w:rsidP="00CF400C">
      <w:pPr>
        <w:jc w:val="both"/>
      </w:pPr>
      <w:r w:rsidRPr="00921131">
        <w:t xml:space="preserve">V případě kratšího kojení má být interval mezi podáním PMSG a </w:t>
      </w:r>
      <w:proofErr w:type="spellStart"/>
      <w:r w:rsidRPr="00921131">
        <w:t>Oestractonu</w:t>
      </w:r>
      <w:proofErr w:type="spellEnd"/>
      <w:r w:rsidRPr="00921131">
        <w:t xml:space="preserve"> úměrně prodloužen:</w:t>
      </w:r>
    </w:p>
    <w:p w:rsidR="002F7C63" w:rsidRPr="004F38BE" w:rsidRDefault="002F7C63" w:rsidP="00CF400C">
      <w:pPr>
        <w:jc w:val="both"/>
        <w:rPr>
          <w:highlight w:val="yellow"/>
        </w:rPr>
      </w:pPr>
    </w:p>
    <w:p w:rsidR="002F7C63" w:rsidRPr="00245B97" w:rsidRDefault="002F7C63" w:rsidP="00CF400C">
      <w:pPr>
        <w:jc w:val="both"/>
      </w:pPr>
      <w:r w:rsidRPr="00245B97">
        <w:t>Kojení po dobu 4 týdnů:</w:t>
      </w:r>
      <w:r w:rsidRPr="00245B97">
        <w:tab/>
      </w:r>
      <w:r w:rsidRPr="00245B97">
        <w:tab/>
      </w:r>
      <w:r w:rsidRPr="00245B97">
        <w:tab/>
      </w:r>
      <w:r w:rsidRPr="00245B97">
        <w:tab/>
      </w:r>
      <w:r w:rsidRPr="00245B97">
        <w:tab/>
      </w:r>
      <w:r w:rsidRPr="00245B97">
        <w:tab/>
        <w:t>72 hodin</w:t>
      </w:r>
    </w:p>
    <w:p w:rsidR="002F7C63" w:rsidRPr="00245B97" w:rsidRDefault="002F7C63" w:rsidP="00CF400C">
      <w:pPr>
        <w:jc w:val="both"/>
      </w:pPr>
      <w:r w:rsidRPr="00245B97">
        <w:t>Kojení po dobu 3 týdnů:</w:t>
      </w:r>
      <w:r w:rsidRPr="00245B97">
        <w:tab/>
      </w:r>
      <w:r w:rsidRPr="00245B97">
        <w:tab/>
      </w:r>
      <w:r w:rsidRPr="00245B97">
        <w:tab/>
      </w:r>
      <w:r w:rsidRPr="00245B97">
        <w:tab/>
      </w:r>
      <w:r w:rsidRPr="00245B97">
        <w:tab/>
      </w:r>
      <w:r w:rsidRPr="00245B97">
        <w:tab/>
        <w:t>78 – 80 hodin.</w:t>
      </w:r>
    </w:p>
    <w:p w:rsidR="002F7C63" w:rsidRPr="00245B97" w:rsidRDefault="002F7C63" w:rsidP="00CF400C">
      <w:pPr>
        <w:jc w:val="both"/>
      </w:pPr>
      <w:r w:rsidRPr="00245B97">
        <w:t xml:space="preserve">Intervaly mezi podáním </w:t>
      </w:r>
      <w:proofErr w:type="spellStart"/>
      <w:r w:rsidRPr="00245B97">
        <w:t>Oestractonu</w:t>
      </w:r>
      <w:proofErr w:type="spellEnd"/>
      <w:r w:rsidRPr="00245B97">
        <w:t xml:space="preserve"> a oběma AI zůstávají beze změn.</w:t>
      </w:r>
    </w:p>
    <w:p w:rsidR="002F7C63" w:rsidRPr="00245B97" w:rsidRDefault="002F7C63" w:rsidP="00CF400C">
      <w:pPr>
        <w:jc w:val="both"/>
        <w:rPr>
          <w:sz w:val="16"/>
          <w:szCs w:val="16"/>
        </w:rPr>
      </w:pPr>
    </w:p>
    <w:p w:rsidR="002F7C63" w:rsidRPr="00245B97" w:rsidRDefault="002F7C63" w:rsidP="00CF400C">
      <w:pPr>
        <w:jc w:val="both"/>
        <w:rPr>
          <w:u w:val="single"/>
        </w:rPr>
      </w:pPr>
      <w:r w:rsidRPr="00245B97">
        <w:rPr>
          <w:u w:val="single"/>
        </w:rPr>
        <w:t>Prasničky:</w:t>
      </w:r>
    </w:p>
    <w:p w:rsidR="002F7C63" w:rsidRPr="00245B97" w:rsidRDefault="002F7C63" w:rsidP="00CF400C">
      <w:pPr>
        <w:jc w:val="both"/>
      </w:pPr>
      <w:r w:rsidRPr="00245B97">
        <w:t>Interval mezi koncem synchronizace říje a podáním PMSG:</w:t>
      </w:r>
      <w:r w:rsidRPr="00245B97">
        <w:tab/>
        <w:t xml:space="preserve">24 hodin po ukončení </w:t>
      </w:r>
      <w:proofErr w:type="spellStart"/>
      <w:r w:rsidRPr="00245B97">
        <w:t>OeS</w:t>
      </w:r>
      <w:proofErr w:type="spellEnd"/>
    </w:p>
    <w:p w:rsidR="002F7C63" w:rsidRPr="00245B97" w:rsidRDefault="002F7C63" w:rsidP="00CF400C">
      <w:pPr>
        <w:jc w:val="both"/>
      </w:pPr>
      <w:r w:rsidRPr="00245B97">
        <w:t xml:space="preserve">Interval mezi podáním PMSG a </w:t>
      </w:r>
      <w:proofErr w:type="spellStart"/>
      <w:r w:rsidRPr="00245B97">
        <w:t>Oestractonu</w:t>
      </w:r>
      <w:proofErr w:type="spellEnd"/>
      <w:r w:rsidRPr="00245B97">
        <w:tab/>
      </w:r>
      <w:r w:rsidRPr="00245B97">
        <w:tab/>
      </w:r>
      <w:r w:rsidRPr="00245B97">
        <w:tab/>
        <w:t>78 – 82 hodin</w:t>
      </w:r>
    </w:p>
    <w:p w:rsidR="002F7C63" w:rsidRPr="00245B97" w:rsidRDefault="002F7C63" w:rsidP="00CF400C">
      <w:pPr>
        <w:jc w:val="both"/>
      </w:pPr>
      <w:r w:rsidRPr="00245B97">
        <w:t xml:space="preserve">Interval mezi podáním </w:t>
      </w:r>
      <w:proofErr w:type="spellStart"/>
      <w:r w:rsidRPr="00245B97">
        <w:t>Oestractonu</w:t>
      </w:r>
      <w:proofErr w:type="spellEnd"/>
      <w:r w:rsidRPr="00245B97">
        <w:t xml:space="preserve"> a 1. AI</w:t>
      </w:r>
      <w:r w:rsidRPr="00245B97">
        <w:tab/>
      </w:r>
      <w:r w:rsidRPr="00245B97">
        <w:tab/>
      </w:r>
      <w:r w:rsidRPr="00245B97">
        <w:tab/>
      </w:r>
      <w:r w:rsidRPr="00245B97">
        <w:tab/>
        <w:t>24 – 26 hodin</w:t>
      </w:r>
    </w:p>
    <w:p w:rsidR="002F7C63" w:rsidRDefault="002F7C63" w:rsidP="00CF400C">
      <w:pPr>
        <w:jc w:val="both"/>
      </w:pPr>
      <w:r w:rsidRPr="00245B97">
        <w:t xml:space="preserve">Interval mezi podáním </w:t>
      </w:r>
      <w:proofErr w:type="spellStart"/>
      <w:r w:rsidRPr="00245B97">
        <w:t>Oestractonu</w:t>
      </w:r>
      <w:proofErr w:type="spellEnd"/>
      <w:r w:rsidRPr="00245B97">
        <w:t xml:space="preserve"> a 2. AI</w:t>
      </w:r>
      <w:r w:rsidRPr="00245B97">
        <w:tab/>
      </w:r>
      <w:r w:rsidRPr="00245B97">
        <w:tab/>
      </w:r>
      <w:r w:rsidRPr="00245B97">
        <w:tab/>
      </w:r>
      <w:r w:rsidRPr="00245B97">
        <w:tab/>
      </w:r>
      <w:r w:rsidRPr="00245B97">
        <w:sym w:font="Symbol" w:char="F0A3"/>
      </w:r>
      <w:r w:rsidRPr="00245B97">
        <w:t xml:space="preserve"> 40 hodin.</w:t>
      </w:r>
    </w:p>
    <w:p w:rsidR="002F7C63" w:rsidRDefault="002F7C63" w:rsidP="00CF400C">
      <w:pPr>
        <w:jc w:val="both"/>
      </w:pPr>
    </w:p>
    <w:p w:rsidR="002F7C63" w:rsidRPr="000E79EB" w:rsidRDefault="002F7C63" w:rsidP="00245B97">
      <w:pPr>
        <w:jc w:val="both"/>
      </w:pPr>
      <w:r w:rsidRPr="00245B97">
        <w:t xml:space="preserve">Doporučená dávka </w:t>
      </w:r>
      <w:proofErr w:type="spellStart"/>
      <w:r w:rsidRPr="00245B97">
        <w:t>Oestractonu</w:t>
      </w:r>
      <w:proofErr w:type="spellEnd"/>
      <w:r w:rsidRPr="00245B97">
        <w:t xml:space="preserve"> je 50</w:t>
      </w:r>
      <w:r w:rsidRPr="00245B97">
        <w:rPr>
          <w:lang w:eastAsia="de-DE"/>
        </w:rPr>
        <w:t xml:space="preserve"> µg. Avšak dávka může být upravena v rozpětí </w:t>
      </w:r>
      <w:proofErr w:type="gramStart"/>
      <w:r w:rsidRPr="00245B97">
        <w:t>50</w:t>
      </w:r>
      <w:r w:rsidRPr="00245B97">
        <w:rPr>
          <w:lang w:eastAsia="de-DE"/>
        </w:rPr>
        <w:t xml:space="preserve">  – 75</w:t>
      </w:r>
      <w:proofErr w:type="gramEnd"/>
      <w:r w:rsidRPr="00245B97">
        <w:rPr>
          <w:lang w:eastAsia="de-DE"/>
        </w:rPr>
        <w:t xml:space="preserve"> µ</w:t>
      </w:r>
      <w:proofErr w:type="spellStart"/>
      <w:r w:rsidRPr="00245B97">
        <w:rPr>
          <w:lang w:eastAsia="de-DE"/>
        </w:rPr>
        <w:t>gs</w:t>
      </w:r>
      <w:proofErr w:type="spellEnd"/>
      <w:r w:rsidRPr="00245B97">
        <w:rPr>
          <w:lang w:eastAsia="de-DE"/>
        </w:rPr>
        <w:t> ohledem na specifika farem nebo sezónní vlivy.</w:t>
      </w:r>
    </w:p>
    <w:p w:rsidR="002F7C63" w:rsidRDefault="002F7C63" w:rsidP="00CF400C">
      <w:pPr>
        <w:jc w:val="both"/>
      </w:pPr>
      <w:r>
        <w:tab/>
      </w:r>
    </w:p>
    <w:p w:rsidR="002F7C63" w:rsidRDefault="002F7C63" w:rsidP="00CF400C">
      <w:pPr>
        <w:jc w:val="both"/>
      </w:pPr>
      <w:r w:rsidRPr="00203DD1">
        <w:t>Navržený časový plán by měl být přesně dodržen.</w:t>
      </w:r>
    </w:p>
    <w:p w:rsidR="002F7C63" w:rsidRDefault="002F7C63" w:rsidP="00C57E7A">
      <w:pPr>
        <w:rPr>
          <w:b/>
        </w:rPr>
      </w:pPr>
    </w:p>
    <w:p w:rsidR="002F7C63" w:rsidRDefault="002F7C63" w:rsidP="00C57E7A">
      <w:r>
        <w:rPr>
          <w:b/>
        </w:rPr>
        <w:t>9.</w:t>
      </w:r>
      <w:r>
        <w:rPr>
          <w:b/>
        </w:rPr>
        <w:tab/>
        <w:t>POKYNY PRO SPRÁVNÉ PODÁNÍ</w:t>
      </w:r>
    </w:p>
    <w:p w:rsidR="002F7C63" w:rsidRDefault="002F7C63" w:rsidP="00C57E7A">
      <w:r>
        <w:t>Nejsou.</w:t>
      </w:r>
    </w:p>
    <w:p w:rsidR="002F7C63" w:rsidRDefault="002F7C63" w:rsidP="00C57E7A"/>
    <w:p w:rsidR="002F7C63" w:rsidRDefault="002F7C63" w:rsidP="00C57E7A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2F7C63" w:rsidRDefault="002F7C63" w:rsidP="00001531">
      <w:pPr>
        <w:jc w:val="both"/>
      </w:pPr>
      <w:r>
        <w:t>Skot, koně, prasata: maso: Bez ochranných lhůt.</w:t>
      </w:r>
    </w:p>
    <w:p w:rsidR="002F7C63" w:rsidRDefault="002F7C63" w:rsidP="00001531">
      <w:pPr>
        <w:jc w:val="both"/>
      </w:pPr>
      <w:r>
        <w:t>Skot, koně: mléko: Bez ochranných lhůt.</w:t>
      </w:r>
    </w:p>
    <w:p w:rsidR="002F7C63" w:rsidRDefault="002F7C63" w:rsidP="00001531">
      <w:pPr>
        <w:jc w:val="both"/>
      </w:pPr>
    </w:p>
    <w:p w:rsidR="002F7C63" w:rsidRDefault="002F7C63" w:rsidP="00C57E7A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2F7C63" w:rsidRPr="00203DD1" w:rsidRDefault="002F7C63" w:rsidP="00C57E7A">
      <w:r w:rsidRPr="00203DD1">
        <w:t>Uchovávat mimo dosah dětí.</w:t>
      </w:r>
    </w:p>
    <w:p w:rsidR="002F7C63" w:rsidRDefault="002F7C63" w:rsidP="000B61BC">
      <w:pPr>
        <w:ind w:right="-318"/>
        <w:jc w:val="both"/>
      </w:pPr>
    </w:p>
    <w:p w:rsidR="002F7C63" w:rsidRDefault="002F7C63" w:rsidP="000B61BC">
      <w:pPr>
        <w:ind w:right="-318"/>
        <w:jc w:val="both"/>
      </w:pPr>
      <w:r w:rsidRPr="00203DD1">
        <w:t xml:space="preserve">Uchovávejte v chladničce (2 – </w:t>
      </w:r>
      <w:smartTag w:uri="urn:schemas-microsoft-com:office:smarttags" w:element="metricconverter">
        <w:smartTagPr>
          <w:attr w:name="ProductID" w:val="8 °C"/>
        </w:smartTagPr>
        <w:r w:rsidRPr="00203DD1">
          <w:t>8 °C</w:t>
        </w:r>
      </w:smartTag>
      <w:r w:rsidRPr="00203DD1">
        <w:t xml:space="preserve">). </w:t>
      </w:r>
    </w:p>
    <w:p w:rsidR="002F7C63" w:rsidRDefault="002F7C63" w:rsidP="000B61BC">
      <w:pPr>
        <w:ind w:right="-318"/>
        <w:jc w:val="both"/>
      </w:pPr>
      <w:r w:rsidRPr="00203DD1">
        <w:t>Uchovávejte l</w:t>
      </w:r>
      <w:r>
        <w:t>ahvičku</w:t>
      </w:r>
      <w:r w:rsidRPr="00203DD1">
        <w:t xml:space="preserve"> v krabičce.</w:t>
      </w:r>
    </w:p>
    <w:p w:rsidR="002F7C63" w:rsidRDefault="002F7C63" w:rsidP="00C57E7A">
      <w:pPr>
        <w:ind w:right="-2"/>
      </w:pPr>
    </w:p>
    <w:p w:rsidR="002F7C63" w:rsidRDefault="002F7C63" w:rsidP="00C57E7A">
      <w:pPr>
        <w:ind w:right="-2"/>
        <w:rPr>
          <w:noProof/>
        </w:rPr>
      </w:pPr>
      <w:r>
        <w:t xml:space="preserve">Nepoužívejte tento veterinární léčivý přípravek po uplynutí doby použitelnosti uvedené na štítku a krabičce. </w:t>
      </w:r>
    </w:p>
    <w:p w:rsidR="002F7C63" w:rsidRDefault="002F7C63" w:rsidP="00C57E7A">
      <w:pPr>
        <w:ind w:right="-2"/>
      </w:pPr>
      <w:r>
        <w:t xml:space="preserve">Nepoužívejte veterinární léčivý přípravek pokud  došlo k viditelné změně barvy nebo vzniku </w:t>
      </w:r>
      <w:proofErr w:type="spellStart"/>
      <w:r>
        <w:t>zákalupřípravku</w:t>
      </w:r>
      <w:proofErr w:type="spellEnd"/>
      <w:r>
        <w:t xml:space="preserve">. </w:t>
      </w:r>
    </w:p>
    <w:p w:rsidR="002F7C63" w:rsidRDefault="002F7C63" w:rsidP="00F7026E">
      <w:pPr>
        <w:ind w:right="-318"/>
        <w:jc w:val="both"/>
      </w:pPr>
    </w:p>
    <w:p w:rsidR="002F7C63" w:rsidRPr="00A224C6" w:rsidRDefault="002F7C63" w:rsidP="00F7026E">
      <w:pPr>
        <w:ind w:right="-318"/>
        <w:jc w:val="both"/>
        <w:rPr>
          <w:u w:val="single"/>
        </w:rPr>
      </w:pPr>
      <w:r w:rsidRPr="00A224C6">
        <w:rPr>
          <w:u w:val="single"/>
        </w:rPr>
        <w:t>Doba použitelnosti po prvním otevření vnitřního obalu</w:t>
      </w:r>
    </w:p>
    <w:p w:rsidR="002F7C63" w:rsidRPr="00A224C6" w:rsidRDefault="002F7C63" w:rsidP="00F7026E">
      <w:pPr>
        <w:ind w:right="-318"/>
        <w:jc w:val="both"/>
      </w:pPr>
      <w:r w:rsidRPr="00A224C6">
        <w:t>10 ml l</w:t>
      </w:r>
      <w:r>
        <w:t>ahvička</w:t>
      </w:r>
      <w:r w:rsidRPr="00A224C6">
        <w:t>: 2 týdny.</w:t>
      </w:r>
    </w:p>
    <w:p w:rsidR="002F7C63" w:rsidRPr="00A224C6" w:rsidRDefault="002F7C63" w:rsidP="00F7026E">
      <w:pPr>
        <w:ind w:right="-318"/>
        <w:jc w:val="both"/>
      </w:pPr>
      <w:r w:rsidRPr="00A224C6">
        <w:t>50 ml l</w:t>
      </w:r>
      <w:r>
        <w:t>ahvička</w:t>
      </w:r>
      <w:r w:rsidRPr="00A224C6">
        <w:t>: 4 týdny.</w:t>
      </w:r>
    </w:p>
    <w:p w:rsidR="002F7C63" w:rsidRDefault="002F7C63" w:rsidP="00C57E7A">
      <w:pPr>
        <w:ind w:right="-2"/>
      </w:pPr>
    </w:p>
    <w:p w:rsidR="002F7C63" w:rsidRDefault="002F7C63" w:rsidP="00C57E7A">
      <w:pPr>
        <w:ind w:right="-2"/>
      </w:pPr>
      <w:r w:rsidRPr="005621D0">
        <w:t>Datum exspirace</w:t>
      </w:r>
      <w:r>
        <w:t xml:space="preserve"> po prvním otevření obalu by měla být zaznamenána na štítek lékovky na vyznačené místo.  </w:t>
      </w:r>
    </w:p>
    <w:p w:rsidR="002F7C63" w:rsidRPr="00E525DE" w:rsidRDefault="002F7C63" w:rsidP="00C40F33"/>
    <w:p w:rsidR="002F7C63" w:rsidRDefault="002F7C63" w:rsidP="00C57E7A">
      <w:pPr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2F7C63" w:rsidRDefault="002F7C63" w:rsidP="003E12C4">
      <w:pPr>
        <w:jc w:val="both"/>
        <w:rPr>
          <w:u w:val="single"/>
        </w:rPr>
      </w:pPr>
      <w:r w:rsidRPr="00DA0D49">
        <w:rPr>
          <w:u w:val="single"/>
        </w:rPr>
        <w:t>Zvláštní opatření určené osobám, které podávají veterinární léčivý přípravek zvířatům</w:t>
      </w:r>
    </w:p>
    <w:p w:rsidR="002F7C63" w:rsidRPr="00000FA1" w:rsidRDefault="002F7C63" w:rsidP="00E24549">
      <w:pPr>
        <w:pStyle w:val="Normlnweb"/>
        <w:jc w:val="both"/>
      </w:pPr>
      <w:r>
        <w:t xml:space="preserve">Při manipulaci s přípravkem předcházejte </w:t>
      </w:r>
      <w:r w:rsidRPr="00000FA1">
        <w:t xml:space="preserve">náhodnému </w:t>
      </w:r>
      <w:proofErr w:type="spellStart"/>
      <w:r>
        <w:t>samopodání</w:t>
      </w:r>
      <w:proofErr w:type="spellEnd"/>
      <w:r>
        <w:t xml:space="preserve"> injekce. V případě </w:t>
      </w:r>
      <w:r w:rsidRPr="00000FA1">
        <w:t>náhodné</w:t>
      </w:r>
      <w:r>
        <w:t>ho</w:t>
      </w:r>
      <w:r w:rsidRPr="00000FA1">
        <w:t xml:space="preserve"> sebepoškození injekčně aplikovaným přípravkem, vyhledejte ihned lékařskou pomoc a ukažte příbalovou informaci nebo etiketu praktickému lékaři. </w:t>
      </w:r>
    </w:p>
    <w:p w:rsidR="002F7C63" w:rsidRDefault="002F7C63" w:rsidP="00E24549"/>
    <w:p w:rsidR="002F7C63" w:rsidRPr="00000FA1" w:rsidRDefault="002F7C63" w:rsidP="00E24549">
      <w:pPr>
        <w:jc w:val="both"/>
      </w:pPr>
      <w:r w:rsidRPr="00000FA1">
        <w:lastRenderedPageBreak/>
        <w:t>Účinky náhodné</w:t>
      </w:r>
      <w:r>
        <w:t xml:space="preserve"> expozice</w:t>
      </w:r>
      <w:r w:rsidRPr="00000FA1">
        <w:t xml:space="preserve"> těhotných žen nebo žen s normálním reprodukčním cyklem nejsou známy, </w:t>
      </w:r>
      <w:r>
        <w:t xml:space="preserve">a </w:t>
      </w:r>
      <w:r w:rsidRPr="00000FA1">
        <w:t xml:space="preserve">proto </w:t>
      </w:r>
      <w:r>
        <w:t xml:space="preserve">se </w:t>
      </w:r>
      <w:r w:rsidRPr="00000FA1">
        <w:t>doporuč</w:t>
      </w:r>
      <w:r>
        <w:t xml:space="preserve">uje, aby </w:t>
      </w:r>
      <w:r w:rsidRPr="00000FA1">
        <w:t>těhotn</w:t>
      </w:r>
      <w:r>
        <w:t xml:space="preserve">é </w:t>
      </w:r>
      <w:r w:rsidRPr="00000FA1">
        <w:t>žen</w:t>
      </w:r>
      <w:r>
        <w:t>y</w:t>
      </w:r>
      <w:r w:rsidRPr="00000FA1">
        <w:t xml:space="preserve"> p</w:t>
      </w:r>
      <w:r>
        <w:t xml:space="preserve">řípravek </w:t>
      </w:r>
      <w:r w:rsidRPr="00000FA1">
        <w:t>ne</w:t>
      </w:r>
      <w:r>
        <w:t xml:space="preserve">podávaly </w:t>
      </w:r>
      <w:r w:rsidRPr="00000FA1">
        <w:t xml:space="preserve">a </w:t>
      </w:r>
      <w:r>
        <w:t xml:space="preserve">aby </w:t>
      </w:r>
      <w:r w:rsidRPr="00000FA1">
        <w:t>žen</w:t>
      </w:r>
      <w:r>
        <w:t xml:space="preserve">y </w:t>
      </w:r>
      <w:r w:rsidRPr="00000FA1">
        <w:t>v </w:t>
      </w:r>
      <w:proofErr w:type="spellStart"/>
      <w:r>
        <w:t>plodnémvěku</w:t>
      </w:r>
      <w:proofErr w:type="spellEnd"/>
      <w:r>
        <w:t xml:space="preserve"> podávaly </w:t>
      </w:r>
      <w:r w:rsidRPr="00000FA1">
        <w:t>s</w:t>
      </w:r>
      <w:r>
        <w:t xml:space="preserve"> přípravkem </w:t>
      </w:r>
      <w:r w:rsidRPr="00000FA1">
        <w:t>se zvýšenou opatrností.</w:t>
      </w:r>
    </w:p>
    <w:p w:rsidR="002F7C63" w:rsidRPr="00000FA1" w:rsidRDefault="002F7C63" w:rsidP="00E24549">
      <w:pPr>
        <w:jc w:val="both"/>
      </w:pPr>
    </w:p>
    <w:p w:rsidR="002F7C63" w:rsidRPr="00000FA1" w:rsidRDefault="002F7C63" w:rsidP="00E24549">
      <w:pPr>
        <w:jc w:val="both"/>
      </w:pPr>
      <w:r>
        <w:t>Zabraňte</w:t>
      </w:r>
      <w:r w:rsidRPr="00000FA1">
        <w:t xml:space="preserve"> kontaktu přípravku s kůží a očima.</w:t>
      </w:r>
      <w:r>
        <w:t xml:space="preserve"> V případě zasažení </w:t>
      </w:r>
      <w:r w:rsidRPr="00000FA1">
        <w:t xml:space="preserve">kůže omyjte </w:t>
      </w:r>
      <w:r>
        <w:t xml:space="preserve">bezprostředně </w:t>
      </w:r>
      <w:r w:rsidRPr="00000FA1">
        <w:t xml:space="preserve">postižené místo vodou, protože </w:t>
      </w:r>
      <w:proofErr w:type="spellStart"/>
      <w:r w:rsidRPr="00000FA1">
        <w:t>GnRH</w:t>
      </w:r>
      <w:proofErr w:type="spellEnd"/>
      <w:r w:rsidRPr="00000FA1">
        <w:t xml:space="preserve"> analogy </w:t>
      </w:r>
      <w:r>
        <w:t xml:space="preserve">se </w:t>
      </w:r>
      <w:r w:rsidRPr="00000FA1">
        <w:t xml:space="preserve">mohou </w:t>
      </w:r>
      <w:r>
        <w:t xml:space="preserve">vstřebávat </w:t>
      </w:r>
      <w:r w:rsidRPr="00000FA1">
        <w:t>kůží.</w:t>
      </w:r>
      <w:r>
        <w:t xml:space="preserve"> V případě </w:t>
      </w:r>
      <w:r w:rsidRPr="00000FA1">
        <w:t>zasažení očí je důkladně vypláchněte čistou vodou.</w:t>
      </w:r>
    </w:p>
    <w:p w:rsidR="002F7C63" w:rsidRPr="00000FA1" w:rsidRDefault="002F7C63" w:rsidP="00E24549">
      <w:pPr>
        <w:jc w:val="both"/>
      </w:pPr>
    </w:p>
    <w:p w:rsidR="002F7C63" w:rsidRPr="00C85EA8" w:rsidRDefault="002F7C63" w:rsidP="00E24549">
      <w:pPr>
        <w:jc w:val="both"/>
      </w:pPr>
      <w:r w:rsidRPr="00000FA1">
        <w:t xml:space="preserve">Lidé se známou přecitlivělostí na </w:t>
      </w:r>
      <w:proofErr w:type="spellStart"/>
      <w:r>
        <w:t>GnRH</w:t>
      </w:r>
      <w:proofErr w:type="spellEnd"/>
      <w:r w:rsidRPr="00000FA1">
        <w:t xml:space="preserve"> by se měli vyhnout kontaktu s veterinárním léčivým přípravkem.</w:t>
      </w:r>
    </w:p>
    <w:p w:rsidR="002F7C63" w:rsidRDefault="002F7C63" w:rsidP="00165FDE">
      <w:pPr>
        <w:autoSpaceDE w:val="0"/>
        <w:autoSpaceDN w:val="0"/>
        <w:adjustRightInd w:val="0"/>
        <w:jc w:val="both"/>
        <w:rPr>
          <w:b/>
          <w:lang w:eastAsia="de-DE"/>
        </w:rPr>
      </w:pPr>
    </w:p>
    <w:p w:rsidR="002F7C63" w:rsidRPr="00991BC6" w:rsidRDefault="002F7C63" w:rsidP="00165FDE">
      <w:pPr>
        <w:autoSpaceDE w:val="0"/>
        <w:autoSpaceDN w:val="0"/>
        <w:adjustRightInd w:val="0"/>
        <w:jc w:val="both"/>
        <w:rPr>
          <w:u w:val="single"/>
          <w:lang w:eastAsia="de-DE"/>
        </w:rPr>
      </w:pPr>
      <w:r w:rsidRPr="00991BC6">
        <w:rPr>
          <w:u w:val="single"/>
          <w:lang w:eastAsia="de-DE"/>
        </w:rPr>
        <w:t>Interakce</w:t>
      </w:r>
      <w:r w:rsidRPr="00991BC6">
        <w:rPr>
          <w:u w:val="single"/>
        </w:rPr>
        <w:t xml:space="preserve"> s dalšími léčivými přípravky a další formy interakce</w:t>
      </w:r>
    </w:p>
    <w:p w:rsidR="002F7C63" w:rsidRPr="00650C2E" w:rsidRDefault="002F7C63" w:rsidP="00165FDE">
      <w:pPr>
        <w:autoSpaceDE w:val="0"/>
        <w:autoSpaceDN w:val="0"/>
        <w:adjustRightInd w:val="0"/>
        <w:jc w:val="both"/>
        <w:rPr>
          <w:lang w:eastAsia="de-DE"/>
        </w:rPr>
      </w:pPr>
      <w:r>
        <w:rPr>
          <w:lang w:eastAsia="de-DE"/>
        </w:rPr>
        <w:t xml:space="preserve">Při souběžném </w:t>
      </w:r>
      <w:r w:rsidRPr="00650C2E">
        <w:rPr>
          <w:lang w:eastAsia="de-DE"/>
        </w:rPr>
        <w:t xml:space="preserve"> podávání s folikuly stimulujícím hormonem (FSH)</w:t>
      </w:r>
      <w:r>
        <w:rPr>
          <w:lang w:eastAsia="de-DE"/>
        </w:rPr>
        <w:t>vzniká</w:t>
      </w:r>
      <w:r w:rsidRPr="00650C2E">
        <w:rPr>
          <w:lang w:eastAsia="de-DE"/>
        </w:rPr>
        <w:t xml:space="preserve"> synergick</w:t>
      </w:r>
      <w:r>
        <w:rPr>
          <w:lang w:eastAsia="de-DE"/>
        </w:rPr>
        <w:t>ý</w:t>
      </w:r>
      <w:r w:rsidRPr="00650C2E">
        <w:rPr>
          <w:lang w:eastAsia="de-DE"/>
        </w:rPr>
        <w:t xml:space="preserve"> účin</w:t>
      </w:r>
      <w:r>
        <w:rPr>
          <w:lang w:eastAsia="de-DE"/>
        </w:rPr>
        <w:t>ek</w:t>
      </w:r>
      <w:r w:rsidRPr="00650C2E">
        <w:rPr>
          <w:lang w:eastAsia="de-DE"/>
        </w:rPr>
        <w:t xml:space="preserve">, zvláště při narušení průběhu puerperia. Souběžné podávání </w:t>
      </w:r>
      <w:proofErr w:type="spellStart"/>
      <w:r w:rsidRPr="00650C2E">
        <w:rPr>
          <w:lang w:eastAsia="de-DE"/>
        </w:rPr>
        <w:t>choriogonadotropinu</w:t>
      </w:r>
      <w:proofErr w:type="spellEnd"/>
      <w:r w:rsidRPr="00650C2E">
        <w:rPr>
          <w:lang w:eastAsia="de-DE"/>
        </w:rPr>
        <w:t xml:space="preserve"> (HCG) může vést k nadměrné reakci vaječníků.    </w:t>
      </w:r>
    </w:p>
    <w:p w:rsidR="002F7C63" w:rsidRDefault="002F7C63" w:rsidP="00C57E7A"/>
    <w:p w:rsidR="002F7C63" w:rsidRDefault="002F7C63" w:rsidP="00991BC6">
      <w:pPr>
        <w:jc w:val="both"/>
        <w:rPr>
          <w:u w:val="single"/>
        </w:rPr>
      </w:pPr>
      <w:r w:rsidRPr="00203DD1">
        <w:rPr>
          <w:u w:val="single"/>
        </w:rPr>
        <w:t>Inkompatibility</w:t>
      </w:r>
    </w:p>
    <w:p w:rsidR="002F7C63" w:rsidRDefault="002F7C63" w:rsidP="00ED400F">
      <w:r>
        <w:t>Studie kompatibility nejsou k dispozici, a proto tento veterinární léčivý přípravek nesmí být mísen s žádnými dalšími  veterinárními léčivými přípravky.</w:t>
      </w:r>
    </w:p>
    <w:p w:rsidR="002F7C63" w:rsidRDefault="002F7C63" w:rsidP="00C57E7A"/>
    <w:p w:rsidR="002F7C63" w:rsidRDefault="002F7C63" w:rsidP="00C57E7A">
      <w:pPr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  POKUD  JE JICH TŘEBA</w:t>
      </w:r>
    </w:p>
    <w:p w:rsidR="002F7C63" w:rsidRPr="004A34A6" w:rsidRDefault="002F7C63" w:rsidP="00C57E7A">
      <w:pPr>
        <w:ind w:right="-318"/>
        <w:rPr>
          <w:i/>
        </w:rPr>
      </w:pPr>
      <w:r w:rsidRPr="00203DD1">
        <w:t>Všechen nepoužitý veterinární léčivý přípravek nebo odpad, který pochází z tohoto přípravku, musí být likvidován podle místních právních předpisů.</w:t>
      </w:r>
    </w:p>
    <w:p w:rsidR="002F7C63" w:rsidRDefault="002F7C63" w:rsidP="00C57E7A">
      <w:pPr>
        <w:rPr>
          <w:b/>
        </w:rPr>
      </w:pPr>
    </w:p>
    <w:p w:rsidR="002F7C63" w:rsidRDefault="002F7C63" w:rsidP="00C57E7A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2F7C63" w:rsidRDefault="006550E1" w:rsidP="00C57E7A">
      <w:pPr>
        <w:ind w:right="-318"/>
      </w:pPr>
      <w:r>
        <w:t>Červen</w:t>
      </w:r>
      <w:r w:rsidR="008D6E15">
        <w:t xml:space="preserve"> 2017</w:t>
      </w:r>
    </w:p>
    <w:p w:rsidR="002F7C63" w:rsidRDefault="002F7C63" w:rsidP="00C57E7A">
      <w:pPr>
        <w:ind w:right="-318"/>
      </w:pPr>
    </w:p>
    <w:p w:rsidR="002F7C63" w:rsidRDefault="002F7C63" w:rsidP="00C57E7A">
      <w:r>
        <w:rPr>
          <w:b/>
        </w:rPr>
        <w:t>15.</w:t>
      </w:r>
      <w:r>
        <w:rPr>
          <w:b/>
        </w:rPr>
        <w:tab/>
        <w:t>DALŠÍ INFORMACE</w:t>
      </w:r>
    </w:p>
    <w:p w:rsidR="002F7C63" w:rsidRPr="008D6A58" w:rsidRDefault="002F7C63" w:rsidP="008D6A58">
      <w:r w:rsidRPr="008D6A58">
        <w:t>Farmakologické vlastnosti</w:t>
      </w:r>
    </w:p>
    <w:p w:rsidR="002F7C63" w:rsidRPr="008D6A58" w:rsidRDefault="002F7C63" w:rsidP="007A483F">
      <w:r w:rsidRPr="008D6A58">
        <w:t xml:space="preserve">Farmakoterapeutická skupina: </w:t>
      </w:r>
      <w:r>
        <w:t>systémová hormonální léčiva kromě po</w:t>
      </w:r>
      <w:r w:rsidRPr="003E49B8">
        <w:t>hlavních hormonů</w:t>
      </w:r>
      <w:r>
        <w:t xml:space="preserve"> a inzulinů</w:t>
      </w:r>
    </w:p>
    <w:p w:rsidR="002F7C63" w:rsidRPr="008D6A58" w:rsidRDefault="002F7C63" w:rsidP="008D6A58">
      <w:proofErr w:type="spellStart"/>
      <w:r w:rsidRPr="008D6A58">
        <w:t>ATCvet</w:t>
      </w:r>
      <w:proofErr w:type="spellEnd"/>
      <w:r w:rsidRPr="008D6A58">
        <w:t xml:space="preserve"> kód: QH01CA01</w:t>
      </w:r>
      <w:r>
        <w:t xml:space="preserve"> (</w:t>
      </w:r>
      <w:proofErr w:type="spellStart"/>
      <w:r>
        <w:t>Gonadorelin</w:t>
      </w:r>
      <w:proofErr w:type="spellEnd"/>
      <w:r>
        <w:t>)</w:t>
      </w:r>
    </w:p>
    <w:p w:rsidR="002F7C63" w:rsidRDefault="002F7C63" w:rsidP="00C57E7A"/>
    <w:p w:rsidR="002F7C63" w:rsidRPr="00203DD1" w:rsidRDefault="002F7C63" w:rsidP="008E6659">
      <w:pPr>
        <w:autoSpaceDE w:val="0"/>
        <w:autoSpaceDN w:val="0"/>
        <w:adjustRightInd w:val="0"/>
        <w:jc w:val="both"/>
        <w:rPr>
          <w:u w:val="single"/>
          <w:lang w:eastAsia="de-DE"/>
        </w:rPr>
      </w:pPr>
      <w:r w:rsidRPr="00203DD1">
        <w:rPr>
          <w:u w:val="single"/>
          <w:lang w:eastAsia="de-DE"/>
        </w:rPr>
        <w:t>Způsob účinku:</w:t>
      </w:r>
    </w:p>
    <w:p w:rsidR="002F7C63" w:rsidRPr="00203DD1" w:rsidRDefault="002F7C63" w:rsidP="008E6659">
      <w:pPr>
        <w:autoSpaceDE w:val="0"/>
        <w:autoSpaceDN w:val="0"/>
        <w:adjustRightInd w:val="0"/>
        <w:jc w:val="both"/>
        <w:rPr>
          <w:lang w:eastAsia="de-DE"/>
        </w:rPr>
      </w:pPr>
      <w:proofErr w:type="spellStart"/>
      <w:r w:rsidRPr="00203DD1">
        <w:rPr>
          <w:lang w:eastAsia="de-DE"/>
        </w:rPr>
        <w:t>Oestracton</w:t>
      </w:r>
      <w:proofErr w:type="spellEnd"/>
      <w:r w:rsidRPr="00203DD1">
        <w:rPr>
          <w:lang w:eastAsia="de-DE"/>
        </w:rPr>
        <w:t xml:space="preserve"> obsahuje </w:t>
      </w:r>
      <w:proofErr w:type="spellStart"/>
      <w:r w:rsidRPr="00203DD1">
        <w:rPr>
          <w:lang w:eastAsia="de-DE"/>
        </w:rPr>
        <w:t>gonadorelin</w:t>
      </w:r>
      <w:proofErr w:type="spellEnd"/>
      <w:r w:rsidRPr="00203DD1">
        <w:rPr>
          <w:lang w:eastAsia="de-DE"/>
        </w:rPr>
        <w:t>[6-D-Phe] acetát(další názvy D-Phe</w:t>
      </w:r>
      <w:r w:rsidRPr="00203DD1">
        <w:rPr>
          <w:vertAlign w:val="superscript"/>
          <w:lang w:eastAsia="de-DE"/>
        </w:rPr>
        <w:t>6</w:t>
      </w:r>
      <w:r w:rsidRPr="00203DD1">
        <w:rPr>
          <w:lang w:eastAsia="de-DE"/>
        </w:rPr>
        <w:t>-LHRH, D-Phe</w:t>
      </w:r>
      <w:r w:rsidRPr="00203DD1">
        <w:rPr>
          <w:vertAlign w:val="superscript"/>
          <w:lang w:eastAsia="de-DE"/>
        </w:rPr>
        <w:t xml:space="preserve">6 </w:t>
      </w:r>
      <w:r w:rsidRPr="00203DD1">
        <w:rPr>
          <w:lang w:eastAsia="de-DE"/>
        </w:rPr>
        <w:t>–</w:t>
      </w:r>
    </w:p>
    <w:p w:rsidR="002F7C63" w:rsidRPr="00203DD1" w:rsidRDefault="002F7C63" w:rsidP="008E6659">
      <w:pPr>
        <w:autoSpaceDE w:val="0"/>
        <w:autoSpaceDN w:val="0"/>
        <w:adjustRightInd w:val="0"/>
        <w:jc w:val="both"/>
      </w:pPr>
      <w:r w:rsidRPr="00203DD1">
        <w:rPr>
          <w:lang w:eastAsia="de-DE"/>
        </w:rPr>
        <w:t xml:space="preserve">LH uvolňující hormon), syntetický analog přírodního gonadotropiny uvolňujícího   hormonu </w:t>
      </w:r>
      <w:proofErr w:type="spellStart"/>
      <w:r w:rsidRPr="00203DD1">
        <w:rPr>
          <w:lang w:eastAsia="de-DE"/>
        </w:rPr>
        <w:t>GnRH</w:t>
      </w:r>
      <w:proofErr w:type="spellEnd"/>
      <w:r w:rsidRPr="00203DD1">
        <w:rPr>
          <w:lang w:eastAsia="de-DE"/>
        </w:rPr>
        <w:t xml:space="preserve">. </w:t>
      </w:r>
      <w:proofErr w:type="spellStart"/>
      <w:r w:rsidRPr="00203DD1">
        <w:rPr>
          <w:lang w:eastAsia="de-DE"/>
        </w:rPr>
        <w:t>GnRH</w:t>
      </w:r>
      <w:proofErr w:type="spellEnd"/>
      <w:r w:rsidRPr="00203DD1">
        <w:rPr>
          <w:lang w:eastAsia="de-DE"/>
        </w:rPr>
        <w:t xml:space="preserve"> se přirozeně tvoří v hypotalamu a </w:t>
      </w:r>
      <w:r>
        <w:rPr>
          <w:lang w:eastAsia="de-DE"/>
        </w:rPr>
        <w:t xml:space="preserve">ovlivňuje </w:t>
      </w:r>
      <w:r w:rsidRPr="00203DD1">
        <w:rPr>
          <w:lang w:eastAsia="de-DE"/>
        </w:rPr>
        <w:t> pohlavní cyklu</w:t>
      </w:r>
      <w:r>
        <w:rPr>
          <w:lang w:eastAsia="de-DE"/>
        </w:rPr>
        <w:t>s působením na hypofýzu</w:t>
      </w:r>
      <w:r w:rsidRPr="00203DD1">
        <w:rPr>
          <w:lang w:eastAsia="de-DE"/>
        </w:rPr>
        <w:t xml:space="preserve">. </w:t>
      </w:r>
      <w:r w:rsidRPr="00203DD1">
        <w:t xml:space="preserve">Hlavní </w:t>
      </w:r>
      <w:r w:rsidRPr="00203DD1">
        <w:rPr>
          <w:rStyle w:val="hps"/>
        </w:rPr>
        <w:t xml:space="preserve">fyziologický </w:t>
      </w:r>
      <w:proofErr w:type="spellStart"/>
      <w:r w:rsidRPr="00203DD1">
        <w:rPr>
          <w:rStyle w:val="hps"/>
        </w:rPr>
        <w:t>účinekGnRHjeuvolněníabiosyntézagonadotropinůLH</w:t>
      </w:r>
      <w:proofErr w:type="spellEnd"/>
      <w:r w:rsidRPr="00203DD1">
        <w:rPr>
          <w:rStyle w:val="hpsatn"/>
        </w:rPr>
        <w:t>(</w:t>
      </w:r>
      <w:r w:rsidRPr="00203DD1">
        <w:t xml:space="preserve">luteinizační hormon) </w:t>
      </w:r>
      <w:proofErr w:type="spellStart"/>
      <w:r w:rsidRPr="00203DD1">
        <w:rPr>
          <w:rStyle w:val="hps"/>
        </w:rPr>
        <w:t>aFSH</w:t>
      </w:r>
      <w:proofErr w:type="spellEnd"/>
      <w:r w:rsidRPr="00203DD1">
        <w:rPr>
          <w:rStyle w:val="hpsatn"/>
        </w:rPr>
        <w:t>(</w:t>
      </w:r>
      <w:r w:rsidRPr="00203DD1">
        <w:t xml:space="preserve">folikuly </w:t>
      </w:r>
      <w:proofErr w:type="spellStart"/>
      <w:r w:rsidRPr="00203DD1">
        <w:rPr>
          <w:rStyle w:val="hps"/>
        </w:rPr>
        <w:t>stimulujícíhormon</w:t>
      </w:r>
      <w:proofErr w:type="spellEnd"/>
      <w:r w:rsidRPr="00203DD1">
        <w:t xml:space="preserve">) </w:t>
      </w:r>
      <w:proofErr w:type="spellStart"/>
      <w:r w:rsidRPr="00203DD1">
        <w:rPr>
          <w:rStyle w:val="hps"/>
        </w:rPr>
        <w:t>gonadotropnímibuňkamiadenohypofýzy</w:t>
      </w:r>
      <w:proofErr w:type="spellEnd"/>
      <w:r w:rsidRPr="00203DD1">
        <w:t>.</w:t>
      </w:r>
    </w:p>
    <w:p w:rsidR="002F7C63" w:rsidRPr="00744223" w:rsidRDefault="002F7C63" w:rsidP="008E6659">
      <w:pPr>
        <w:autoSpaceDE w:val="0"/>
        <w:autoSpaceDN w:val="0"/>
        <w:adjustRightInd w:val="0"/>
        <w:jc w:val="both"/>
        <w:rPr>
          <w:lang w:eastAsia="de-DE"/>
        </w:rPr>
      </w:pPr>
      <w:r w:rsidRPr="00203DD1">
        <w:rPr>
          <w:lang w:eastAsia="de-DE"/>
        </w:rPr>
        <w:t>LH spolu s FSH stimuluje uvolňování estrogenů ze zrajících ovariálních folikulů a v samičím organizmu vyvolává proces ovulace.</w:t>
      </w:r>
    </w:p>
    <w:p w:rsidR="002F7C63" w:rsidRDefault="002F7C63" w:rsidP="008E6659">
      <w:pPr>
        <w:autoSpaceDE w:val="0"/>
        <w:autoSpaceDN w:val="0"/>
        <w:adjustRightInd w:val="0"/>
        <w:jc w:val="both"/>
        <w:rPr>
          <w:highlight w:val="yellow"/>
          <w:lang w:eastAsia="de-DE"/>
        </w:rPr>
      </w:pPr>
    </w:p>
    <w:p w:rsidR="002F7C63" w:rsidRPr="00744223" w:rsidRDefault="002F7C63" w:rsidP="008E6659">
      <w:pPr>
        <w:autoSpaceDE w:val="0"/>
        <w:autoSpaceDN w:val="0"/>
        <w:adjustRightInd w:val="0"/>
        <w:jc w:val="both"/>
        <w:rPr>
          <w:lang w:eastAsia="de-DE"/>
        </w:rPr>
      </w:pPr>
      <w:proofErr w:type="spellStart"/>
      <w:r w:rsidRPr="00203DD1">
        <w:rPr>
          <w:lang w:eastAsia="de-DE"/>
        </w:rPr>
        <w:t>Gonadorelin</w:t>
      </w:r>
      <w:proofErr w:type="spellEnd"/>
      <w:r w:rsidRPr="00203DD1">
        <w:rPr>
          <w:lang w:eastAsia="de-DE"/>
        </w:rPr>
        <w:t xml:space="preserve">[6-D-Phe] acetát má účinek shodný s endogenním </w:t>
      </w:r>
      <w:proofErr w:type="spellStart"/>
      <w:r w:rsidRPr="00203DD1">
        <w:rPr>
          <w:lang w:eastAsia="de-DE"/>
        </w:rPr>
        <w:t>GnRH</w:t>
      </w:r>
      <w:proofErr w:type="spellEnd"/>
      <w:r w:rsidRPr="00203DD1">
        <w:rPr>
          <w:lang w:eastAsia="de-DE"/>
        </w:rPr>
        <w:t>: dochází k imitaci nástupu maximálních hodnot LH ve spontánním cyklu</w:t>
      </w:r>
      <w:r>
        <w:rPr>
          <w:lang w:eastAsia="de-DE"/>
        </w:rPr>
        <w:t xml:space="preserve"> (</w:t>
      </w:r>
      <w:proofErr w:type="spellStart"/>
      <w:r>
        <w:rPr>
          <w:lang w:eastAsia="de-DE"/>
        </w:rPr>
        <w:t>Lhpeaku</w:t>
      </w:r>
      <w:proofErr w:type="spellEnd"/>
      <w:r>
        <w:rPr>
          <w:lang w:eastAsia="de-DE"/>
        </w:rPr>
        <w:t>)</w:t>
      </w:r>
      <w:r w:rsidRPr="00203DD1">
        <w:rPr>
          <w:lang w:eastAsia="de-DE"/>
        </w:rPr>
        <w:t xml:space="preserve">, což </w:t>
      </w:r>
      <w:r>
        <w:rPr>
          <w:lang w:eastAsia="de-DE"/>
        </w:rPr>
        <w:t>vyvolá dozrání</w:t>
      </w:r>
      <w:r w:rsidRPr="00203DD1">
        <w:rPr>
          <w:lang w:eastAsia="de-DE"/>
        </w:rPr>
        <w:t xml:space="preserve"> folikulů a ovulaci či nástup nové vlny zrání folikulů.</w:t>
      </w:r>
    </w:p>
    <w:p w:rsidR="002F7C63" w:rsidRDefault="002F7C63" w:rsidP="00C57E7A"/>
    <w:p w:rsidR="002F7C63" w:rsidRPr="00203DD1" w:rsidRDefault="002F7C63" w:rsidP="00676DEF">
      <w:pPr>
        <w:jc w:val="both"/>
      </w:pPr>
      <w:r w:rsidRPr="00ED083B">
        <w:rPr>
          <w:lang w:eastAsia="de-DE"/>
        </w:rPr>
        <w:t xml:space="preserve">Pomocí </w:t>
      </w:r>
      <w:proofErr w:type="spellStart"/>
      <w:r w:rsidRPr="00ED083B">
        <w:rPr>
          <w:lang w:eastAsia="de-DE"/>
        </w:rPr>
        <w:t>GnRH</w:t>
      </w:r>
      <w:proofErr w:type="spellEnd"/>
      <w:r w:rsidRPr="00ED083B">
        <w:rPr>
          <w:lang w:eastAsia="de-DE"/>
        </w:rPr>
        <w:t xml:space="preserve"> či exogenně dodávaného </w:t>
      </w:r>
      <w:proofErr w:type="spellStart"/>
      <w:r>
        <w:rPr>
          <w:lang w:eastAsia="de-DE"/>
        </w:rPr>
        <w:t>g</w:t>
      </w:r>
      <w:r w:rsidRPr="00ED083B">
        <w:rPr>
          <w:lang w:eastAsia="de-DE"/>
        </w:rPr>
        <w:t>onadorelin</w:t>
      </w:r>
      <w:proofErr w:type="spellEnd"/>
      <w:r w:rsidRPr="00ED083B">
        <w:rPr>
          <w:lang w:eastAsia="de-DE"/>
        </w:rPr>
        <w:t>[6-D-Phe]acetátu dochází ke stimulaci tvorby LH</w:t>
      </w:r>
      <w:r w:rsidRPr="00203DD1">
        <w:rPr>
          <w:lang w:eastAsia="de-DE"/>
        </w:rPr>
        <w:t xml:space="preserve">, tyto přípravky mohou být použity k regulaci ovulace </w:t>
      </w:r>
      <w:r>
        <w:rPr>
          <w:lang w:eastAsia="de-DE"/>
        </w:rPr>
        <w:t>a</w:t>
      </w:r>
      <w:r w:rsidRPr="00203DD1">
        <w:rPr>
          <w:lang w:eastAsia="de-DE"/>
        </w:rPr>
        <w:t xml:space="preserve"> plodnosti. </w:t>
      </w:r>
    </w:p>
    <w:p w:rsidR="002F7C63" w:rsidRDefault="002F7C63" w:rsidP="004C1066"/>
    <w:p w:rsidR="002F7C63" w:rsidRDefault="002F7C63" w:rsidP="0023783A">
      <w:r>
        <w:t>Pouze pro zvířata.</w:t>
      </w:r>
    </w:p>
    <w:p w:rsidR="002F7C63" w:rsidRDefault="002F7C63" w:rsidP="0023783A">
      <w:r>
        <w:t>Veterinární léčivý přípravek je vydáván pouze na předpis.</w:t>
      </w:r>
    </w:p>
    <w:p w:rsidR="002F7C63" w:rsidRDefault="002F7C63" w:rsidP="004C1066"/>
    <w:p w:rsidR="002F7C63" w:rsidRPr="00890844" w:rsidRDefault="002F7C63" w:rsidP="004C1066">
      <w:r w:rsidRPr="00890844">
        <w:t xml:space="preserve">Velikost balení: </w:t>
      </w:r>
    </w:p>
    <w:p w:rsidR="002F7C63" w:rsidRPr="00676DEF" w:rsidRDefault="002F7C63" w:rsidP="004C1066">
      <w:pPr>
        <w:jc w:val="both"/>
      </w:pPr>
      <w:r w:rsidRPr="00203DD1">
        <w:t>1 x 10 m, 6 x 10 ml nebo 1 x 50 ml injekčního roztoku, balené v kartonové</w:t>
      </w:r>
      <w:r>
        <w:t xml:space="preserve"> krabičce</w:t>
      </w:r>
      <w:r w:rsidRPr="00203DD1">
        <w:t>.</w:t>
      </w:r>
    </w:p>
    <w:p w:rsidR="002F7C63" w:rsidRDefault="002F7C63" w:rsidP="004C1066">
      <w:pPr>
        <w:jc w:val="both"/>
      </w:pPr>
    </w:p>
    <w:p w:rsidR="002F7C63" w:rsidRDefault="002F7C63" w:rsidP="004C1066">
      <w:pPr>
        <w:jc w:val="both"/>
      </w:pPr>
      <w:r>
        <w:t xml:space="preserve">Na trhu nemusí být všechny velikosti balení. </w:t>
      </w:r>
    </w:p>
    <w:p w:rsidR="002F7C63" w:rsidRDefault="002F7C63" w:rsidP="00C57E7A"/>
    <w:sectPr w:rsidR="002F7C63" w:rsidSect="00AD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DA" w:rsidRDefault="009F74DA" w:rsidP="007428A4">
      <w:r>
        <w:separator/>
      </w:r>
    </w:p>
  </w:endnote>
  <w:endnote w:type="continuationSeparator" w:id="0">
    <w:p w:rsidR="009F74DA" w:rsidRDefault="009F74DA" w:rsidP="0074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63" w:rsidRDefault="002F7C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63" w:rsidRDefault="002F7C63">
    <w:pPr>
      <w:pStyle w:val="Zpat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63" w:rsidRDefault="002F7C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DA" w:rsidRDefault="009F74DA" w:rsidP="007428A4">
      <w:r>
        <w:separator/>
      </w:r>
    </w:p>
  </w:footnote>
  <w:footnote w:type="continuationSeparator" w:id="0">
    <w:p w:rsidR="009F74DA" w:rsidRDefault="009F74DA" w:rsidP="0074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63" w:rsidRDefault="002F7C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63" w:rsidDel="0023783A" w:rsidRDefault="002F7C63" w:rsidP="0023783A">
    <w:pPr>
      <w:pStyle w:val="Zhlav"/>
      <w:jc w:val="right"/>
      <w:rPr>
        <w:b/>
        <w:color w:val="4F81BD"/>
        <w:lang w:val="en-US"/>
      </w:rPr>
    </w:pPr>
  </w:p>
  <w:p w:rsidR="002F7C63" w:rsidRPr="00864A86" w:rsidRDefault="002F7C63" w:rsidP="0023783A">
    <w:pPr>
      <w:pStyle w:val="Zhlav"/>
      <w:jc w:val="right"/>
      <w:rPr>
        <w:b/>
        <w:color w:val="4F81BD"/>
        <w:lang w:val="en-US"/>
      </w:rPr>
    </w:pPr>
  </w:p>
  <w:p w:rsidR="002F7C63" w:rsidRDefault="002F7C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63" w:rsidRDefault="002F7C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3C51"/>
    <w:multiLevelType w:val="hybridMultilevel"/>
    <w:tmpl w:val="49B6478E"/>
    <w:lvl w:ilvl="0" w:tplc="DB8AC2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E7A"/>
    <w:rsid w:val="00000FA1"/>
    <w:rsid w:val="00001531"/>
    <w:rsid w:val="000104BA"/>
    <w:rsid w:val="000353B3"/>
    <w:rsid w:val="00061609"/>
    <w:rsid w:val="00064CA2"/>
    <w:rsid w:val="000735AC"/>
    <w:rsid w:val="0008357E"/>
    <w:rsid w:val="000B61BC"/>
    <w:rsid w:val="000C4EFA"/>
    <w:rsid w:val="000D2449"/>
    <w:rsid w:val="000E79EB"/>
    <w:rsid w:val="000F1E2F"/>
    <w:rsid w:val="00107485"/>
    <w:rsid w:val="00115BBA"/>
    <w:rsid w:val="00143898"/>
    <w:rsid w:val="00144988"/>
    <w:rsid w:val="001633BF"/>
    <w:rsid w:val="00165FDE"/>
    <w:rsid w:val="001674D4"/>
    <w:rsid w:val="00174563"/>
    <w:rsid w:val="00186993"/>
    <w:rsid w:val="001A0CE4"/>
    <w:rsid w:val="001E508E"/>
    <w:rsid w:val="00203DD1"/>
    <w:rsid w:val="00212136"/>
    <w:rsid w:val="0023783A"/>
    <w:rsid w:val="00245B97"/>
    <w:rsid w:val="002D0380"/>
    <w:rsid w:val="002E5ECA"/>
    <w:rsid w:val="002F7C63"/>
    <w:rsid w:val="00306D2F"/>
    <w:rsid w:val="00313A64"/>
    <w:rsid w:val="003602E0"/>
    <w:rsid w:val="00364E33"/>
    <w:rsid w:val="003828FA"/>
    <w:rsid w:val="0039033E"/>
    <w:rsid w:val="003A7612"/>
    <w:rsid w:val="003E12C4"/>
    <w:rsid w:val="003E43AB"/>
    <w:rsid w:val="003E49B8"/>
    <w:rsid w:val="00436C4A"/>
    <w:rsid w:val="004539B1"/>
    <w:rsid w:val="00453ACD"/>
    <w:rsid w:val="00474123"/>
    <w:rsid w:val="00476298"/>
    <w:rsid w:val="00480BC2"/>
    <w:rsid w:val="00492A6C"/>
    <w:rsid w:val="004A34A6"/>
    <w:rsid w:val="004B2FF8"/>
    <w:rsid w:val="004C1066"/>
    <w:rsid w:val="004E05B1"/>
    <w:rsid w:val="004F38BE"/>
    <w:rsid w:val="004F63AC"/>
    <w:rsid w:val="005621D0"/>
    <w:rsid w:val="00570CF2"/>
    <w:rsid w:val="00577A78"/>
    <w:rsid w:val="005C24AB"/>
    <w:rsid w:val="005D424B"/>
    <w:rsid w:val="005E1D09"/>
    <w:rsid w:val="00614A2D"/>
    <w:rsid w:val="00637E62"/>
    <w:rsid w:val="00650C2E"/>
    <w:rsid w:val="006550E1"/>
    <w:rsid w:val="00662DF8"/>
    <w:rsid w:val="00676DEF"/>
    <w:rsid w:val="00693856"/>
    <w:rsid w:val="006A5123"/>
    <w:rsid w:val="006F418B"/>
    <w:rsid w:val="007140BF"/>
    <w:rsid w:val="00727382"/>
    <w:rsid w:val="00740C97"/>
    <w:rsid w:val="007428A4"/>
    <w:rsid w:val="00744223"/>
    <w:rsid w:val="00785721"/>
    <w:rsid w:val="007869B2"/>
    <w:rsid w:val="007A1B24"/>
    <w:rsid w:val="007A483F"/>
    <w:rsid w:val="007C3D0C"/>
    <w:rsid w:val="007E709D"/>
    <w:rsid w:val="007F07A0"/>
    <w:rsid w:val="0083121F"/>
    <w:rsid w:val="00845E07"/>
    <w:rsid w:val="00864A86"/>
    <w:rsid w:val="00885AB8"/>
    <w:rsid w:val="00890844"/>
    <w:rsid w:val="00892733"/>
    <w:rsid w:val="008A7654"/>
    <w:rsid w:val="008B2F4A"/>
    <w:rsid w:val="008D6A58"/>
    <w:rsid w:val="008D6E15"/>
    <w:rsid w:val="008E6659"/>
    <w:rsid w:val="0090439C"/>
    <w:rsid w:val="00907DF9"/>
    <w:rsid w:val="00921131"/>
    <w:rsid w:val="009318A3"/>
    <w:rsid w:val="00940843"/>
    <w:rsid w:val="00945CB6"/>
    <w:rsid w:val="00947CF3"/>
    <w:rsid w:val="00983B38"/>
    <w:rsid w:val="00985F33"/>
    <w:rsid w:val="00987583"/>
    <w:rsid w:val="00987799"/>
    <w:rsid w:val="00991BC6"/>
    <w:rsid w:val="009A38DF"/>
    <w:rsid w:val="009B5DC7"/>
    <w:rsid w:val="009C5AA8"/>
    <w:rsid w:val="009F74DA"/>
    <w:rsid w:val="00A224C6"/>
    <w:rsid w:val="00A26855"/>
    <w:rsid w:val="00A579D5"/>
    <w:rsid w:val="00A62EA1"/>
    <w:rsid w:val="00A9016C"/>
    <w:rsid w:val="00A910CE"/>
    <w:rsid w:val="00AB47A0"/>
    <w:rsid w:val="00AD1087"/>
    <w:rsid w:val="00AD4D01"/>
    <w:rsid w:val="00AE13DF"/>
    <w:rsid w:val="00B23921"/>
    <w:rsid w:val="00B30B3E"/>
    <w:rsid w:val="00B64123"/>
    <w:rsid w:val="00B64D5E"/>
    <w:rsid w:val="00B706FA"/>
    <w:rsid w:val="00B92B48"/>
    <w:rsid w:val="00BD5EBA"/>
    <w:rsid w:val="00BD6EF6"/>
    <w:rsid w:val="00BE3067"/>
    <w:rsid w:val="00BF6F61"/>
    <w:rsid w:val="00C34991"/>
    <w:rsid w:val="00C40F33"/>
    <w:rsid w:val="00C57E7A"/>
    <w:rsid w:val="00C85EA8"/>
    <w:rsid w:val="00C87DDA"/>
    <w:rsid w:val="00C9244D"/>
    <w:rsid w:val="00CB2553"/>
    <w:rsid w:val="00CC1DA6"/>
    <w:rsid w:val="00CD576F"/>
    <w:rsid w:val="00CD5FD8"/>
    <w:rsid w:val="00CE46A2"/>
    <w:rsid w:val="00CF400C"/>
    <w:rsid w:val="00D00922"/>
    <w:rsid w:val="00D07381"/>
    <w:rsid w:val="00D10511"/>
    <w:rsid w:val="00D135AE"/>
    <w:rsid w:val="00D2519E"/>
    <w:rsid w:val="00D358C9"/>
    <w:rsid w:val="00DA0D49"/>
    <w:rsid w:val="00DE33B6"/>
    <w:rsid w:val="00DF3074"/>
    <w:rsid w:val="00E2253E"/>
    <w:rsid w:val="00E24549"/>
    <w:rsid w:val="00E40922"/>
    <w:rsid w:val="00E525DE"/>
    <w:rsid w:val="00E72EE4"/>
    <w:rsid w:val="00EA250C"/>
    <w:rsid w:val="00ED083B"/>
    <w:rsid w:val="00ED400F"/>
    <w:rsid w:val="00F06C71"/>
    <w:rsid w:val="00F3736B"/>
    <w:rsid w:val="00F53CDC"/>
    <w:rsid w:val="00F54044"/>
    <w:rsid w:val="00F63ED4"/>
    <w:rsid w:val="00F65348"/>
    <w:rsid w:val="00F663DE"/>
    <w:rsid w:val="00F7026E"/>
    <w:rsid w:val="00F97102"/>
    <w:rsid w:val="00FA5712"/>
    <w:rsid w:val="00FA6C30"/>
    <w:rsid w:val="00FA78CE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E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rsid w:val="00C57E7A"/>
    <w:pPr>
      <w:ind w:left="567" w:hanging="567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77A78"/>
    <w:rPr>
      <w:sz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7428A4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7428A4"/>
    <w:rPr>
      <w:sz w:val="24"/>
    </w:rPr>
  </w:style>
  <w:style w:type="paragraph" w:styleId="Zpat">
    <w:name w:val="footer"/>
    <w:basedOn w:val="Normln"/>
    <w:link w:val="ZpatChar"/>
    <w:uiPriority w:val="99"/>
    <w:rsid w:val="007428A4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7428A4"/>
    <w:rPr>
      <w:sz w:val="24"/>
    </w:rPr>
  </w:style>
  <w:style w:type="paragraph" w:styleId="Textbubliny">
    <w:name w:val="Balloon Text"/>
    <w:basedOn w:val="Normln"/>
    <w:link w:val="TextbublinyChar"/>
    <w:uiPriority w:val="99"/>
    <w:rsid w:val="007428A4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locked/>
    <w:rsid w:val="007428A4"/>
    <w:rPr>
      <w:rFonts w:ascii="Tahoma" w:hAnsi="Tahoma"/>
      <w:sz w:val="16"/>
    </w:rPr>
  </w:style>
  <w:style w:type="character" w:customStyle="1" w:styleId="hps">
    <w:name w:val="hps"/>
    <w:uiPriority w:val="99"/>
    <w:rsid w:val="00CF400C"/>
  </w:style>
  <w:style w:type="paragraph" w:styleId="Normlnweb">
    <w:name w:val="Normal (Web)"/>
    <w:basedOn w:val="Normln"/>
    <w:uiPriority w:val="99"/>
    <w:rsid w:val="00DA0D49"/>
    <w:pPr>
      <w:spacing w:before="96" w:after="96"/>
    </w:pPr>
  </w:style>
  <w:style w:type="character" w:customStyle="1" w:styleId="hpsatn">
    <w:name w:val="hps atn"/>
    <w:uiPriority w:val="99"/>
    <w:rsid w:val="008E6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1210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PŘÍBALOVÁ INFORMACE</vt:lpstr>
    </vt:vector>
  </TitlesOfParts>
  <Company>BIOPHARM-VUBVL, a.s.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PŘÍBALOVÁ INFORMACE</dc:title>
  <dc:subject/>
  <dc:creator>Táňa Špindlerová</dc:creator>
  <cp:keywords/>
  <dc:description/>
  <cp:lastModifiedBy>Šťastná Hana</cp:lastModifiedBy>
  <cp:revision>61</cp:revision>
  <cp:lastPrinted>2017-06-15T08:26:00Z</cp:lastPrinted>
  <dcterms:created xsi:type="dcterms:W3CDTF">2013-09-02T13:49:00Z</dcterms:created>
  <dcterms:modified xsi:type="dcterms:W3CDTF">2017-06-15T08:26:00Z</dcterms:modified>
</cp:coreProperties>
</file>