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E6" w:rsidRDefault="00F66EE6">
      <w:pPr>
        <w:spacing w:line="276" w:lineRule="auto"/>
        <w:ind w:right="113"/>
        <w:jc w:val="center"/>
        <w:rPr>
          <w:lang w:val="cs-CZ"/>
        </w:rPr>
      </w:pPr>
      <w:bookmarkStart w:id="0" w:name="_GoBack"/>
      <w:bookmarkEnd w:id="0"/>
    </w:p>
    <w:p w:rsidR="00A1783F" w:rsidRDefault="00A1783F" w:rsidP="00E0571F">
      <w:pPr>
        <w:spacing w:before="120" w:line="276" w:lineRule="auto"/>
        <w:ind w:right="113"/>
        <w:jc w:val="center"/>
        <w:rPr>
          <w:b/>
          <w:bCs/>
          <w:lang w:val="cs-CZ"/>
        </w:rPr>
      </w:pPr>
    </w:p>
    <w:p w:rsidR="00A1783F" w:rsidRDefault="00A1783F" w:rsidP="00E0571F">
      <w:pPr>
        <w:spacing w:before="120" w:line="276" w:lineRule="auto"/>
        <w:ind w:right="113"/>
        <w:jc w:val="center"/>
        <w:rPr>
          <w:b/>
          <w:bCs/>
          <w:lang w:val="cs-CZ"/>
        </w:rPr>
      </w:pPr>
    </w:p>
    <w:p w:rsidR="00A1783F" w:rsidRDefault="00A1783F" w:rsidP="00E0571F">
      <w:pPr>
        <w:spacing w:before="120" w:line="276" w:lineRule="auto"/>
        <w:ind w:right="113"/>
        <w:jc w:val="center"/>
        <w:rPr>
          <w:b/>
          <w:bCs/>
          <w:lang w:val="cs-CZ"/>
        </w:rPr>
      </w:pPr>
    </w:p>
    <w:p w:rsidR="00A1783F" w:rsidRDefault="00A1783F" w:rsidP="00E0571F">
      <w:pPr>
        <w:spacing w:before="120" w:line="276" w:lineRule="auto"/>
        <w:ind w:right="113"/>
        <w:jc w:val="center"/>
        <w:rPr>
          <w:b/>
          <w:bCs/>
          <w:lang w:val="cs-CZ"/>
        </w:rPr>
      </w:pPr>
    </w:p>
    <w:p w:rsidR="00A1783F" w:rsidRDefault="00A1783F" w:rsidP="00E0571F">
      <w:pPr>
        <w:spacing w:before="120" w:line="276" w:lineRule="auto"/>
        <w:ind w:right="113"/>
        <w:jc w:val="center"/>
        <w:rPr>
          <w:b/>
          <w:bCs/>
          <w:lang w:val="cs-CZ"/>
        </w:rPr>
      </w:pPr>
    </w:p>
    <w:p w:rsidR="00A1783F" w:rsidRDefault="00A1783F" w:rsidP="00E0571F">
      <w:pPr>
        <w:spacing w:before="120" w:line="276" w:lineRule="auto"/>
        <w:ind w:right="113"/>
        <w:jc w:val="center"/>
        <w:rPr>
          <w:b/>
          <w:bCs/>
          <w:lang w:val="cs-CZ"/>
        </w:rPr>
      </w:pPr>
    </w:p>
    <w:p w:rsidR="00A1783F" w:rsidRDefault="00A1783F" w:rsidP="00E0571F">
      <w:pPr>
        <w:spacing w:before="120" w:line="276" w:lineRule="auto"/>
        <w:ind w:right="113"/>
        <w:jc w:val="center"/>
        <w:rPr>
          <w:b/>
          <w:bCs/>
          <w:lang w:val="cs-CZ"/>
        </w:rPr>
      </w:pPr>
    </w:p>
    <w:p w:rsidR="00A1783F" w:rsidRDefault="00A1783F" w:rsidP="00E0571F">
      <w:pPr>
        <w:spacing w:before="120" w:line="276" w:lineRule="auto"/>
        <w:ind w:right="113"/>
        <w:jc w:val="center"/>
        <w:rPr>
          <w:b/>
          <w:bCs/>
          <w:lang w:val="cs-CZ"/>
        </w:rPr>
      </w:pPr>
    </w:p>
    <w:p w:rsidR="00A1783F" w:rsidRDefault="00A1783F" w:rsidP="00E0571F">
      <w:pPr>
        <w:spacing w:before="120" w:line="276" w:lineRule="auto"/>
        <w:ind w:right="113"/>
        <w:jc w:val="center"/>
        <w:rPr>
          <w:b/>
          <w:bCs/>
          <w:lang w:val="cs-CZ"/>
        </w:rPr>
      </w:pPr>
    </w:p>
    <w:p w:rsidR="00F66EE6" w:rsidRPr="00830630" w:rsidRDefault="00F66EE6" w:rsidP="00E0571F">
      <w:pPr>
        <w:spacing w:before="120" w:line="276" w:lineRule="auto"/>
        <w:ind w:right="113"/>
        <w:jc w:val="center"/>
        <w:rPr>
          <w:lang w:val="cs-CZ"/>
        </w:rPr>
      </w:pPr>
      <w:r w:rsidRPr="00D34D31">
        <w:rPr>
          <w:bCs/>
          <w:lang w:val="cs-CZ"/>
        </w:rPr>
        <w:t>PŘÍBALOVÁ INFORMACE</w:t>
      </w:r>
    </w:p>
    <w:p w:rsidR="00F66EE6" w:rsidRDefault="00F66EE6">
      <w:pPr>
        <w:spacing w:line="276" w:lineRule="auto"/>
        <w:ind w:right="113"/>
        <w:jc w:val="center"/>
        <w:rPr>
          <w:lang w:val="cs-CZ"/>
        </w:rPr>
      </w:pPr>
    </w:p>
    <w:p w:rsidR="00F66EE6" w:rsidRDefault="00F66EE6">
      <w:pPr>
        <w:spacing w:line="276" w:lineRule="auto"/>
        <w:ind w:left="567" w:hanging="567"/>
        <w:rPr>
          <w:lang w:val="cs-CZ"/>
        </w:rPr>
      </w:pPr>
    </w:p>
    <w:p w:rsidR="00A1783F" w:rsidRDefault="00A1783F">
      <w:pPr>
        <w:spacing w:line="276" w:lineRule="auto"/>
        <w:ind w:left="567" w:hanging="567"/>
        <w:rPr>
          <w:lang w:val="cs-CZ"/>
        </w:rPr>
      </w:pPr>
    </w:p>
    <w:p w:rsidR="00A1783F" w:rsidRDefault="00A1783F">
      <w:pPr>
        <w:spacing w:line="276" w:lineRule="auto"/>
        <w:ind w:left="567" w:hanging="567"/>
        <w:rPr>
          <w:lang w:val="cs-CZ"/>
        </w:rPr>
      </w:pPr>
    </w:p>
    <w:p w:rsidR="00A1783F" w:rsidRDefault="00A1783F">
      <w:pPr>
        <w:spacing w:line="276" w:lineRule="auto"/>
        <w:ind w:left="567" w:hanging="567"/>
        <w:rPr>
          <w:lang w:val="cs-CZ"/>
        </w:rPr>
      </w:pPr>
    </w:p>
    <w:p w:rsidR="00A1783F" w:rsidRDefault="00A1783F">
      <w:pPr>
        <w:spacing w:line="276" w:lineRule="auto"/>
        <w:ind w:left="567" w:hanging="567"/>
        <w:rPr>
          <w:lang w:val="cs-CZ"/>
        </w:rPr>
      </w:pPr>
    </w:p>
    <w:p w:rsidR="00A1783F" w:rsidRDefault="00A1783F">
      <w:pPr>
        <w:spacing w:line="276" w:lineRule="auto"/>
        <w:ind w:left="567" w:hanging="567"/>
        <w:rPr>
          <w:lang w:val="cs-CZ"/>
        </w:rPr>
      </w:pPr>
    </w:p>
    <w:p w:rsidR="00A1783F" w:rsidRDefault="00A1783F">
      <w:pPr>
        <w:spacing w:line="276" w:lineRule="auto"/>
        <w:ind w:left="567" w:hanging="567"/>
        <w:rPr>
          <w:lang w:val="cs-CZ"/>
        </w:rPr>
      </w:pPr>
    </w:p>
    <w:p w:rsidR="00A1783F" w:rsidRDefault="00A1783F">
      <w:pPr>
        <w:spacing w:line="276" w:lineRule="auto"/>
        <w:ind w:left="567" w:hanging="567"/>
        <w:rPr>
          <w:lang w:val="cs-CZ"/>
        </w:rPr>
      </w:pPr>
    </w:p>
    <w:p w:rsidR="00A1783F" w:rsidRDefault="00A1783F">
      <w:pPr>
        <w:spacing w:line="276" w:lineRule="auto"/>
        <w:ind w:left="567" w:hanging="567"/>
        <w:rPr>
          <w:lang w:val="cs-CZ"/>
        </w:rPr>
      </w:pPr>
    </w:p>
    <w:p w:rsidR="00A1783F" w:rsidRDefault="00A1783F">
      <w:pPr>
        <w:spacing w:line="276" w:lineRule="auto"/>
        <w:ind w:left="567" w:hanging="567"/>
        <w:rPr>
          <w:lang w:val="cs-CZ"/>
        </w:rPr>
      </w:pPr>
    </w:p>
    <w:p w:rsidR="00A1783F" w:rsidRDefault="00A1783F">
      <w:pPr>
        <w:spacing w:line="276" w:lineRule="auto"/>
        <w:ind w:left="567" w:hanging="567"/>
        <w:rPr>
          <w:lang w:val="cs-CZ"/>
        </w:rPr>
      </w:pPr>
    </w:p>
    <w:p w:rsidR="00A1783F" w:rsidRDefault="00A1783F">
      <w:pPr>
        <w:spacing w:line="276" w:lineRule="auto"/>
        <w:ind w:left="567" w:hanging="567"/>
        <w:rPr>
          <w:lang w:val="cs-CZ"/>
        </w:rPr>
      </w:pPr>
    </w:p>
    <w:p w:rsidR="00A1783F" w:rsidRDefault="00A1783F">
      <w:pPr>
        <w:spacing w:line="276" w:lineRule="auto"/>
        <w:ind w:left="567" w:hanging="567"/>
        <w:rPr>
          <w:lang w:val="cs-CZ"/>
        </w:rPr>
      </w:pPr>
    </w:p>
    <w:p w:rsidR="00A1783F" w:rsidRDefault="00A1783F">
      <w:pPr>
        <w:spacing w:line="276" w:lineRule="auto"/>
        <w:ind w:left="567" w:hanging="567"/>
        <w:rPr>
          <w:lang w:val="cs-CZ"/>
        </w:rPr>
      </w:pPr>
    </w:p>
    <w:p w:rsidR="00386265" w:rsidRDefault="00386265">
      <w:pPr>
        <w:spacing w:line="276" w:lineRule="auto"/>
        <w:ind w:left="567" w:hanging="567"/>
        <w:rPr>
          <w:lang w:val="cs-CZ"/>
        </w:rPr>
      </w:pPr>
    </w:p>
    <w:p w:rsidR="00386265" w:rsidRDefault="00386265">
      <w:pPr>
        <w:spacing w:line="276" w:lineRule="auto"/>
        <w:ind w:left="567" w:hanging="567"/>
        <w:rPr>
          <w:lang w:val="cs-CZ"/>
        </w:rPr>
      </w:pPr>
    </w:p>
    <w:p w:rsidR="00386265" w:rsidRDefault="00386265">
      <w:pPr>
        <w:spacing w:line="276" w:lineRule="auto"/>
        <w:ind w:left="567" w:hanging="567"/>
        <w:rPr>
          <w:lang w:val="cs-CZ"/>
        </w:rPr>
      </w:pPr>
    </w:p>
    <w:p w:rsidR="00A1783F" w:rsidRDefault="00A1783F">
      <w:pPr>
        <w:spacing w:line="276" w:lineRule="auto"/>
        <w:ind w:left="567" w:hanging="567"/>
        <w:rPr>
          <w:lang w:val="cs-CZ"/>
        </w:rPr>
      </w:pPr>
    </w:p>
    <w:p w:rsidR="00A1783F" w:rsidRDefault="00A1783F">
      <w:pPr>
        <w:spacing w:line="276" w:lineRule="auto"/>
        <w:ind w:left="567" w:hanging="567"/>
        <w:rPr>
          <w:lang w:val="cs-CZ"/>
        </w:rPr>
      </w:pPr>
    </w:p>
    <w:p w:rsidR="00A1783F" w:rsidRDefault="00A1783F">
      <w:pPr>
        <w:spacing w:line="276" w:lineRule="auto"/>
        <w:ind w:left="567" w:hanging="567"/>
        <w:rPr>
          <w:lang w:val="cs-CZ"/>
        </w:rPr>
      </w:pPr>
    </w:p>
    <w:p w:rsidR="00A1783F" w:rsidRDefault="00A1783F">
      <w:pPr>
        <w:spacing w:line="276" w:lineRule="auto"/>
        <w:ind w:left="567" w:hanging="567"/>
        <w:rPr>
          <w:lang w:val="cs-CZ"/>
        </w:rPr>
      </w:pPr>
    </w:p>
    <w:p w:rsidR="00A1783F" w:rsidRDefault="00A1783F">
      <w:pPr>
        <w:spacing w:line="276" w:lineRule="auto"/>
        <w:ind w:left="567" w:hanging="567"/>
        <w:rPr>
          <w:lang w:val="cs-CZ"/>
        </w:rPr>
      </w:pPr>
    </w:p>
    <w:p w:rsidR="00A1783F" w:rsidRDefault="00A1783F">
      <w:pPr>
        <w:spacing w:line="276" w:lineRule="auto"/>
        <w:ind w:left="567" w:hanging="567"/>
        <w:rPr>
          <w:lang w:val="cs-CZ"/>
        </w:rPr>
      </w:pPr>
    </w:p>
    <w:p w:rsidR="00A1783F" w:rsidRDefault="00A1783F">
      <w:pPr>
        <w:spacing w:line="276" w:lineRule="auto"/>
        <w:ind w:left="567" w:hanging="567"/>
        <w:rPr>
          <w:lang w:val="cs-CZ"/>
        </w:rPr>
      </w:pPr>
    </w:p>
    <w:p w:rsidR="00A1783F" w:rsidRDefault="00A1783F">
      <w:pPr>
        <w:spacing w:line="276" w:lineRule="auto"/>
        <w:ind w:left="567" w:hanging="567"/>
        <w:rPr>
          <w:lang w:val="cs-CZ"/>
        </w:rPr>
      </w:pPr>
    </w:p>
    <w:p w:rsidR="00A1783F" w:rsidRDefault="00A1783F">
      <w:pPr>
        <w:spacing w:line="276" w:lineRule="auto"/>
        <w:ind w:left="567" w:hanging="567"/>
        <w:rPr>
          <w:lang w:val="cs-CZ"/>
        </w:rPr>
      </w:pPr>
    </w:p>
    <w:p w:rsidR="00A1783F" w:rsidRDefault="00A1783F">
      <w:pPr>
        <w:spacing w:line="276" w:lineRule="auto"/>
        <w:ind w:left="567" w:hanging="567"/>
        <w:rPr>
          <w:lang w:val="cs-CZ"/>
        </w:rPr>
      </w:pPr>
    </w:p>
    <w:p w:rsidR="00A1783F" w:rsidRDefault="00A1783F">
      <w:pPr>
        <w:spacing w:line="276" w:lineRule="auto"/>
        <w:ind w:left="567" w:hanging="567"/>
        <w:rPr>
          <w:lang w:val="cs-CZ"/>
        </w:rPr>
      </w:pPr>
    </w:p>
    <w:p w:rsidR="00F66EE6" w:rsidRDefault="00F66EE6">
      <w:pPr>
        <w:spacing w:line="276" w:lineRule="auto"/>
        <w:ind w:left="567" w:hanging="567"/>
        <w:rPr>
          <w:lang w:val="cs-CZ"/>
        </w:rPr>
      </w:pPr>
      <w:r>
        <w:rPr>
          <w:b/>
          <w:bCs/>
          <w:lang w:val="cs-CZ"/>
        </w:rPr>
        <w:lastRenderedPageBreak/>
        <w:t>1.</w:t>
      </w:r>
      <w:r>
        <w:rPr>
          <w:b/>
          <w:bCs/>
          <w:lang w:val="cs-CZ"/>
        </w:rPr>
        <w:tab/>
        <w:t>JMÉNO A ADRESA DRŽITELE ROZHODNUTÍ O REGISTRACI A DRŽITELE POVOLENÍ K VÝROBĚ, ODPOVĚDNÉHO ZA UVOLNĚNÍ ŠARŽE, POKUD SE NESHODUJE</w:t>
      </w:r>
    </w:p>
    <w:p w:rsidR="00F66EE6" w:rsidRDefault="00F66EE6">
      <w:pPr>
        <w:spacing w:line="276" w:lineRule="auto"/>
        <w:rPr>
          <w:lang w:val="cs-CZ"/>
        </w:rPr>
      </w:pPr>
    </w:p>
    <w:p w:rsidR="00A1783F" w:rsidRDefault="00A1783F">
      <w:pPr>
        <w:spacing w:line="276" w:lineRule="auto"/>
        <w:rPr>
          <w:u w:val="single"/>
          <w:lang w:val="cs-CZ"/>
        </w:rPr>
      </w:pPr>
    </w:p>
    <w:p w:rsidR="00F66EE6" w:rsidRDefault="00F66EE6">
      <w:pPr>
        <w:spacing w:line="276" w:lineRule="auto"/>
        <w:rPr>
          <w:lang w:val="cs-CZ"/>
        </w:rPr>
      </w:pPr>
      <w:r>
        <w:rPr>
          <w:u w:val="single"/>
          <w:lang w:val="cs-CZ"/>
        </w:rPr>
        <w:t>Držitel rozhodnutí o registraci</w:t>
      </w:r>
    </w:p>
    <w:p w:rsidR="00F66EE6" w:rsidRDefault="00F66EE6">
      <w:pPr>
        <w:keepNext/>
        <w:keepLines/>
        <w:spacing w:before="240" w:after="240" w:line="276" w:lineRule="auto"/>
        <w:rPr>
          <w:lang w:val="cs-CZ"/>
        </w:rPr>
      </w:pPr>
      <w:r>
        <w:rPr>
          <w:lang w:val="cs-CZ"/>
        </w:rPr>
        <w:t>Huvepharma NV, Uitbreidingstraat 80, 2600 Antverpy, Belgie</w:t>
      </w:r>
    </w:p>
    <w:p w:rsidR="00A1783F" w:rsidRDefault="00A1783F" w:rsidP="006B43A2">
      <w:pPr>
        <w:rPr>
          <w:u w:val="single"/>
          <w:lang w:val="cs-CZ"/>
        </w:rPr>
      </w:pPr>
    </w:p>
    <w:p w:rsidR="00F66EE6" w:rsidRDefault="00F66EE6" w:rsidP="006B43A2">
      <w:pPr>
        <w:rPr>
          <w:color w:val="000000"/>
          <w:lang w:val="cs-CZ"/>
        </w:rPr>
      </w:pPr>
      <w:r>
        <w:rPr>
          <w:u w:val="single"/>
          <w:lang w:val="cs-CZ"/>
        </w:rPr>
        <w:t>Výrobce odpov</w:t>
      </w:r>
      <w:r w:rsidRPr="006B43A2">
        <w:rPr>
          <w:u w:val="single"/>
          <w:lang w:val="cs-CZ"/>
        </w:rPr>
        <w:t>ědný za uvolnění šarže:</w:t>
      </w:r>
    </w:p>
    <w:p w:rsidR="00F66EE6" w:rsidRDefault="00F66EE6" w:rsidP="006B43A2">
      <w:pPr>
        <w:rPr>
          <w:lang w:val="cs-CZ"/>
        </w:rPr>
      </w:pPr>
    </w:p>
    <w:p w:rsidR="00F66EE6" w:rsidRDefault="00F66EE6">
      <w:pPr>
        <w:spacing w:line="276" w:lineRule="auto"/>
        <w:rPr>
          <w:lang w:val="cs-CZ"/>
        </w:rPr>
      </w:pPr>
      <w:r>
        <w:rPr>
          <w:lang w:val="cs-CZ"/>
        </w:rPr>
        <w:t>Biovet JSC, 39 Petar Rakov Str, 4550 Peshtera - Bulharsko</w:t>
      </w:r>
    </w:p>
    <w:p w:rsidR="00F66EE6" w:rsidRDefault="00F66EE6">
      <w:pPr>
        <w:spacing w:line="276" w:lineRule="auto"/>
        <w:rPr>
          <w:lang w:val="cs-CZ"/>
        </w:rPr>
      </w:pPr>
    </w:p>
    <w:p w:rsidR="00F66EE6" w:rsidRDefault="00F66EE6">
      <w:pPr>
        <w:spacing w:line="276" w:lineRule="auto"/>
        <w:ind w:left="567" w:hanging="567"/>
        <w:rPr>
          <w:lang w:val="cs-CZ"/>
        </w:rPr>
      </w:pPr>
    </w:p>
    <w:p w:rsidR="00F66EE6" w:rsidRDefault="00F66EE6">
      <w:pPr>
        <w:spacing w:line="276" w:lineRule="auto"/>
        <w:ind w:left="567" w:hanging="567"/>
        <w:rPr>
          <w:lang w:val="cs-CZ"/>
        </w:rPr>
      </w:pPr>
      <w:r>
        <w:rPr>
          <w:b/>
          <w:bCs/>
          <w:lang w:val="cs-CZ"/>
        </w:rPr>
        <w:t xml:space="preserve">2. </w:t>
      </w:r>
      <w:r>
        <w:rPr>
          <w:b/>
          <w:bCs/>
          <w:lang w:val="cs-CZ"/>
        </w:rPr>
        <w:tab/>
        <w:t>NÁZEV VETERINÁRNÍHO LÉČIVÉHO PŘÍPRAVKU</w:t>
      </w:r>
    </w:p>
    <w:p w:rsidR="00F66EE6" w:rsidRDefault="00F66EE6">
      <w:pPr>
        <w:spacing w:line="276" w:lineRule="auto"/>
        <w:rPr>
          <w:lang w:val="cs-CZ"/>
        </w:rPr>
      </w:pPr>
    </w:p>
    <w:p w:rsidR="00F66EE6" w:rsidRDefault="00F66EE6">
      <w:pPr>
        <w:spacing w:line="276" w:lineRule="auto"/>
        <w:rPr>
          <w:lang w:val="cs-CZ"/>
        </w:rPr>
      </w:pPr>
      <w:r>
        <w:rPr>
          <w:lang w:val="cs-CZ"/>
        </w:rPr>
        <w:t xml:space="preserve">Vetmulin 125 mg/ml perorální roztok pro podání v pitné vodě pro prasata </w:t>
      </w:r>
    </w:p>
    <w:p w:rsidR="00F66EE6" w:rsidRDefault="00F66EE6">
      <w:pPr>
        <w:spacing w:line="276" w:lineRule="auto"/>
        <w:rPr>
          <w:lang w:val="cs-CZ"/>
        </w:rPr>
      </w:pPr>
    </w:p>
    <w:p w:rsidR="00F66EE6" w:rsidRDefault="00F66EE6">
      <w:pPr>
        <w:spacing w:line="276" w:lineRule="auto"/>
        <w:ind w:left="567" w:hanging="567"/>
        <w:rPr>
          <w:lang w:val="cs-CZ"/>
        </w:rPr>
      </w:pPr>
      <w:r>
        <w:rPr>
          <w:b/>
          <w:bCs/>
          <w:lang w:val="cs-CZ"/>
        </w:rPr>
        <w:t>3.</w:t>
      </w:r>
      <w:r>
        <w:rPr>
          <w:b/>
          <w:bCs/>
          <w:lang w:val="cs-CZ"/>
        </w:rPr>
        <w:tab/>
        <w:t>OBSAH LÉČIVÝCH A OSTATNÍCH LÁTEK</w:t>
      </w:r>
    </w:p>
    <w:p w:rsidR="00F66EE6" w:rsidRDefault="00F66EE6">
      <w:pPr>
        <w:spacing w:line="276" w:lineRule="auto"/>
        <w:ind w:left="567" w:hanging="567"/>
        <w:rPr>
          <w:lang w:val="cs-CZ"/>
        </w:rPr>
      </w:pPr>
    </w:p>
    <w:p w:rsidR="00F66EE6" w:rsidRDefault="00F66EE6">
      <w:pPr>
        <w:spacing w:line="276" w:lineRule="auto"/>
        <w:rPr>
          <w:lang w:val="cs-CZ"/>
        </w:rPr>
      </w:pPr>
      <w:r>
        <w:rPr>
          <w:lang w:val="cs-CZ"/>
        </w:rPr>
        <w:t xml:space="preserve">Každý ml obsahuje: </w:t>
      </w:r>
    </w:p>
    <w:p w:rsidR="002A05FA" w:rsidRPr="00975917" w:rsidRDefault="002A05FA" w:rsidP="002A05FA">
      <w:pPr>
        <w:keepNext/>
        <w:keepLines/>
        <w:spacing w:before="240" w:after="240" w:line="276" w:lineRule="auto"/>
        <w:rPr>
          <w:b/>
          <w:color w:val="000000"/>
          <w:lang w:val="cs-CZ"/>
        </w:rPr>
      </w:pPr>
      <w:r w:rsidRPr="00975917">
        <w:rPr>
          <w:b/>
          <w:color w:val="000000"/>
          <w:lang w:val="cs-CZ"/>
        </w:rPr>
        <w:t xml:space="preserve">Léčivá látka </w:t>
      </w:r>
    </w:p>
    <w:p w:rsidR="002A05FA" w:rsidRDefault="002A05FA" w:rsidP="002A05FA">
      <w:pPr>
        <w:keepNext/>
        <w:keepLines/>
        <w:tabs>
          <w:tab w:val="left" w:pos="2653"/>
        </w:tabs>
        <w:spacing w:before="240" w:after="240" w:line="276" w:lineRule="auto"/>
        <w:rPr>
          <w:lang w:val="cs-CZ"/>
        </w:rPr>
      </w:pPr>
      <w:r>
        <w:rPr>
          <w:color w:val="000000"/>
          <w:lang w:val="cs-CZ"/>
        </w:rPr>
        <w:t>Tiamulini fumaras</w:t>
      </w:r>
      <w:r>
        <w:rPr>
          <w:color w:val="000000"/>
          <w:lang w:val="cs-CZ"/>
        </w:rPr>
        <w:tab/>
        <w:t>125 mg (odpovídá 101,2 mg tiamulinum)</w:t>
      </w:r>
    </w:p>
    <w:p w:rsidR="002A05FA" w:rsidRPr="00975917" w:rsidRDefault="002A05FA" w:rsidP="002A05FA">
      <w:pPr>
        <w:keepNext/>
        <w:keepLines/>
        <w:tabs>
          <w:tab w:val="left" w:pos="2653"/>
        </w:tabs>
        <w:spacing w:before="240" w:after="240" w:line="276" w:lineRule="auto"/>
        <w:rPr>
          <w:b/>
          <w:lang w:val="cs-CZ"/>
        </w:rPr>
      </w:pPr>
      <w:r w:rsidRPr="00975917">
        <w:rPr>
          <w:b/>
          <w:lang w:val="cs-CZ"/>
        </w:rPr>
        <w:t>Pomocné látky</w:t>
      </w:r>
    </w:p>
    <w:p w:rsidR="002A05FA" w:rsidRDefault="002A05FA" w:rsidP="002A05FA">
      <w:pPr>
        <w:keepNext/>
        <w:keepLines/>
        <w:tabs>
          <w:tab w:val="left" w:pos="2653"/>
        </w:tabs>
        <w:rPr>
          <w:lang w:val="cs-CZ"/>
        </w:rPr>
      </w:pPr>
      <w:r>
        <w:rPr>
          <w:lang w:val="cs-CZ"/>
        </w:rPr>
        <w:t xml:space="preserve">Methylparaben (E218) </w:t>
      </w:r>
      <w:r>
        <w:rPr>
          <w:lang w:val="cs-CZ"/>
        </w:rPr>
        <w:tab/>
        <w:t>0,90 mg</w:t>
      </w:r>
      <w:r>
        <w:rPr>
          <w:lang w:val="cs-CZ"/>
        </w:rPr>
        <w:br/>
        <w:t>Propylparaben</w:t>
      </w:r>
      <w:r>
        <w:rPr>
          <w:lang w:val="cs-CZ"/>
        </w:rPr>
        <w:tab/>
        <w:t>0,10 mg</w:t>
      </w:r>
    </w:p>
    <w:p w:rsidR="00F66EE6" w:rsidRDefault="00F66EE6" w:rsidP="007E6A39">
      <w:pPr>
        <w:spacing w:line="276" w:lineRule="auto"/>
        <w:rPr>
          <w:lang w:val="cs-CZ"/>
        </w:rPr>
      </w:pPr>
      <w:r>
        <w:rPr>
          <w:lang w:val="cs-CZ"/>
        </w:rPr>
        <w:t xml:space="preserve"> </w:t>
      </w:r>
    </w:p>
    <w:p w:rsidR="00F66EE6" w:rsidRDefault="002A05FA">
      <w:pPr>
        <w:spacing w:line="276" w:lineRule="auto"/>
        <w:rPr>
          <w:lang w:val="cs-CZ"/>
        </w:rPr>
      </w:pPr>
      <w:r>
        <w:rPr>
          <w:lang w:val="cs-CZ"/>
        </w:rPr>
        <w:t>Čirá bezbarvá až nažloutlá tekutina.</w:t>
      </w:r>
    </w:p>
    <w:p w:rsidR="002A05FA" w:rsidRDefault="002A05FA">
      <w:pPr>
        <w:spacing w:line="276" w:lineRule="auto"/>
        <w:rPr>
          <w:lang w:val="cs-CZ"/>
        </w:rPr>
      </w:pPr>
    </w:p>
    <w:p w:rsidR="00F66EE6" w:rsidRDefault="00F66EE6">
      <w:pPr>
        <w:spacing w:line="276" w:lineRule="auto"/>
        <w:rPr>
          <w:lang w:val="cs-CZ"/>
        </w:rPr>
      </w:pPr>
      <w:r>
        <w:rPr>
          <w:b/>
          <w:bCs/>
          <w:lang w:val="cs-CZ"/>
        </w:rPr>
        <w:t>4.</w:t>
      </w:r>
      <w:r>
        <w:rPr>
          <w:b/>
          <w:bCs/>
          <w:lang w:val="cs-CZ"/>
        </w:rPr>
        <w:tab/>
        <w:t>INDIKACE</w:t>
      </w:r>
    </w:p>
    <w:p w:rsidR="00F66EE6" w:rsidRPr="000653B4" w:rsidRDefault="000653B4">
      <w:pPr>
        <w:spacing w:line="276" w:lineRule="auto"/>
        <w:rPr>
          <w:u w:val="single"/>
          <w:lang w:val="cs-CZ"/>
        </w:rPr>
      </w:pPr>
      <w:r w:rsidRPr="000653B4">
        <w:rPr>
          <w:u w:val="single"/>
          <w:lang w:val="cs-CZ"/>
        </w:rPr>
        <w:t>P</w:t>
      </w:r>
      <w:r w:rsidRPr="00D34D31">
        <w:rPr>
          <w:u w:val="single"/>
          <w:lang w:val="cs-CZ"/>
        </w:rPr>
        <w:t>rasat</w:t>
      </w:r>
      <w:r w:rsidRPr="000653B4">
        <w:rPr>
          <w:u w:val="single"/>
          <w:lang w:val="cs-CZ"/>
        </w:rPr>
        <w:t>a</w:t>
      </w:r>
    </w:p>
    <w:p w:rsidR="000653B4" w:rsidRPr="00D34D31" w:rsidRDefault="000653B4">
      <w:pPr>
        <w:spacing w:line="276" w:lineRule="auto"/>
        <w:rPr>
          <w:u w:val="single"/>
          <w:lang w:val="cs-CZ"/>
        </w:rPr>
      </w:pPr>
    </w:p>
    <w:p w:rsidR="00F66EE6" w:rsidRDefault="00F66EE6">
      <w:pPr>
        <w:spacing w:line="276" w:lineRule="auto"/>
        <w:rPr>
          <w:color w:val="000000"/>
          <w:lang w:val="cs-CZ"/>
        </w:rPr>
      </w:pPr>
      <w:r>
        <w:rPr>
          <w:lang w:val="cs-CZ"/>
        </w:rPr>
        <w:t xml:space="preserve">Léčba dyzentérie prasat vyvolaná nebo komplikovaná kmeny  </w:t>
      </w:r>
      <w:r>
        <w:rPr>
          <w:i/>
          <w:iCs/>
          <w:lang w:val="cs-CZ"/>
        </w:rPr>
        <w:t xml:space="preserve">Brachyspira hyodysenteriae </w:t>
      </w:r>
      <w:r>
        <w:rPr>
          <w:lang w:val="cs-CZ"/>
        </w:rPr>
        <w:t>citlivými na tiamulin.</w:t>
      </w:r>
      <w:r>
        <w:rPr>
          <w:i/>
          <w:iCs/>
          <w:lang w:val="cs-CZ"/>
        </w:rPr>
        <w:t xml:space="preserve"> </w:t>
      </w:r>
    </w:p>
    <w:p w:rsidR="00F66EE6" w:rsidRDefault="00F66EE6">
      <w:pPr>
        <w:keepNext/>
        <w:keepLines/>
        <w:spacing w:before="240" w:after="240" w:line="276" w:lineRule="auto"/>
        <w:rPr>
          <w:lang w:val="cs-CZ"/>
        </w:rPr>
      </w:pPr>
      <w:r>
        <w:rPr>
          <w:lang w:val="cs-CZ"/>
        </w:rPr>
        <w:t xml:space="preserve">Léčba enzootické pneumonie a redukce lézí způsobených kmeny </w:t>
      </w:r>
      <w:r>
        <w:rPr>
          <w:i/>
          <w:iCs/>
          <w:lang w:val="cs-CZ"/>
        </w:rPr>
        <w:t xml:space="preserve">Mycoplasma hyopneumoniae </w:t>
      </w:r>
      <w:r>
        <w:rPr>
          <w:lang w:val="cs-CZ"/>
        </w:rPr>
        <w:t>citlivými na tiamulin.</w:t>
      </w:r>
    </w:p>
    <w:p w:rsidR="00F66EE6" w:rsidRDefault="00F66EE6">
      <w:pPr>
        <w:keepNext/>
        <w:keepLines/>
        <w:spacing w:before="240" w:after="240" w:line="276" w:lineRule="auto"/>
        <w:rPr>
          <w:lang w:val="cs-CZ"/>
        </w:rPr>
      </w:pPr>
      <w:r>
        <w:rPr>
          <w:lang w:val="cs-CZ"/>
        </w:rPr>
        <w:t>Před použitím by měla být stanovena přítomnost onemocnění ve stádě</w:t>
      </w:r>
      <w:r w:rsidR="000653B4">
        <w:rPr>
          <w:lang w:val="cs-CZ"/>
        </w:rPr>
        <w:t>.</w:t>
      </w:r>
    </w:p>
    <w:p w:rsidR="00F66EE6" w:rsidRDefault="00F66EE6">
      <w:pPr>
        <w:spacing w:line="276" w:lineRule="auto"/>
        <w:rPr>
          <w:lang w:val="cs-CZ"/>
        </w:rPr>
      </w:pPr>
      <w:r>
        <w:rPr>
          <w:b/>
          <w:bCs/>
          <w:lang w:val="cs-CZ"/>
        </w:rPr>
        <w:t>5.</w:t>
      </w:r>
      <w:r>
        <w:rPr>
          <w:b/>
          <w:bCs/>
          <w:lang w:val="cs-CZ"/>
        </w:rPr>
        <w:tab/>
        <w:t>KONTRAINDIKACE</w:t>
      </w:r>
    </w:p>
    <w:p w:rsidR="00F66EE6" w:rsidRDefault="00F66EE6">
      <w:pPr>
        <w:keepNext/>
        <w:keepLines/>
        <w:spacing w:before="240" w:after="240" w:line="276" w:lineRule="auto"/>
        <w:rPr>
          <w:lang w:val="cs-CZ"/>
        </w:rPr>
      </w:pPr>
      <w:r>
        <w:rPr>
          <w:lang w:val="cs-CZ"/>
        </w:rPr>
        <w:lastRenderedPageBreak/>
        <w:t>Nepoužívat u zvířat se známou přecitlivělostí na léčivou látku</w:t>
      </w:r>
      <w:r w:rsidR="000653B4">
        <w:rPr>
          <w:lang w:val="cs-CZ"/>
        </w:rPr>
        <w:t xml:space="preserve"> nebo na některou z pomocných látek</w:t>
      </w:r>
      <w:r>
        <w:rPr>
          <w:lang w:val="cs-CZ"/>
        </w:rPr>
        <w:t>.</w:t>
      </w:r>
    </w:p>
    <w:p w:rsidR="00F66EE6" w:rsidRDefault="00F66EE6">
      <w:pPr>
        <w:keepNext/>
        <w:keepLines/>
        <w:spacing w:before="240" w:after="240" w:line="276" w:lineRule="auto"/>
        <w:rPr>
          <w:lang w:val="cs-CZ"/>
        </w:rPr>
      </w:pPr>
      <w:r>
        <w:rPr>
          <w:lang w:val="cs-CZ"/>
        </w:rPr>
        <w:t>Nepoužívejte v případě rezistence na tiamulin.</w:t>
      </w:r>
    </w:p>
    <w:p w:rsidR="00F66EE6" w:rsidRDefault="00F66EE6">
      <w:pPr>
        <w:spacing w:line="276" w:lineRule="auto"/>
        <w:rPr>
          <w:lang w:val="cs-CZ"/>
        </w:rPr>
      </w:pPr>
      <w:r>
        <w:rPr>
          <w:lang w:val="cs-CZ"/>
        </w:rPr>
        <w:t xml:space="preserve">V průběhu léčby tímto přípravkem nebo nejméně 7 dnů před nebo po léčbě nepodávejte přípravky obsahující monensin, salinomycin, narasin, maduramycin nebo jiné ionofory. </w:t>
      </w:r>
    </w:p>
    <w:p w:rsidR="000653B4" w:rsidRDefault="000653B4">
      <w:pPr>
        <w:spacing w:line="276" w:lineRule="auto"/>
        <w:rPr>
          <w:lang w:val="cs-CZ"/>
        </w:rPr>
      </w:pPr>
    </w:p>
    <w:p w:rsidR="00F66EE6" w:rsidRDefault="00F66EE6">
      <w:pPr>
        <w:spacing w:line="276" w:lineRule="auto"/>
        <w:ind w:left="567" w:hanging="567"/>
        <w:rPr>
          <w:lang w:val="cs-CZ"/>
        </w:rPr>
      </w:pPr>
      <w:r>
        <w:rPr>
          <w:b/>
          <w:bCs/>
          <w:lang w:val="cs-CZ"/>
        </w:rPr>
        <w:t>6.</w:t>
      </w:r>
      <w:r>
        <w:rPr>
          <w:b/>
          <w:bCs/>
          <w:lang w:val="cs-CZ"/>
        </w:rPr>
        <w:tab/>
        <w:t>NEŽÁDOUCÍ ÚČINKY</w:t>
      </w:r>
    </w:p>
    <w:p w:rsidR="00F66EE6" w:rsidRDefault="00F66EE6">
      <w:pPr>
        <w:spacing w:line="276" w:lineRule="auto"/>
        <w:rPr>
          <w:lang w:val="cs-CZ"/>
        </w:rPr>
      </w:pPr>
    </w:p>
    <w:p w:rsidR="00F66EE6" w:rsidRDefault="00F66EE6">
      <w:pPr>
        <w:spacing w:line="276" w:lineRule="auto"/>
        <w:jc w:val="both"/>
        <w:rPr>
          <w:lang w:val="cs-CZ"/>
        </w:rPr>
      </w:pPr>
      <w:r>
        <w:rPr>
          <w:lang w:val="cs-CZ"/>
        </w:rPr>
        <w:t xml:space="preserve">Ve vzácných  případech byla po perorálním podání hlášena přecitlivělost na tiamulin, projevující se zarudnutím kůže a genitálií a svěděním. Nežádoucí účinky jsou často mírné a přechodné, ale </w:t>
      </w:r>
      <w:r w:rsidR="00830630">
        <w:rPr>
          <w:lang w:val="cs-CZ"/>
        </w:rPr>
        <w:t xml:space="preserve">ve </w:t>
      </w:r>
      <w:r>
        <w:rPr>
          <w:lang w:val="cs-CZ"/>
        </w:rPr>
        <w:t>velmi vzácn</w:t>
      </w:r>
      <w:r w:rsidR="00830630">
        <w:rPr>
          <w:lang w:val="cs-CZ"/>
        </w:rPr>
        <w:t>ých případech</w:t>
      </w:r>
      <w:r>
        <w:rPr>
          <w:lang w:val="cs-CZ"/>
        </w:rPr>
        <w:t xml:space="preserve"> mohou být závažné. Dojde-li k těmto typickým vedlejším účinkům, přerušte okamžitě léčbu a omyjte zvířata a kotce vodou. Za normálních okolností  se poté zvířata rychle zotaví. Pozitivně může působit symptomatická léčba,  např. ve formě  elektrolytové terapie či protizánětlivé terapie. </w:t>
      </w:r>
      <w:r>
        <w:rPr>
          <w:color w:val="000000"/>
          <w:lang w:val="cs-CZ"/>
        </w:rPr>
        <w:t xml:space="preserve">Jestliže zaznamenáte jakékoliv závažné nežádoucí účinky či jiné reakce, které nejsou uvedeny v této příbalové informaci, oznamte to prosím vašemu veterinárnímu lékaři. </w:t>
      </w:r>
    </w:p>
    <w:p w:rsidR="00F66EE6" w:rsidRDefault="00F66EE6">
      <w:pPr>
        <w:spacing w:line="276" w:lineRule="auto"/>
        <w:ind w:left="567" w:hanging="567"/>
        <w:rPr>
          <w:lang w:val="cs-CZ"/>
        </w:rPr>
      </w:pPr>
    </w:p>
    <w:p w:rsidR="00F66EE6" w:rsidRDefault="00F66EE6">
      <w:pPr>
        <w:spacing w:line="276" w:lineRule="auto"/>
        <w:ind w:left="567" w:hanging="567"/>
        <w:rPr>
          <w:lang w:val="cs-CZ"/>
        </w:rPr>
      </w:pPr>
      <w:r>
        <w:rPr>
          <w:b/>
          <w:bCs/>
          <w:lang w:val="cs-CZ"/>
        </w:rPr>
        <w:t xml:space="preserve">7. </w:t>
      </w:r>
      <w:r>
        <w:rPr>
          <w:b/>
          <w:bCs/>
          <w:lang w:val="cs-CZ"/>
        </w:rPr>
        <w:tab/>
        <w:t>CÍLOVÝ DRUH ZVÍŘAT</w:t>
      </w:r>
    </w:p>
    <w:p w:rsidR="00F66EE6" w:rsidRDefault="00F66EE6">
      <w:pPr>
        <w:spacing w:line="276" w:lineRule="auto"/>
        <w:rPr>
          <w:lang w:val="cs-CZ"/>
        </w:rPr>
      </w:pPr>
    </w:p>
    <w:p w:rsidR="00F66EE6" w:rsidRDefault="00F66EE6">
      <w:pPr>
        <w:spacing w:line="276" w:lineRule="auto"/>
        <w:rPr>
          <w:lang w:val="cs-CZ"/>
        </w:rPr>
      </w:pPr>
      <w:r>
        <w:rPr>
          <w:lang w:val="cs-CZ"/>
        </w:rPr>
        <w:t>Prasata</w:t>
      </w:r>
    </w:p>
    <w:p w:rsidR="00F66EE6" w:rsidRDefault="00F66EE6">
      <w:pPr>
        <w:spacing w:line="276" w:lineRule="auto"/>
        <w:rPr>
          <w:lang w:val="cs-CZ"/>
        </w:rPr>
      </w:pPr>
      <w:r>
        <w:rPr>
          <w:lang w:val="cs-CZ"/>
        </w:rPr>
        <w:t xml:space="preserve">  </w:t>
      </w:r>
    </w:p>
    <w:p w:rsidR="00F66EE6" w:rsidRDefault="00F66EE6">
      <w:pPr>
        <w:spacing w:line="276" w:lineRule="auto"/>
        <w:ind w:left="567" w:hanging="567"/>
        <w:rPr>
          <w:lang w:val="cs-CZ"/>
        </w:rPr>
      </w:pPr>
      <w:r>
        <w:rPr>
          <w:b/>
          <w:bCs/>
          <w:lang w:val="cs-CZ"/>
        </w:rPr>
        <w:t>8.</w:t>
      </w:r>
      <w:r>
        <w:rPr>
          <w:b/>
          <w:bCs/>
          <w:lang w:val="cs-CZ"/>
        </w:rPr>
        <w:tab/>
        <w:t>DÁVKOVÁNÍ PRO KAŽDÝ DRUH, CESTA(Y) A ZPŮSOB PODÁNÍ</w:t>
      </w:r>
    </w:p>
    <w:p w:rsidR="00BA52DB" w:rsidRDefault="00BA52DB">
      <w:pPr>
        <w:spacing w:line="276" w:lineRule="auto"/>
        <w:jc w:val="both"/>
        <w:rPr>
          <w:lang w:val="cs-CZ"/>
        </w:rPr>
      </w:pPr>
    </w:p>
    <w:p w:rsidR="00F66EE6" w:rsidRDefault="00F66EE6">
      <w:pPr>
        <w:spacing w:line="276" w:lineRule="auto"/>
        <w:jc w:val="both"/>
        <w:rPr>
          <w:lang w:val="cs-CZ"/>
        </w:rPr>
      </w:pPr>
      <w:r>
        <w:rPr>
          <w:lang w:val="cs-CZ"/>
        </w:rPr>
        <w:t>Dyzentérie prasat</w:t>
      </w:r>
    </w:p>
    <w:p w:rsidR="00BA52DB" w:rsidRDefault="00BA52DB">
      <w:pPr>
        <w:spacing w:line="276" w:lineRule="auto"/>
        <w:jc w:val="both"/>
        <w:rPr>
          <w:lang w:val="cs-CZ"/>
        </w:rPr>
      </w:pPr>
    </w:p>
    <w:p w:rsidR="00F66EE6" w:rsidRDefault="00F66EE6">
      <w:pPr>
        <w:spacing w:line="276" w:lineRule="auto"/>
        <w:ind w:left="426"/>
        <w:jc w:val="both"/>
        <w:rPr>
          <w:lang w:val="cs-CZ"/>
        </w:rPr>
      </w:pPr>
      <w:r>
        <w:rPr>
          <w:lang w:val="cs-CZ"/>
        </w:rPr>
        <w:t>8,8 mg tiamulin hydrogenfumarátu na kg živé hmotnosti a den (odpovídá 7 ml přípravku na 100 kg živé hmotnosti) po dobu 5 po sobě jdoucích dnů.</w:t>
      </w:r>
    </w:p>
    <w:p w:rsidR="00F66EE6" w:rsidRDefault="00F66EE6">
      <w:pPr>
        <w:keepNext/>
        <w:keepLines/>
        <w:spacing w:before="240" w:after="240" w:line="276" w:lineRule="auto"/>
        <w:rPr>
          <w:lang w:val="cs-CZ"/>
        </w:rPr>
      </w:pPr>
      <w:r>
        <w:rPr>
          <w:lang w:val="cs-CZ"/>
        </w:rPr>
        <w:t xml:space="preserve">Enzootická pneumonie </w:t>
      </w:r>
    </w:p>
    <w:p w:rsidR="00F66EE6" w:rsidRDefault="00F66EE6">
      <w:pPr>
        <w:keepNext/>
        <w:keepLines/>
        <w:spacing w:before="240" w:after="240" w:line="276" w:lineRule="auto"/>
        <w:ind w:left="720"/>
        <w:rPr>
          <w:lang w:val="cs-CZ"/>
        </w:rPr>
      </w:pPr>
      <w:r>
        <w:rPr>
          <w:lang w:val="cs-CZ"/>
        </w:rPr>
        <w:t xml:space="preserve">15-20 mg tiamulin hydrogenfumarátu na kg živé hmotnosti a den  (odpovídá 12 – 16 ml přípravku na 100 kg živé hmotnosti ) po dobu 5 </w:t>
      </w:r>
      <w:r w:rsidR="00386265">
        <w:rPr>
          <w:lang w:val="cs-CZ"/>
        </w:rPr>
        <w:t xml:space="preserve">po sobě jdoucích </w:t>
      </w:r>
      <w:r>
        <w:rPr>
          <w:lang w:val="cs-CZ"/>
        </w:rPr>
        <w:t xml:space="preserve">dnů. </w:t>
      </w:r>
    </w:p>
    <w:p w:rsidR="00F66EE6" w:rsidRDefault="00F66EE6">
      <w:pPr>
        <w:spacing w:line="276" w:lineRule="auto"/>
        <w:ind w:right="-1"/>
        <w:jc w:val="both"/>
        <w:rPr>
          <w:highlight w:val="yellow"/>
          <w:lang w:val="cs-CZ"/>
        </w:rPr>
      </w:pPr>
    </w:p>
    <w:p w:rsidR="00F66EE6" w:rsidRDefault="00F66EE6">
      <w:pPr>
        <w:spacing w:line="276" w:lineRule="auto"/>
        <w:jc w:val="both"/>
        <w:rPr>
          <w:lang w:val="cs-CZ"/>
        </w:rPr>
      </w:pPr>
      <w:r>
        <w:rPr>
          <w:u w:val="single"/>
          <w:lang w:val="cs-CZ"/>
        </w:rPr>
        <w:t xml:space="preserve">Podávání: </w:t>
      </w:r>
    </w:p>
    <w:p w:rsidR="00F66EE6" w:rsidRDefault="00F66EE6">
      <w:pPr>
        <w:pStyle w:val="Zkladntext"/>
        <w:spacing w:line="276" w:lineRule="auto"/>
        <w:rPr>
          <w:lang w:val="cs-CZ"/>
        </w:rPr>
      </w:pPr>
    </w:p>
    <w:p w:rsidR="00F66EE6" w:rsidRDefault="00F66EE6">
      <w:pPr>
        <w:pStyle w:val="Zkladntext"/>
        <w:spacing w:line="276" w:lineRule="auto"/>
        <w:rPr>
          <w:lang w:val="cs-CZ"/>
        </w:rPr>
      </w:pPr>
      <w:r>
        <w:rPr>
          <w:lang w:val="cs-CZ"/>
        </w:rPr>
        <w:t xml:space="preserve">Příjem medikované vody závisí na skutečné živé hmotnosti, spotřebě vody, klinickém stavu zvířat, prostředí, věku a druhu podávaného krmiva. </w:t>
      </w:r>
      <w:r>
        <w:rPr>
          <w:color w:val="000000"/>
          <w:lang w:val="cs-CZ"/>
        </w:rPr>
        <w:t xml:space="preserve"> K zajištění správného dávkování se koncentrace tiamulinu vypočítá následujícím způsobem:</w:t>
      </w:r>
    </w:p>
    <w:p w:rsidR="00F66EE6" w:rsidRDefault="00F66EE6">
      <w:pPr>
        <w:spacing w:line="276" w:lineRule="auto"/>
        <w:rPr>
          <w:lang w:val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6"/>
        <w:gridCol w:w="390"/>
        <w:gridCol w:w="1984"/>
        <w:gridCol w:w="3296"/>
      </w:tblGrid>
      <w:tr w:rsidR="00F66EE6" w:rsidRPr="00343356">
        <w:trPr>
          <w:cantSplit/>
          <w:jc w:val="center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6EE6" w:rsidRDefault="00F66EE6">
            <w:pPr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shd w:val="pct12" w:color="auto" w:fill="FFFFFF"/>
                <w:lang w:val="cs-CZ"/>
              </w:rPr>
              <w:t>.....</w:t>
            </w:r>
            <w:r>
              <w:rPr>
                <w:lang w:val="cs-CZ"/>
              </w:rPr>
              <w:t xml:space="preserve">ml </w:t>
            </w:r>
            <w:r w:rsidR="00386265">
              <w:rPr>
                <w:lang w:val="cs-CZ"/>
              </w:rPr>
              <w:t xml:space="preserve">přípravku </w:t>
            </w:r>
            <w:r>
              <w:rPr>
                <w:lang w:val="cs-CZ"/>
              </w:rPr>
              <w:t>na kg živé hmotnosti a den</w:t>
            </w:r>
          </w:p>
          <w:p w:rsidR="00F66EE6" w:rsidRDefault="00F66EE6">
            <w:pPr>
              <w:spacing w:line="276" w:lineRule="auto"/>
              <w:jc w:val="center"/>
              <w:rPr>
                <w:color w:val="000000"/>
                <w:lang w:val="cs-CZ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6EE6" w:rsidRDefault="00F66EE6">
            <w:pPr>
              <w:spacing w:line="276" w:lineRule="auto"/>
              <w:jc w:val="center"/>
              <w:rPr>
                <w:color w:val="000000"/>
                <w:lang w:val="cs-CZ"/>
              </w:rPr>
            </w:pPr>
          </w:p>
          <w:p w:rsidR="00F66EE6" w:rsidRDefault="00F66EE6">
            <w:pPr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6EE6" w:rsidRDefault="00F66EE6" w:rsidP="004D187D">
            <w:pPr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Průměrná živá hmotnost (kg)</w:t>
            </w:r>
          </w:p>
        </w:tc>
        <w:tc>
          <w:tcPr>
            <w:tcW w:w="32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6EE6" w:rsidRDefault="00F66EE6">
            <w:pPr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br/>
            </w:r>
          </w:p>
          <w:p w:rsidR="00F66EE6" w:rsidRDefault="00F66EE6" w:rsidP="00386265">
            <w:pPr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=</w:t>
            </w:r>
            <w:r>
              <w:rPr>
                <w:shd w:val="pct12" w:color="auto" w:fill="FFFFFF"/>
                <w:lang w:val="cs-CZ"/>
              </w:rPr>
              <w:t>.....</w:t>
            </w:r>
            <w:r>
              <w:rPr>
                <w:lang w:val="cs-CZ"/>
              </w:rPr>
              <w:t xml:space="preserve">ml </w:t>
            </w:r>
            <w:r w:rsidR="00386265">
              <w:rPr>
                <w:lang w:val="cs-CZ"/>
              </w:rPr>
              <w:t xml:space="preserve">přípravku </w:t>
            </w:r>
            <w:r>
              <w:rPr>
                <w:lang w:val="cs-CZ"/>
              </w:rPr>
              <w:t xml:space="preserve">na litr pitné </w:t>
            </w:r>
            <w:r>
              <w:rPr>
                <w:lang w:val="cs-CZ"/>
              </w:rPr>
              <w:lastRenderedPageBreak/>
              <w:t>vody</w:t>
            </w:r>
          </w:p>
        </w:tc>
      </w:tr>
      <w:tr w:rsidR="00F66EE6" w:rsidRPr="00343356">
        <w:trPr>
          <w:cantSplit/>
          <w:jc w:val="center"/>
        </w:trPr>
        <w:tc>
          <w:tcPr>
            <w:tcW w:w="5360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66EE6" w:rsidRDefault="00F66EE6">
            <w:pPr>
              <w:spacing w:line="276" w:lineRule="auto"/>
              <w:rPr>
                <w:lang w:val="cs-CZ"/>
              </w:rPr>
            </w:pPr>
          </w:p>
          <w:p w:rsidR="00F66EE6" w:rsidRDefault="00F66EE6">
            <w:pPr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Průměrný denní příjem vody (l/zvíře)</w:t>
            </w:r>
          </w:p>
        </w:tc>
        <w:tc>
          <w:tcPr>
            <w:tcW w:w="32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6EE6" w:rsidRDefault="00F66EE6">
            <w:pPr>
              <w:spacing w:line="276" w:lineRule="auto"/>
              <w:rPr>
                <w:lang w:val="cs-CZ"/>
              </w:rPr>
            </w:pPr>
          </w:p>
        </w:tc>
      </w:tr>
    </w:tbl>
    <w:p w:rsidR="00F66EE6" w:rsidRDefault="00F66EE6">
      <w:pPr>
        <w:spacing w:line="276" w:lineRule="auto"/>
        <w:rPr>
          <w:lang w:val="cs-CZ"/>
        </w:rPr>
      </w:pPr>
    </w:p>
    <w:p w:rsidR="00F66EE6" w:rsidRDefault="00F66EE6">
      <w:pPr>
        <w:pStyle w:val="Zkladntext"/>
        <w:spacing w:line="276" w:lineRule="auto"/>
        <w:rPr>
          <w:lang w:val="cs-CZ"/>
        </w:rPr>
      </w:pPr>
      <w:r>
        <w:rPr>
          <w:lang w:val="cs-CZ"/>
        </w:rPr>
        <w:t xml:space="preserve">K zajištění správného dávkování je třeba určit živou hmotnost  co možná nejpřesněji, aby se zamezilo poddávkování. Požadované dávky je třeba odměřovat vhodně kalibrovaným měřícím zařízením. </w:t>
      </w:r>
    </w:p>
    <w:p w:rsidR="00F66EE6" w:rsidRDefault="00F66EE6">
      <w:pPr>
        <w:pStyle w:val="Zkladntext"/>
        <w:spacing w:line="276" w:lineRule="auto"/>
        <w:rPr>
          <w:lang w:val="cs-CZ"/>
        </w:rPr>
      </w:pPr>
    </w:p>
    <w:p w:rsidR="00F66EE6" w:rsidRDefault="00F66EE6">
      <w:pPr>
        <w:pStyle w:val="Zkladntext"/>
        <w:spacing w:line="276" w:lineRule="auto"/>
        <w:rPr>
          <w:lang w:val="cs-CZ"/>
        </w:rPr>
      </w:pPr>
      <w:r>
        <w:rPr>
          <w:lang w:val="cs-CZ"/>
        </w:rPr>
        <w:t>Medikovanou vodu je třeba měnit každých 24 hodin. Příjem stálého množství napájecí vody je nutné zabezpečit pomocí vhodného napájecího zařízení.</w:t>
      </w:r>
    </w:p>
    <w:p w:rsidR="00F66EE6" w:rsidRDefault="00F66EE6">
      <w:pPr>
        <w:pStyle w:val="knZulassung07"/>
        <w:spacing w:line="276" w:lineRule="auto"/>
        <w:ind w:left="0"/>
        <w:rPr>
          <w:rFonts w:ascii="Arial" w:hAnsi="Arial" w:cs="Arial"/>
          <w:sz w:val="22"/>
          <w:szCs w:val="22"/>
          <w:lang w:val="cs-CZ"/>
        </w:rPr>
      </w:pPr>
    </w:p>
    <w:p w:rsidR="00F66EE6" w:rsidRDefault="00F66EE6">
      <w:pPr>
        <w:pStyle w:val="knZulassung07"/>
        <w:spacing w:line="276" w:lineRule="auto"/>
        <w:ind w:left="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K zamezení rozvoje rezistence z důvodu podávání nižších než terapeutických dávek, je třeba po skončení léčby odpovídajícím způsobem vyčistit napájecí  zařízení.</w:t>
      </w:r>
    </w:p>
    <w:p w:rsidR="00F66EE6" w:rsidRDefault="00F66EE6">
      <w:pPr>
        <w:pStyle w:val="knZulassung07"/>
        <w:spacing w:line="276" w:lineRule="auto"/>
        <w:ind w:left="0"/>
        <w:rPr>
          <w:rFonts w:ascii="Arial" w:hAnsi="Arial" w:cs="Arial"/>
          <w:sz w:val="20"/>
          <w:szCs w:val="20"/>
          <w:lang w:val="cs-CZ"/>
        </w:rPr>
      </w:pPr>
    </w:p>
    <w:p w:rsidR="00F66EE6" w:rsidRDefault="00F66EE6">
      <w:pPr>
        <w:spacing w:line="276" w:lineRule="auto"/>
        <w:ind w:left="567" w:hanging="567"/>
        <w:rPr>
          <w:lang w:val="cs-CZ"/>
        </w:rPr>
      </w:pPr>
      <w:r>
        <w:rPr>
          <w:b/>
          <w:bCs/>
          <w:lang w:val="cs-CZ"/>
        </w:rPr>
        <w:t>9.</w:t>
      </w:r>
      <w:r>
        <w:rPr>
          <w:b/>
          <w:bCs/>
          <w:lang w:val="cs-CZ"/>
        </w:rPr>
        <w:tab/>
        <w:t>POKYNY PRO SPRÁVNÉ PODÁNÍ</w:t>
      </w:r>
    </w:p>
    <w:p w:rsidR="00F66EE6" w:rsidRDefault="00F66EE6">
      <w:pPr>
        <w:spacing w:line="276" w:lineRule="auto"/>
        <w:rPr>
          <w:lang w:val="cs-CZ"/>
        </w:rPr>
      </w:pPr>
    </w:p>
    <w:p w:rsidR="00F66EE6" w:rsidRDefault="00F66EE6">
      <w:pPr>
        <w:spacing w:line="276" w:lineRule="auto"/>
        <w:jc w:val="both"/>
        <w:rPr>
          <w:lang w:val="cs-CZ"/>
        </w:rPr>
      </w:pPr>
      <w:r>
        <w:rPr>
          <w:lang w:val="cs-CZ"/>
        </w:rPr>
        <w:t xml:space="preserve">Příjem léčiva zvířaty se může v důsledku onemocnění měnit. </w:t>
      </w:r>
      <w:r>
        <w:rPr>
          <w:lang w:val="cs-CZ"/>
        </w:rPr>
        <w:tab/>
      </w:r>
    </w:p>
    <w:p w:rsidR="00F66EE6" w:rsidRDefault="00F66EE6">
      <w:pPr>
        <w:spacing w:line="276" w:lineRule="auto"/>
        <w:rPr>
          <w:lang w:val="cs-CZ"/>
        </w:rPr>
      </w:pPr>
      <w:r>
        <w:rPr>
          <w:lang w:val="cs-CZ"/>
        </w:rPr>
        <w:t>U zvířat se sníženým příjmem  vody je třeba zvířata léčit parenterálně.</w:t>
      </w:r>
    </w:p>
    <w:p w:rsidR="00F66EE6" w:rsidRDefault="00F66EE6">
      <w:pPr>
        <w:spacing w:line="276" w:lineRule="auto"/>
        <w:rPr>
          <w:lang w:val="cs-CZ"/>
        </w:rPr>
      </w:pPr>
    </w:p>
    <w:p w:rsidR="00F66EE6" w:rsidRDefault="00F66EE6">
      <w:pPr>
        <w:spacing w:line="276" w:lineRule="auto"/>
        <w:ind w:left="567" w:hanging="567"/>
        <w:rPr>
          <w:lang w:val="cs-CZ"/>
        </w:rPr>
      </w:pPr>
      <w:r>
        <w:rPr>
          <w:b/>
          <w:bCs/>
          <w:lang w:val="cs-CZ"/>
        </w:rPr>
        <w:t>10.</w:t>
      </w:r>
      <w:r>
        <w:rPr>
          <w:b/>
          <w:bCs/>
          <w:lang w:val="cs-CZ"/>
        </w:rPr>
        <w:tab/>
        <w:t>OCHRANNÁ LHŮTA</w:t>
      </w:r>
    </w:p>
    <w:p w:rsidR="00F66EE6" w:rsidRDefault="00F66EE6">
      <w:pPr>
        <w:spacing w:line="276" w:lineRule="auto"/>
        <w:rPr>
          <w:lang w:val="cs-CZ"/>
        </w:rPr>
      </w:pPr>
    </w:p>
    <w:p w:rsidR="00F66EE6" w:rsidRDefault="00F66EE6">
      <w:pPr>
        <w:spacing w:line="276" w:lineRule="auto"/>
        <w:rPr>
          <w:lang w:val="cs-CZ"/>
        </w:rPr>
      </w:pPr>
      <w:r>
        <w:rPr>
          <w:lang w:val="cs-CZ"/>
        </w:rPr>
        <w:t>Maso</w:t>
      </w:r>
      <w:r w:rsidR="006848D1">
        <w:rPr>
          <w:lang w:val="cs-CZ"/>
        </w:rPr>
        <w:t>:5 dní</w:t>
      </w:r>
    </w:p>
    <w:p w:rsidR="00F66EE6" w:rsidRDefault="00F66EE6">
      <w:pPr>
        <w:spacing w:line="276" w:lineRule="auto"/>
        <w:rPr>
          <w:lang w:val="cs-CZ"/>
        </w:rPr>
      </w:pPr>
    </w:p>
    <w:p w:rsidR="00F66EE6" w:rsidRDefault="00F66EE6">
      <w:pPr>
        <w:spacing w:line="276" w:lineRule="auto"/>
        <w:rPr>
          <w:lang w:val="cs-CZ"/>
        </w:rPr>
      </w:pPr>
    </w:p>
    <w:p w:rsidR="00F66EE6" w:rsidRDefault="00F66EE6">
      <w:pPr>
        <w:spacing w:line="276" w:lineRule="auto"/>
        <w:ind w:left="567" w:hanging="567"/>
        <w:rPr>
          <w:lang w:val="cs-CZ"/>
        </w:rPr>
      </w:pPr>
      <w:r>
        <w:rPr>
          <w:b/>
          <w:bCs/>
          <w:lang w:val="cs-CZ"/>
        </w:rPr>
        <w:t>11.</w:t>
      </w:r>
      <w:r>
        <w:rPr>
          <w:b/>
          <w:bCs/>
          <w:lang w:val="cs-CZ"/>
        </w:rPr>
        <w:tab/>
        <w:t>ZVLÁŠTNÍ OPATŘENÍ PRO UCHOVÁVÁNÍ</w:t>
      </w:r>
    </w:p>
    <w:p w:rsidR="00F66EE6" w:rsidRDefault="00F66EE6">
      <w:pPr>
        <w:numPr>
          <w:ilvl w:val="12"/>
          <w:numId w:val="0"/>
        </w:numPr>
        <w:spacing w:line="276" w:lineRule="auto"/>
        <w:ind w:right="-2"/>
        <w:rPr>
          <w:lang w:val="cs-CZ"/>
        </w:rPr>
      </w:pPr>
    </w:p>
    <w:p w:rsidR="00F66EE6" w:rsidRDefault="00F66EE6">
      <w:pPr>
        <w:spacing w:line="276" w:lineRule="auto"/>
        <w:rPr>
          <w:lang w:val="cs-CZ"/>
        </w:rPr>
      </w:pPr>
      <w:r>
        <w:rPr>
          <w:lang w:val="cs-CZ"/>
        </w:rPr>
        <w:t>Uchovávat mimo dosah dětí.</w:t>
      </w:r>
    </w:p>
    <w:p w:rsidR="00F66EE6" w:rsidRDefault="00F66EE6">
      <w:pPr>
        <w:spacing w:line="276" w:lineRule="auto"/>
        <w:rPr>
          <w:color w:val="000000"/>
          <w:lang w:val="cs-CZ"/>
        </w:rPr>
      </w:pPr>
      <w:r>
        <w:rPr>
          <w:lang w:val="cs-CZ"/>
        </w:rPr>
        <w:t>Uchovávejte při teplotě do 25</w:t>
      </w:r>
      <w:r w:rsidR="00C21A77">
        <w:rPr>
          <w:lang w:val="cs-CZ"/>
        </w:rPr>
        <w:t xml:space="preserve"> </w:t>
      </w:r>
      <w:r>
        <w:rPr>
          <w:lang w:val="cs-CZ"/>
        </w:rPr>
        <w:t xml:space="preserve">°C. </w:t>
      </w:r>
    </w:p>
    <w:p w:rsidR="00F66EE6" w:rsidRDefault="00F66EE6">
      <w:pPr>
        <w:autoSpaceDE w:val="0"/>
        <w:autoSpaceDN w:val="0"/>
        <w:adjustRightInd w:val="0"/>
        <w:spacing w:line="276" w:lineRule="auto"/>
        <w:rPr>
          <w:lang w:val="cs-CZ"/>
        </w:rPr>
      </w:pPr>
      <w:r>
        <w:rPr>
          <w:lang w:val="cs-CZ"/>
        </w:rPr>
        <w:t xml:space="preserve">Doba použitelnosti po naředění podle návodu: 24 hodin  </w:t>
      </w:r>
    </w:p>
    <w:p w:rsidR="00F66EE6" w:rsidRDefault="00F66EE6">
      <w:pPr>
        <w:autoSpaceDE w:val="0"/>
        <w:autoSpaceDN w:val="0"/>
        <w:adjustRightInd w:val="0"/>
        <w:spacing w:line="276" w:lineRule="auto"/>
        <w:rPr>
          <w:lang w:val="cs-CZ"/>
        </w:rPr>
      </w:pPr>
      <w:r>
        <w:rPr>
          <w:lang w:val="cs-CZ"/>
        </w:rPr>
        <w:t>Doba použitelnosti po prvním otevření vnitřního obalu: 3 měsíce</w:t>
      </w:r>
    </w:p>
    <w:p w:rsidR="00F66EE6" w:rsidRDefault="00F66EE6">
      <w:pPr>
        <w:autoSpaceDE w:val="0"/>
        <w:autoSpaceDN w:val="0"/>
        <w:adjustRightInd w:val="0"/>
        <w:spacing w:line="276" w:lineRule="auto"/>
        <w:rPr>
          <w:sz w:val="20"/>
          <w:szCs w:val="20"/>
          <w:lang w:val="cs-CZ"/>
        </w:rPr>
      </w:pPr>
      <w:r>
        <w:rPr>
          <w:lang w:val="cs-CZ"/>
        </w:rPr>
        <w:t xml:space="preserve">Nepoužívejte tento veterinární léčivý přípravek po uplynutí doby použitelnosti uvedené na etiketě </w:t>
      </w:r>
      <w:r w:rsidR="00C21A77">
        <w:rPr>
          <w:lang w:val="cs-CZ"/>
        </w:rPr>
        <w:t xml:space="preserve">po </w:t>
      </w:r>
      <w:r>
        <w:rPr>
          <w:lang w:val="cs-CZ"/>
        </w:rPr>
        <w:t xml:space="preserve">„EXP“. Doba použitelnosti </w:t>
      </w:r>
      <w:r w:rsidR="00C21A77">
        <w:rPr>
          <w:lang w:val="cs-CZ"/>
        </w:rPr>
        <w:t>končí</w:t>
      </w:r>
      <w:r>
        <w:rPr>
          <w:lang w:val="cs-CZ"/>
        </w:rPr>
        <w:t xml:space="preserve"> posledním dn</w:t>
      </w:r>
      <w:r w:rsidR="00C21A77">
        <w:rPr>
          <w:lang w:val="cs-CZ"/>
        </w:rPr>
        <w:t>em</w:t>
      </w:r>
      <w:r>
        <w:rPr>
          <w:lang w:val="cs-CZ"/>
        </w:rPr>
        <w:t xml:space="preserve"> </w:t>
      </w:r>
      <w:r w:rsidR="00C21A77">
        <w:rPr>
          <w:lang w:val="cs-CZ"/>
        </w:rPr>
        <w:t xml:space="preserve">v </w:t>
      </w:r>
      <w:r>
        <w:rPr>
          <w:lang w:val="cs-CZ"/>
        </w:rPr>
        <w:t>uvedené</w:t>
      </w:r>
      <w:r w:rsidR="00C21A77">
        <w:rPr>
          <w:lang w:val="cs-CZ"/>
        </w:rPr>
        <w:t>m</w:t>
      </w:r>
      <w:r>
        <w:rPr>
          <w:lang w:val="cs-CZ"/>
        </w:rPr>
        <w:t xml:space="preserve"> měsíc</w:t>
      </w:r>
      <w:r w:rsidR="00C21A77">
        <w:rPr>
          <w:lang w:val="cs-CZ"/>
        </w:rPr>
        <w:t>i</w:t>
      </w:r>
      <w:r>
        <w:rPr>
          <w:lang w:val="cs-CZ"/>
        </w:rPr>
        <w:t>.</w:t>
      </w:r>
    </w:p>
    <w:p w:rsidR="00F66EE6" w:rsidRDefault="00F66EE6">
      <w:pPr>
        <w:spacing w:line="276" w:lineRule="auto"/>
        <w:rPr>
          <w:lang w:val="cs-CZ"/>
        </w:rPr>
      </w:pPr>
    </w:p>
    <w:p w:rsidR="00F66EE6" w:rsidRDefault="00F66EE6">
      <w:pPr>
        <w:spacing w:line="276" w:lineRule="auto"/>
        <w:ind w:left="567" w:hanging="567"/>
        <w:rPr>
          <w:lang w:val="cs-CZ"/>
        </w:rPr>
      </w:pPr>
      <w:r>
        <w:rPr>
          <w:b/>
          <w:bCs/>
          <w:lang w:val="cs-CZ"/>
        </w:rPr>
        <w:t>12.</w:t>
      </w:r>
      <w:r>
        <w:rPr>
          <w:b/>
          <w:bCs/>
          <w:lang w:val="cs-CZ"/>
        </w:rPr>
        <w:tab/>
        <w:t>ZVLÁŠTNÍ UPOZORNĚNÍ</w:t>
      </w:r>
    </w:p>
    <w:p w:rsidR="00F66EE6" w:rsidRDefault="00F66EE6">
      <w:pPr>
        <w:spacing w:line="276" w:lineRule="auto"/>
        <w:rPr>
          <w:lang w:val="cs-CZ"/>
        </w:rPr>
      </w:pPr>
    </w:p>
    <w:p w:rsidR="00F66EE6" w:rsidRDefault="00F66EE6">
      <w:pPr>
        <w:spacing w:line="276" w:lineRule="auto"/>
        <w:jc w:val="both"/>
        <w:rPr>
          <w:lang w:val="cs-CZ"/>
        </w:rPr>
      </w:pPr>
      <w:r>
        <w:rPr>
          <w:lang w:val="cs-CZ"/>
        </w:rPr>
        <w:t xml:space="preserve">Příjem léčiva zvířaty se může v důsledku onemocnění měnit. </w:t>
      </w:r>
      <w:r>
        <w:rPr>
          <w:lang w:val="cs-CZ"/>
        </w:rPr>
        <w:tab/>
      </w:r>
    </w:p>
    <w:p w:rsidR="00F66EE6" w:rsidRDefault="00F66EE6" w:rsidP="0059657F">
      <w:pPr>
        <w:spacing w:line="276" w:lineRule="auto"/>
        <w:rPr>
          <w:lang w:val="cs-CZ"/>
        </w:rPr>
      </w:pPr>
      <w:r>
        <w:rPr>
          <w:lang w:val="cs-CZ"/>
        </w:rPr>
        <w:t>U zvířat se sníženým příjmem vody je třeba zvířata léčit parenterálně.</w:t>
      </w:r>
    </w:p>
    <w:p w:rsidR="00F66EE6" w:rsidRDefault="00F66EE6" w:rsidP="0059657F">
      <w:pPr>
        <w:spacing w:line="276" w:lineRule="auto"/>
        <w:rPr>
          <w:lang w:val="cs-CZ"/>
        </w:rPr>
      </w:pPr>
      <w:r>
        <w:rPr>
          <w:iCs/>
          <w:noProof/>
          <w:lang w:val="cs-CZ" w:bidi="he-IL"/>
        </w:rPr>
        <w:t xml:space="preserve">Prostřednictvím zlepšování systému řízení chovu a řádným prováděním </w:t>
      </w:r>
      <w:r w:rsidRPr="000819CA">
        <w:rPr>
          <w:iCs/>
          <w:noProof/>
          <w:lang w:val="cs-CZ" w:bidi="he-IL"/>
        </w:rPr>
        <w:t xml:space="preserve"> čištění</w:t>
      </w:r>
      <w:r>
        <w:rPr>
          <w:iCs/>
          <w:noProof/>
          <w:lang w:val="cs-CZ" w:bidi="he-IL"/>
        </w:rPr>
        <w:t xml:space="preserve"> </w:t>
      </w:r>
      <w:r w:rsidRPr="000819CA">
        <w:rPr>
          <w:iCs/>
          <w:noProof/>
          <w:lang w:val="cs-CZ" w:bidi="he-IL"/>
        </w:rPr>
        <w:t>a dezinfekc</w:t>
      </w:r>
      <w:r>
        <w:rPr>
          <w:iCs/>
          <w:noProof/>
          <w:lang w:val="cs-CZ" w:bidi="he-IL"/>
        </w:rPr>
        <w:t xml:space="preserve">e </w:t>
      </w:r>
      <w:r w:rsidRPr="000819CA">
        <w:rPr>
          <w:iCs/>
          <w:noProof/>
          <w:lang w:val="cs-CZ" w:bidi="he-IL"/>
        </w:rPr>
        <w:t xml:space="preserve"> je třeba bránit dlouhodobému nebo opakovanému použití</w:t>
      </w:r>
      <w:r>
        <w:rPr>
          <w:iCs/>
          <w:noProof/>
          <w:lang w:val="cs-CZ" w:bidi="he-IL"/>
        </w:rPr>
        <w:t xml:space="preserve"> přípravku</w:t>
      </w:r>
      <w:r w:rsidR="00BA52DB">
        <w:rPr>
          <w:iCs/>
          <w:noProof/>
          <w:lang w:val="cs-CZ" w:bidi="he-IL"/>
        </w:rPr>
        <w:t>.</w:t>
      </w:r>
    </w:p>
    <w:p w:rsidR="00BA52DB" w:rsidRDefault="00BA52DB">
      <w:pPr>
        <w:spacing w:line="276" w:lineRule="auto"/>
        <w:rPr>
          <w:lang w:val="cs-CZ" w:eastAsia="en-GB"/>
        </w:rPr>
      </w:pPr>
    </w:p>
    <w:p w:rsidR="00F66EE6" w:rsidRDefault="00F66EE6">
      <w:pPr>
        <w:spacing w:line="276" w:lineRule="auto"/>
        <w:rPr>
          <w:lang w:val="cs-CZ" w:eastAsia="en-GB"/>
        </w:rPr>
      </w:pPr>
      <w:r>
        <w:rPr>
          <w:lang w:val="cs-CZ" w:eastAsia="en-GB"/>
        </w:rPr>
        <w:t xml:space="preserve">Použití přípravku by mělo být založeno na </w:t>
      </w:r>
      <w:r w:rsidR="00386265">
        <w:rPr>
          <w:lang w:val="cs-CZ" w:eastAsia="en-GB"/>
        </w:rPr>
        <w:t xml:space="preserve">výsledcích testování </w:t>
      </w:r>
      <w:r>
        <w:rPr>
          <w:lang w:val="cs-CZ" w:eastAsia="en-GB"/>
        </w:rPr>
        <w:t>citlivosti a musí zohledn</w:t>
      </w:r>
      <w:r w:rsidR="00386265">
        <w:rPr>
          <w:lang w:val="cs-CZ" w:eastAsia="en-GB"/>
        </w:rPr>
        <w:t>it</w:t>
      </w:r>
      <w:r>
        <w:rPr>
          <w:lang w:val="cs-CZ" w:eastAsia="en-GB"/>
        </w:rPr>
        <w:t xml:space="preserve"> oficiální a místní pravidla antibiotické politiky. </w:t>
      </w:r>
    </w:p>
    <w:p w:rsidR="00F66EE6" w:rsidRDefault="00F66EE6">
      <w:pPr>
        <w:spacing w:line="276" w:lineRule="auto"/>
        <w:rPr>
          <w:lang w:val="cs-CZ" w:eastAsia="en-GB"/>
        </w:rPr>
      </w:pPr>
    </w:p>
    <w:p w:rsidR="00F66EE6" w:rsidRDefault="00F66EE6">
      <w:pPr>
        <w:spacing w:line="276" w:lineRule="auto"/>
        <w:rPr>
          <w:lang w:val="cs-CZ"/>
        </w:rPr>
      </w:pPr>
      <w:r>
        <w:rPr>
          <w:lang w:val="cs-CZ"/>
        </w:rPr>
        <w:t>Pokud se zvířatům podávají přípravky obsahující monensin, salinomycin, narasin, maduramycin nebo jiné ionofory během léčby nebo neméně sedm dnů před nebo po léčbě tímto přípravkem, může to vést k výraznému snížení intenzity růstu či úhynu.</w:t>
      </w:r>
      <w:r w:rsidDel="0059657F">
        <w:rPr>
          <w:lang w:val="cs-CZ"/>
        </w:rPr>
        <w:t xml:space="preserve"> </w:t>
      </w:r>
    </w:p>
    <w:p w:rsidR="00F66EE6" w:rsidRDefault="00F66EE6">
      <w:pPr>
        <w:spacing w:line="276" w:lineRule="auto"/>
        <w:rPr>
          <w:lang w:val="cs-CZ"/>
        </w:rPr>
      </w:pPr>
    </w:p>
    <w:p w:rsidR="00F66EE6" w:rsidRPr="003C34AE" w:rsidRDefault="00F66EE6">
      <w:pPr>
        <w:spacing w:line="276" w:lineRule="auto"/>
        <w:rPr>
          <w:bCs/>
          <w:lang w:val="cs-CZ"/>
        </w:rPr>
      </w:pPr>
      <w:r w:rsidRPr="003C34AE">
        <w:rPr>
          <w:bCs/>
          <w:lang w:val="cs-CZ"/>
        </w:rPr>
        <w:t xml:space="preserve">Použití přípravku odlišně od pokynů uvedených v souhrnných údajích o přípravku může zvýšit prevalenci bakterií rezistentních vůči tiamulinu a může snížit účinnost léčby jinými pleuromutiliny, makrolidy a linkosamidy vzhledem k možnosti </w:t>
      </w:r>
      <w:r w:rsidR="00386265">
        <w:rPr>
          <w:bCs/>
          <w:lang w:val="cs-CZ"/>
        </w:rPr>
        <w:t>z</w:t>
      </w:r>
      <w:r w:rsidRPr="003C34AE">
        <w:rPr>
          <w:bCs/>
          <w:lang w:val="cs-CZ"/>
        </w:rPr>
        <w:t>kříž</w:t>
      </w:r>
      <w:r w:rsidR="00386265">
        <w:rPr>
          <w:bCs/>
          <w:lang w:val="cs-CZ"/>
        </w:rPr>
        <w:t>en</w:t>
      </w:r>
      <w:r w:rsidRPr="003C34AE">
        <w:rPr>
          <w:bCs/>
          <w:lang w:val="cs-CZ"/>
        </w:rPr>
        <w:t>é rezistence.</w:t>
      </w:r>
    </w:p>
    <w:p w:rsidR="00F66EE6" w:rsidRPr="003C34AE" w:rsidRDefault="00F66EE6">
      <w:pPr>
        <w:spacing w:line="276" w:lineRule="auto"/>
        <w:rPr>
          <w:b/>
          <w:lang w:val="cs-CZ"/>
        </w:rPr>
      </w:pPr>
    </w:p>
    <w:p w:rsidR="00F66EE6" w:rsidRDefault="00F66EE6">
      <w:pPr>
        <w:spacing w:line="276" w:lineRule="auto"/>
        <w:rPr>
          <w:lang w:val="cs-CZ"/>
        </w:rPr>
      </w:pPr>
      <w:r w:rsidRPr="003C34AE">
        <w:rPr>
          <w:lang w:val="cs-CZ"/>
        </w:rPr>
        <w:t>Přípravek</w:t>
      </w:r>
      <w:r>
        <w:rPr>
          <w:lang w:val="cs-CZ"/>
        </w:rPr>
        <w:t xml:space="preserve"> je možno použít během březosti a laktace.</w:t>
      </w:r>
    </w:p>
    <w:p w:rsidR="00F66EE6" w:rsidRDefault="00F66EE6">
      <w:pPr>
        <w:keepNext/>
        <w:keepLines/>
        <w:spacing w:before="240" w:after="240" w:line="276" w:lineRule="auto"/>
        <w:rPr>
          <w:lang w:val="cs-CZ"/>
        </w:rPr>
      </w:pPr>
      <w:r>
        <w:rPr>
          <w:lang w:val="cs-CZ"/>
        </w:rPr>
        <w:t>Tiamulin může sn</w:t>
      </w:r>
      <w:r w:rsidR="00BA52DB">
        <w:rPr>
          <w:lang w:val="cs-CZ"/>
        </w:rPr>
        <w:t>i</w:t>
      </w:r>
      <w:r>
        <w:rPr>
          <w:lang w:val="cs-CZ"/>
        </w:rPr>
        <w:t>žovat antibakteriální účinnost beta-laktamových antibiotik, která jsou účinná pouze na bakterie v růstové fázi.</w:t>
      </w:r>
    </w:p>
    <w:p w:rsidR="00F66EE6" w:rsidRDefault="00F66EE6">
      <w:pPr>
        <w:keepNext/>
        <w:keepLines/>
        <w:spacing w:before="240" w:after="240"/>
        <w:rPr>
          <w:color w:val="000000"/>
          <w:lang w:val="cs-CZ"/>
        </w:rPr>
      </w:pPr>
      <w:r>
        <w:rPr>
          <w:lang w:val="cs-CZ"/>
        </w:rPr>
        <w:t xml:space="preserve">Jednorázová perorální dávka 100 mg/kg živé hmotnosti způsobila u prasat hyperpnoe a bolesti břicha. Pří dávce 150 mg/kg byla jediným účinkem na centrální nervovou soustavu letargie. </w:t>
      </w:r>
      <w:r>
        <w:rPr>
          <w:color w:val="000000"/>
          <w:lang w:val="cs-CZ"/>
        </w:rPr>
        <w:t>Dávka 55 mg/kg podáv</w:t>
      </w:r>
      <w:r w:rsidR="00782880">
        <w:rPr>
          <w:color w:val="000000"/>
          <w:lang w:val="cs-CZ"/>
        </w:rPr>
        <w:t>a</w:t>
      </w:r>
      <w:r>
        <w:rPr>
          <w:color w:val="000000"/>
          <w:lang w:val="cs-CZ"/>
        </w:rPr>
        <w:t>ná po dobu 14 dnů způsobila zvýšené slinění a mírné podráždění žaludku. Tiamulin hydrogenfumarát má u prasat relativně vysoký terapeutický index. Minimální letální dávka nebyla u prasat stanovena.</w:t>
      </w:r>
    </w:p>
    <w:p w:rsidR="00F66EE6" w:rsidRDefault="00F66EE6">
      <w:pPr>
        <w:spacing w:line="276" w:lineRule="auto"/>
        <w:jc w:val="both"/>
        <w:rPr>
          <w:lang w:val="cs-CZ"/>
        </w:rPr>
      </w:pPr>
    </w:p>
    <w:p w:rsidR="00F66EE6" w:rsidRDefault="00F66EE6">
      <w:pPr>
        <w:spacing w:line="276" w:lineRule="auto"/>
        <w:jc w:val="both"/>
        <w:rPr>
          <w:color w:val="000000"/>
          <w:lang w:val="cs-CZ"/>
        </w:rPr>
      </w:pPr>
      <w:r>
        <w:rPr>
          <w:lang w:val="cs-CZ"/>
        </w:rPr>
        <w:t xml:space="preserve">Pokud zaznamenáte příznaky otravy, odstraňte okamžitě medikovanou vodu  a nahraďte ji čerstvou vodou. Zahajte </w:t>
      </w:r>
      <w:r>
        <w:rPr>
          <w:color w:val="000000"/>
          <w:lang w:val="cs-CZ"/>
        </w:rPr>
        <w:t>odpovídající symptomatickou léčbu.</w:t>
      </w:r>
    </w:p>
    <w:p w:rsidR="00F66EE6" w:rsidRDefault="00F66EE6">
      <w:pPr>
        <w:spacing w:line="276" w:lineRule="auto"/>
        <w:jc w:val="both"/>
        <w:rPr>
          <w:lang w:val="cs-CZ"/>
        </w:rPr>
      </w:pPr>
    </w:p>
    <w:p w:rsidR="00F66EE6" w:rsidRDefault="00822F24">
      <w:pPr>
        <w:autoSpaceDE w:val="0"/>
        <w:autoSpaceDN w:val="0"/>
        <w:adjustRightInd w:val="0"/>
        <w:spacing w:line="276" w:lineRule="auto"/>
        <w:rPr>
          <w:sz w:val="20"/>
          <w:szCs w:val="20"/>
          <w:lang w:val="cs-CZ"/>
        </w:rPr>
      </w:pPr>
      <w:r>
        <w:rPr>
          <w:lang w:val="cs-CZ"/>
        </w:rPr>
        <w:t>Studie kompatibility nejsou k dispozici, a proto tento veterinární léčivý přípravek nesmí být mísen s žádnými dalšími veterinárními léčivými přípravky</w:t>
      </w:r>
      <w:r w:rsidR="00F66EE6">
        <w:rPr>
          <w:lang w:val="cs-CZ"/>
        </w:rPr>
        <w:t>.</w:t>
      </w:r>
    </w:p>
    <w:p w:rsidR="00F66EE6" w:rsidRDefault="00F66EE6">
      <w:pPr>
        <w:spacing w:line="276" w:lineRule="auto"/>
        <w:rPr>
          <w:lang w:val="cs-CZ"/>
        </w:rPr>
      </w:pPr>
    </w:p>
    <w:p w:rsidR="00F66EE6" w:rsidRDefault="00F66EE6">
      <w:pPr>
        <w:spacing w:line="276" w:lineRule="auto"/>
        <w:rPr>
          <w:lang w:val="cs-CZ"/>
        </w:rPr>
      </w:pPr>
      <w:r>
        <w:rPr>
          <w:b/>
          <w:bCs/>
          <w:lang w:val="cs-CZ"/>
        </w:rPr>
        <w:t>Bezpečnostní upozornění pro uživatele:</w:t>
      </w:r>
    </w:p>
    <w:p w:rsidR="00DF1328" w:rsidRDefault="00DF1328" w:rsidP="00DF1328">
      <w:pPr>
        <w:keepNext/>
        <w:keepLines/>
        <w:spacing w:before="240" w:after="240" w:line="276" w:lineRule="auto"/>
        <w:rPr>
          <w:lang w:val="cs-CZ"/>
        </w:rPr>
      </w:pPr>
      <w:r>
        <w:rPr>
          <w:lang w:val="cs-CZ"/>
        </w:rPr>
        <w:t>Lidé se známou přecitlivělostí na léčivou látku nesmí tento i veterinární léčivý přípravek podávat.</w:t>
      </w:r>
    </w:p>
    <w:p w:rsidR="00DF1328" w:rsidRDefault="00DF1328" w:rsidP="00DF1328">
      <w:pPr>
        <w:keepNext/>
        <w:keepLines/>
        <w:spacing w:before="240" w:after="240" w:line="276" w:lineRule="auto"/>
        <w:rPr>
          <w:lang w:val="cs-CZ"/>
        </w:rPr>
      </w:pPr>
      <w:r>
        <w:rPr>
          <w:lang w:val="cs-CZ"/>
        </w:rPr>
        <w:t xml:space="preserve">Při míchání přípravku zabraňte přímému kontaktu s kůží a sliznicemi. Zabraňte náhodnému požití přípravku. Při míchání a při manipulaci s přípravkem použijte ochrannou kombinézu, brýle, masku a nepropustné rukavice. V případě potřísnění pokožky umyjte exponované místo ihned vodou a sundejte si kontaminovaný oděv. V případě náhodného </w:t>
      </w:r>
      <w:r w:rsidRPr="009526CC">
        <w:rPr>
          <w:lang w:val="cs-CZ"/>
        </w:rPr>
        <w:t>zasažení očí je třeba oko ihned důkladně vypláchnout vodou.</w:t>
      </w:r>
      <w:r>
        <w:rPr>
          <w:color w:val="000000"/>
          <w:lang w:val="cs-CZ"/>
        </w:rPr>
        <w:t xml:space="preserve"> Pokud podráždění přetrvává, vyhledejte lékařskou pomoc.</w:t>
      </w:r>
    </w:p>
    <w:p w:rsidR="00F66EE6" w:rsidRDefault="00DF1328">
      <w:pPr>
        <w:spacing w:line="276" w:lineRule="auto"/>
        <w:rPr>
          <w:lang w:val="cs-CZ"/>
        </w:rPr>
      </w:pPr>
      <w:r>
        <w:rPr>
          <w:lang w:val="cs-CZ"/>
        </w:rPr>
        <w:t>Po použití si umyjte ruce.</w:t>
      </w:r>
      <w:r w:rsidR="00F66EE6">
        <w:rPr>
          <w:lang w:val="cs-CZ"/>
        </w:rPr>
        <w:br w:type="page"/>
      </w:r>
    </w:p>
    <w:p w:rsidR="00F66EE6" w:rsidRDefault="00F66EE6">
      <w:pPr>
        <w:spacing w:line="276" w:lineRule="auto"/>
        <w:ind w:left="567" w:hanging="567"/>
        <w:rPr>
          <w:lang w:val="cs-CZ"/>
        </w:rPr>
      </w:pPr>
      <w:r>
        <w:rPr>
          <w:b/>
          <w:bCs/>
          <w:lang w:val="cs-CZ"/>
        </w:rPr>
        <w:t>13.</w:t>
      </w:r>
      <w:r>
        <w:rPr>
          <w:b/>
          <w:bCs/>
          <w:lang w:val="cs-CZ"/>
        </w:rPr>
        <w:tab/>
        <w:t>ZVLÁŠTNÍ OPATŘENÍ PRO ZNEŠKODŇOVÁNÍ NEPOUŽITÝCH PŘÍPRAVKŮ NEBO ODPADU, POKUD JE JICH TŘEBA</w:t>
      </w:r>
    </w:p>
    <w:p w:rsidR="00F66EE6" w:rsidRDefault="00F66EE6">
      <w:pPr>
        <w:spacing w:line="276" w:lineRule="auto"/>
        <w:ind w:right="-318"/>
        <w:rPr>
          <w:lang w:val="cs-CZ"/>
        </w:rPr>
      </w:pPr>
    </w:p>
    <w:p w:rsidR="00F66EE6" w:rsidRPr="003C34AE" w:rsidRDefault="00F66EE6">
      <w:pPr>
        <w:spacing w:line="276" w:lineRule="auto"/>
        <w:ind w:right="-318"/>
        <w:rPr>
          <w:lang w:val="cs-CZ"/>
        </w:rPr>
      </w:pPr>
      <w:r w:rsidRPr="003C34AE">
        <w:rPr>
          <w:lang w:val="cs-CZ"/>
        </w:rPr>
        <w:t xml:space="preserve">Léčivé přípravky se nesmí </w:t>
      </w:r>
      <w:r w:rsidR="00DF1328">
        <w:rPr>
          <w:lang w:val="cs-CZ"/>
        </w:rPr>
        <w:t xml:space="preserve">likvidovat prostřednictvím </w:t>
      </w:r>
      <w:r w:rsidRPr="003C34AE">
        <w:rPr>
          <w:lang w:val="cs-CZ"/>
        </w:rPr>
        <w:t>odpadní vod</w:t>
      </w:r>
      <w:r w:rsidR="00DF1328">
        <w:rPr>
          <w:lang w:val="cs-CZ"/>
        </w:rPr>
        <w:t>y</w:t>
      </w:r>
      <w:r w:rsidRPr="003C34AE">
        <w:rPr>
          <w:lang w:val="cs-CZ"/>
        </w:rPr>
        <w:t xml:space="preserve"> </w:t>
      </w:r>
      <w:r w:rsidR="00DF1328">
        <w:rPr>
          <w:lang w:val="cs-CZ"/>
        </w:rPr>
        <w:t xml:space="preserve">či </w:t>
      </w:r>
      <w:r w:rsidRPr="003C34AE">
        <w:rPr>
          <w:lang w:val="cs-CZ"/>
        </w:rPr>
        <w:t>dom</w:t>
      </w:r>
      <w:r w:rsidR="00DF1328">
        <w:rPr>
          <w:lang w:val="cs-CZ"/>
        </w:rPr>
        <w:t>ovního odpadu</w:t>
      </w:r>
      <w:r w:rsidRPr="003C34AE">
        <w:rPr>
          <w:lang w:val="cs-CZ"/>
        </w:rPr>
        <w:t>.</w:t>
      </w:r>
      <w:r w:rsidRPr="003C34AE">
        <w:rPr>
          <w:lang w:val="cs-CZ"/>
        </w:rPr>
        <w:br/>
      </w:r>
      <w:r w:rsidR="00DF1328">
        <w:rPr>
          <w:lang w:val="cs-CZ"/>
        </w:rPr>
        <w:t>O možnostech likvidace nepotřebných léčivých přípravků se poraďte s vaším veterinárním lékařem.</w:t>
      </w:r>
    </w:p>
    <w:p w:rsidR="00F66EE6" w:rsidRPr="003C34AE" w:rsidRDefault="00F66EE6">
      <w:pPr>
        <w:spacing w:line="276" w:lineRule="auto"/>
        <w:ind w:right="-318"/>
        <w:rPr>
          <w:lang w:val="cs-CZ"/>
        </w:rPr>
      </w:pPr>
    </w:p>
    <w:p w:rsidR="00F66EE6" w:rsidRPr="003C34AE" w:rsidRDefault="00F66EE6">
      <w:pPr>
        <w:spacing w:line="276" w:lineRule="auto"/>
        <w:ind w:left="567" w:hanging="567"/>
        <w:rPr>
          <w:lang w:val="cs-CZ"/>
        </w:rPr>
      </w:pPr>
      <w:r w:rsidRPr="003C34AE">
        <w:rPr>
          <w:b/>
          <w:bCs/>
          <w:lang w:val="cs-CZ"/>
        </w:rPr>
        <w:t>14.</w:t>
      </w:r>
      <w:r w:rsidRPr="003C34AE">
        <w:rPr>
          <w:b/>
          <w:bCs/>
          <w:lang w:val="cs-CZ"/>
        </w:rPr>
        <w:tab/>
        <w:t>DATUM POSLEDNÍ REVIZE PŘÍBALOVÉ INFORMACE</w:t>
      </w:r>
    </w:p>
    <w:p w:rsidR="00F66EE6" w:rsidRPr="003C34AE" w:rsidRDefault="00D34D31">
      <w:pPr>
        <w:spacing w:line="276" w:lineRule="auto"/>
        <w:ind w:right="-318"/>
        <w:rPr>
          <w:lang w:val="cs-CZ"/>
        </w:rPr>
      </w:pPr>
      <w:r>
        <w:rPr>
          <w:lang w:val="cs-CZ"/>
        </w:rPr>
        <w:t xml:space="preserve">Květen </w:t>
      </w:r>
      <w:r w:rsidR="009F39ED">
        <w:rPr>
          <w:lang w:val="cs-CZ"/>
        </w:rPr>
        <w:t>2017</w:t>
      </w:r>
    </w:p>
    <w:p w:rsidR="00733DA8" w:rsidRPr="003C34AE" w:rsidRDefault="00733DA8">
      <w:pPr>
        <w:spacing w:line="276" w:lineRule="auto"/>
        <w:ind w:right="-318"/>
        <w:rPr>
          <w:lang w:val="cs-CZ"/>
        </w:rPr>
      </w:pPr>
    </w:p>
    <w:p w:rsidR="00F66EE6" w:rsidRDefault="00F66EE6">
      <w:pPr>
        <w:spacing w:line="276" w:lineRule="auto"/>
        <w:ind w:left="567" w:hanging="567"/>
        <w:rPr>
          <w:lang w:val="cs-CZ"/>
        </w:rPr>
      </w:pPr>
      <w:r w:rsidRPr="003C34AE">
        <w:rPr>
          <w:b/>
          <w:bCs/>
          <w:lang w:val="cs-CZ"/>
        </w:rPr>
        <w:t>15.</w:t>
      </w:r>
      <w:r w:rsidRPr="003C34AE">
        <w:rPr>
          <w:b/>
          <w:bCs/>
          <w:lang w:val="cs-CZ"/>
        </w:rPr>
        <w:tab/>
        <w:t>DALŠÍ INFORMACE</w:t>
      </w:r>
    </w:p>
    <w:p w:rsidR="00BA52DB" w:rsidRDefault="00BA52DB">
      <w:pPr>
        <w:spacing w:line="276" w:lineRule="auto"/>
        <w:rPr>
          <w:lang w:val="cs-CZ"/>
        </w:rPr>
      </w:pPr>
    </w:p>
    <w:p w:rsidR="00F66EE6" w:rsidRDefault="00F66EE6">
      <w:pPr>
        <w:spacing w:line="276" w:lineRule="auto"/>
        <w:rPr>
          <w:lang w:val="cs-CZ"/>
        </w:rPr>
      </w:pPr>
      <w:r>
        <w:rPr>
          <w:lang w:val="cs-CZ"/>
        </w:rPr>
        <w:t>Pouze pro zvířata</w:t>
      </w:r>
      <w:r w:rsidR="00BA52DB">
        <w:rPr>
          <w:lang w:val="cs-CZ"/>
        </w:rPr>
        <w:t>.</w:t>
      </w:r>
    </w:p>
    <w:p w:rsidR="00F66EE6" w:rsidRDefault="00F66EE6">
      <w:pPr>
        <w:spacing w:line="276" w:lineRule="auto"/>
        <w:rPr>
          <w:lang w:val="cs-CZ"/>
        </w:rPr>
      </w:pPr>
      <w:r>
        <w:rPr>
          <w:lang w:val="cs-CZ"/>
        </w:rPr>
        <w:t>Veterinární léčivý přípravek je vydáván pouze na předpis</w:t>
      </w:r>
      <w:r w:rsidR="00BA52DB">
        <w:rPr>
          <w:lang w:val="cs-CZ"/>
        </w:rPr>
        <w:t>.</w:t>
      </w:r>
    </w:p>
    <w:p w:rsidR="00F66EE6" w:rsidRDefault="00F66EE6">
      <w:pPr>
        <w:spacing w:line="276" w:lineRule="auto"/>
        <w:rPr>
          <w:lang w:val="cs-CZ"/>
        </w:rPr>
      </w:pPr>
    </w:p>
    <w:p w:rsidR="00F66EE6" w:rsidRDefault="00F66EE6">
      <w:pPr>
        <w:spacing w:line="276" w:lineRule="auto"/>
        <w:ind w:right="-2"/>
        <w:rPr>
          <w:lang w:val="cs-CZ"/>
        </w:rPr>
      </w:pPr>
      <w:r>
        <w:rPr>
          <w:lang w:val="cs-CZ"/>
        </w:rPr>
        <w:t>Pokud chcete získat informace o tomto veterinárním léčivém přípravku, kontaktujte prosím příslušného místního zástupce držitele rozhodnutí o registraci.</w:t>
      </w:r>
    </w:p>
    <w:p w:rsidR="00F66EE6" w:rsidRDefault="00F66EE6">
      <w:pPr>
        <w:spacing w:line="276" w:lineRule="auto"/>
        <w:ind w:right="-2"/>
        <w:rPr>
          <w:lang w:val="cs-CZ"/>
        </w:rPr>
      </w:pPr>
    </w:p>
    <w:p w:rsidR="00F66EE6" w:rsidRDefault="00F66EE6">
      <w:pPr>
        <w:spacing w:line="276" w:lineRule="auto"/>
        <w:ind w:right="-2"/>
        <w:rPr>
          <w:color w:val="000000"/>
          <w:lang w:val="cs-CZ"/>
        </w:rPr>
      </w:pPr>
      <w:r>
        <w:rPr>
          <w:lang w:val="cs-CZ"/>
        </w:rPr>
        <w:t>Vetmulin 125 mg/ml se dodává v lahvi o objemu 1 litr z vysokohustotního polyetylenu s bílým polypropylenovým uzávěrem s ochranou proti neoprávněné manipulaci, utěsněným bílým pěnovým diskem</w:t>
      </w:r>
      <w:r w:rsidR="00C21A77">
        <w:rPr>
          <w:lang w:val="cs-CZ"/>
        </w:rPr>
        <w:t xml:space="preserve"> a v kanystru o objemu 5 litrů z vysokohustotního polyethylenu uzavřeném vroubkovaným uzávěrem s kroužkem proti neoprávněné manipulaci</w:t>
      </w:r>
      <w:r>
        <w:rPr>
          <w:lang w:val="cs-CZ"/>
        </w:rPr>
        <w:t>.</w:t>
      </w:r>
    </w:p>
    <w:p w:rsidR="00F66EE6" w:rsidRDefault="00F66EE6">
      <w:pPr>
        <w:keepNext/>
        <w:keepLines/>
        <w:spacing w:line="276" w:lineRule="auto"/>
        <w:ind w:left="720"/>
        <w:rPr>
          <w:lang w:val="cs-CZ"/>
        </w:rPr>
      </w:pPr>
    </w:p>
    <w:p w:rsidR="00F66EE6" w:rsidRDefault="00F66EE6">
      <w:pPr>
        <w:keepNext/>
        <w:keepLines/>
        <w:spacing w:line="276" w:lineRule="auto"/>
        <w:ind w:left="720"/>
        <w:rPr>
          <w:lang w:val="cs-CZ"/>
        </w:rPr>
      </w:pPr>
    </w:p>
    <w:sectPr w:rsidR="00F66EE6" w:rsidSect="00844BF2">
      <w:headerReference w:type="default" r:id="rId8"/>
      <w:footerReference w:type="default" r:id="rId9"/>
      <w:pgSz w:w="11906" w:h="16838" w:code="9"/>
      <w:pgMar w:top="1418" w:right="1418" w:bottom="1977" w:left="1418" w:header="510" w:footer="6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F8C" w:rsidRDefault="00F36F8C">
      <w:pPr>
        <w:rPr>
          <w:lang w:val="cs-CZ"/>
        </w:rPr>
      </w:pPr>
      <w:r>
        <w:rPr>
          <w:lang w:val="cs-CZ"/>
        </w:rPr>
        <w:separator/>
      </w:r>
    </w:p>
  </w:endnote>
  <w:endnote w:type="continuationSeparator" w:id="0">
    <w:p w:rsidR="00F36F8C" w:rsidRDefault="00F36F8C">
      <w:pPr>
        <w:rPr>
          <w:lang w:val="cs-CZ"/>
        </w:rPr>
      </w:pPr>
      <w:r>
        <w:rPr>
          <w:lang w:val="cs-CZ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265" w:rsidRPr="0007683C" w:rsidRDefault="00386265" w:rsidP="00D34D31">
    <w:pPr>
      <w:pStyle w:val="Zhlav"/>
      <w:pBdr>
        <w:top w:val="single" w:sz="4" w:space="1" w:color="auto"/>
      </w:pBdr>
      <w:jc w:val="center"/>
      <w:rPr>
        <w:lang w:val="cs-CZ"/>
      </w:rPr>
    </w:pPr>
    <w:r>
      <w:rPr>
        <w:lang w:val="cs-CZ"/>
      </w:rP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A5611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 NUMPAGES</w:instrText>
    </w:r>
    <w:r>
      <w:rPr>
        <w:rStyle w:val="slostrnky"/>
      </w:rPr>
      <w:fldChar w:fldCharType="separate"/>
    </w:r>
    <w:r w:rsidR="009A5611">
      <w:rPr>
        <w:rStyle w:val="slostrnky"/>
        <w:noProof/>
      </w:rPr>
      <w:t>6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F8C" w:rsidRDefault="00F36F8C">
      <w:pPr>
        <w:rPr>
          <w:lang w:val="cs-CZ"/>
        </w:rPr>
      </w:pPr>
      <w:r>
        <w:rPr>
          <w:lang w:val="cs-CZ"/>
        </w:rPr>
        <w:separator/>
      </w:r>
    </w:p>
  </w:footnote>
  <w:footnote w:type="continuationSeparator" w:id="0">
    <w:p w:rsidR="00F36F8C" w:rsidRDefault="00F36F8C">
      <w:pPr>
        <w:rPr>
          <w:lang w:val="cs-CZ"/>
        </w:rPr>
      </w:pPr>
      <w:r>
        <w:rPr>
          <w:lang w:val="cs-CZ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265" w:rsidRDefault="00386265">
    <w:pPr>
      <w:pStyle w:val="Zhlav"/>
      <w:pBdr>
        <w:bottom w:val="single" w:sz="4" w:space="1" w:color="auto"/>
      </w:pBdr>
      <w:tabs>
        <w:tab w:val="right" w:pos="9000"/>
      </w:tabs>
      <w:rPr>
        <w:lang w:val="cs-CZ"/>
      </w:rPr>
    </w:pPr>
    <w:r>
      <w:rPr>
        <w:b/>
        <w:bCs/>
        <w:lang w:val="cs-CZ"/>
      </w:rPr>
      <w:t>Vetmulin 125 mg/ml   perorální roztok pro podání v pitné vodě pro prasata</w:t>
    </w:r>
    <w:r>
      <w:rPr>
        <w:lang w:val="cs-CZ"/>
      </w:rPr>
      <w:tab/>
    </w:r>
  </w:p>
  <w:p w:rsidR="00386265" w:rsidRDefault="00386265" w:rsidP="00D34D31">
    <w:pPr>
      <w:pStyle w:val="Zhlav"/>
      <w:pBdr>
        <w:bottom w:val="single" w:sz="4" w:space="1" w:color="auto"/>
      </w:pBdr>
      <w:tabs>
        <w:tab w:val="right" w:pos="9000"/>
      </w:tabs>
      <w:spacing w:after="240"/>
      <w:rPr>
        <w:lang w:val="cs-CZ"/>
      </w:rPr>
    </w:pPr>
    <w:r>
      <w:rPr>
        <w:lang w:val="cs-CZ"/>
      </w:rPr>
      <w:t>Huvepharma NV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26C2F"/>
    <w:multiLevelType w:val="hybridMultilevel"/>
    <w:tmpl w:val="17346F3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B875F9"/>
    <w:multiLevelType w:val="hybridMultilevel"/>
    <w:tmpl w:val="0526C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675"/>
    <w:rsid w:val="000618F3"/>
    <w:rsid w:val="000653B4"/>
    <w:rsid w:val="0007683C"/>
    <w:rsid w:val="00077FF3"/>
    <w:rsid w:val="000819CA"/>
    <w:rsid w:val="00082FA9"/>
    <w:rsid w:val="00095B72"/>
    <w:rsid w:val="00114549"/>
    <w:rsid w:val="00126ECC"/>
    <w:rsid w:val="001333B0"/>
    <w:rsid w:val="00151D72"/>
    <w:rsid w:val="001A2E78"/>
    <w:rsid w:val="001B0D80"/>
    <w:rsid w:val="0022048D"/>
    <w:rsid w:val="002275FC"/>
    <w:rsid w:val="00230AFE"/>
    <w:rsid w:val="00247D85"/>
    <w:rsid w:val="002649B5"/>
    <w:rsid w:val="00266763"/>
    <w:rsid w:val="002A05FA"/>
    <w:rsid w:val="002B270A"/>
    <w:rsid w:val="002B3D83"/>
    <w:rsid w:val="002F0226"/>
    <w:rsid w:val="00305CD8"/>
    <w:rsid w:val="00343356"/>
    <w:rsid w:val="003514C7"/>
    <w:rsid w:val="00386265"/>
    <w:rsid w:val="003C34AE"/>
    <w:rsid w:val="003D7A6C"/>
    <w:rsid w:val="003E61B2"/>
    <w:rsid w:val="00460E28"/>
    <w:rsid w:val="004B044F"/>
    <w:rsid w:val="004C2679"/>
    <w:rsid w:val="004D187D"/>
    <w:rsid w:val="005109CC"/>
    <w:rsid w:val="00527526"/>
    <w:rsid w:val="00537F37"/>
    <w:rsid w:val="00575C4B"/>
    <w:rsid w:val="00592617"/>
    <w:rsid w:val="0059657F"/>
    <w:rsid w:val="005C0C61"/>
    <w:rsid w:val="005C5CD1"/>
    <w:rsid w:val="005D24C4"/>
    <w:rsid w:val="006029B8"/>
    <w:rsid w:val="0064315C"/>
    <w:rsid w:val="00683B36"/>
    <w:rsid w:val="006848D1"/>
    <w:rsid w:val="00693859"/>
    <w:rsid w:val="006B43A2"/>
    <w:rsid w:val="006E58EE"/>
    <w:rsid w:val="0071481A"/>
    <w:rsid w:val="00733DA8"/>
    <w:rsid w:val="00782880"/>
    <w:rsid w:val="007D219F"/>
    <w:rsid w:val="007E6A39"/>
    <w:rsid w:val="008039E1"/>
    <w:rsid w:val="008053F3"/>
    <w:rsid w:val="00822F24"/>
    <w:rsid w:val="00830630"/>
    <w:rsid w:val="00835EF1"/>
    <w:rsid w:val="00844BF2"/>
    <w:rsid w:val="00850466"/>
    <w:rsid w:val="00893A1F"/>
    <w:rsid w:val="008E3E51"/>
    <w:rsid w:val="008F4852"/>
    <w:rsid w:val="00946C40"/>
    <w:rsid w:val="009526CC"/>
    <w:rsid w:val="00967F99"/>
    <w:rsid w:val="009816A3"/>
    <w:rsid w:val="00981EBC"/>
    <w:rsid w:val="00983314"/>
    <w:rsid w:val="00984181"/>
    <w:rsid w:val="009847F0"/>
    <w:rsid w:val="009A5611"/>
    <w:rsid w:val="009F39ED"/>
    <w:rsid w:val="00A11E75"/>
    <w:rsid w:val="00A1783F"/>
    <w:rsid w:val="00A30CA3"/>
    <w:rsid w:val="00A776D3"/>
    <w:rsid w:val="00A90AB3"/>
    <w:rsid w:val="00AB2B2A"/>
    <w:rsid w:val="00AB6C33"/>
    <w:rsid w:val="00AD3B26"/>
    <w:rsid w:val="00AE6BF1"/>
    <w:rsid w:val="00B34CF9"/>
    <w:rsid w:val="00B821A5"/>
    <w:rsid w:val="00BA52DB"/>
    <w:rsid w:val="00BB3C7E"/>
    <w:rsid w:val="00BB66ED"/>
    <w:rsid w:val="00BD2B4C"/>
    <w:rsid w:val="00BE2B33"/>
    <w:rsid w:val="00C21A77"/>
    <w:rsid w:val="00C4545D"/>
    <w:rsid w:val="00C70A7F"/>
    <w:rsid w:val="00C93584"/>
    <w:rsid w:val="00CB61C9"/>
    <w:rsid w:val="00CF2E42"/>
    <w:rsid w:val="00D118C5"/>
    <w:rsid w:val="00D34D31"/>
    <w:rsid w:val="00D949C4"/>
    <w:rsid w:val="00DD7675"/>
    <w:rsid w:val="00DF1328"/>
    <w:rsid w:val="00E0571F"/>
    <w:rsid w:val="00E064F5"/>
    <w:rsid w:val="00E4646F"/>
    <w:rsid w:val="00E7100C"/>
    <w:rsid w:val="00E93FF9"/>
    <w:rsid w:val="00EA6D81"/>
    <w:rsid w:val="00F36F8C"/>
    <w:rsid w:val="00F66914"/>
    <w:rsid w:val="00F66EE6"/>
    <w:rsid w:val="00F870AD"/>
    <w:rsid w:val="00FA3242"/>
    <w:rsid w:val="00FA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 w:cs="Arial"/>
      <w:sz w:val="22"/>
      <w:szCs w:val="22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B66ED"/>
    <w:pPr>
      <w:tabs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6959C7"/>
    <w:rPr>
      <w:rFonts w:ascii="Arial" w:hAnsi="Arial" w:cs="Arial"/>
      <w:lang w:val="en-GB" w:eastAsia="en-US"/>
    </w:rPr>
  </w:style>
  <w:style w:type="paragraph" w:styleId="Zpat">
    <w:name w:val="footer"/>
    <w:basedOn w:val="Normln"/>
    <w:link w:val="ZpatChar"/>
    <w:uiPriority w:val="99"/>
    <w:rsid w:val="00BB66ED"/>
    <w:pPr>
      <w:tabs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6959C7"/>
    <w:rPr>
      <w:rFonts w:ascii="Arial" w:hAnsi="Arial" w:cs="Arial"/>
      <w:lang w:val="en-GB" w:eastAsia="en-US"/>
    </w:rPr>
  </w:style>
  <w:style w:type="character" w:styleId="slostrnky">
    <w:name w:val="page number"/>
    <w:uiPriority w:val="99"/>
    <w:rsid w:val="00BB66ED"/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pPr>
      <w:ind w:left="720"/>
    </w:pPr>
  </w:style>
  <w:style w:type="character" w:customStyle="1" w:styleId="ZkladntextodsazenChar">
    <w:name w:val="Základní text odsazený Char"/>
    <w:link w:val="Zkladntextodsazen"/>
    <w:uiPriority w:val="99"/>
    <w:semiHidden/>
    <w:rsid w:val="006959C7"/>
    <w:rPr>
      <w:rFonts w:ascii="Arial" w:hAnsi="Arial" w:cs="Arial"/>
      <w:lang w:val="en-GB" w:eastAsia="en-US"/>
    </w:rPr>
  </w:style>
  <w:style w:type="paragraph" w:customStyle="1" w:styleId="DsPara">
    <w:name w:val="DsPara"/>
    <w:basedOn w:val="Normln"/>
    <w:uiPriority w:val="99"/>
    <w:pPr>
      <w:spacing w:before="80"/>
      <w:jc w:val="both"/>
    </w:pPr>
    <w:rPr>
      <w:rFonts w:ascii="Helvetica" w:hAnsi="Helvetica" w:cs="Helvetica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959C7"/>
    <w:rPr>
      <w:rFonts w:cs="Arial"/>
      <w:sz w:val="0"/>
      <w:szCs w:val="0"/>
      <w:lang w:val="en-GB" w:eastAsia="en-US"/>
    </w:r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character" w:customStyle="1" w:styleId="ZkladntextChar">
    <w:name w:val="Základní text Char"/>
    <w:link w:val="Zkladntext"/>
    <w:uiPriority w:val="99"/>
    <w:locked/>
    <w:rsid w:val="00BB66ED"/>
    <w:rPr>
      <w:rFonts w:ascii="Arial" w:hAnsi="Arial" w:cs="Arial"/>
      <w:sz w:val="24"/>
      <w:szCs w:val="24"/>
    </w:rPr>
  </w:style>
  <w:style w:type="paragraph" w:customStyle="1" w:styleId="knZulassung07">
    <w:name w:val="knZulassung07"/>
    <w:basedOn w:val="Normln"/>
    <w:uiPriority w:val="99"/>
    <w:pPr>
      <w:ind w:left="567" w:right="284"/>
    </w:pPr>
    <w:rPr>
      <w:rFonts w:ascii="Courier" w:hAnsi="Courier" w:cs="Courier"/>
      <w:sz w:val="24"/>
      <w:szCs w:val="24"/>
      <w:lang w:val="de-DE" w:eastAsia="de-DE"/>
    </w:rPr>
  </w:style>
  <w:style w:type="character" w:customStyle="1" w:styleId="tw4winMark">
    <w:name w:val="tw4winMark"/>
    <w:uiPriority w:val="99"/>
    <w:rsid w:val="00BB66ED"/>
    <w:rPr>
      <w:rFonts w:ascii="Courier New" w:hAnsi="Courier New"/>
      <w:vanish/>
      <w:color w:val="800080"/>
      <w:vertAlign w:val="subscript"/>
    </w:rPr>
  </w:style>
  <w:style w:type="character" w:styleId="Odkaznakoment">
    <w:name w:val="annotation reference"/>
    <w:uiPriority w:val="99"/>
    <w:semiHidden/>
    <w:unhideWhenUsed/>
    <w:rsid w:val="005109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09C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109CC"/>
    <w:rPr>
      <w:rFonts w:ascii="Arial" w:hAnsi="Arial" w:cs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09C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109CC"/>
    <w:rPr>
      <w:rFonts w:ascii="Arial" w:hAnsi="Arial" w:cs="Arial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6</Pages>
  <Words>1066</Words>
  <Characters>6294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VMD</Company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kearsr</dc:creator>
  <cp:keywords/>
  <dc:description/>
  <cp:lastModifiedBy>Šťastná Hana</cp:lastModifiedBy>
  <cp:revision>29</cp:revision>
  <cp:lastPrinted>2017-05-12T05:28:00Z</cp:lastPrinted>
  <dcterms:created xsi:type="dcterms:W3CDTF">2014-10-13T14:01:00Z</dcterms:created>
  <dcterms:modified xsi:type="dcterms:W3CDTF">2017-05-12T05:28:00Z</dcterms:modified>
</cp:coreProperties>
</file>