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4B" w:rsidRPr="00B3184B" w:rsidRDefault="00B3184B" w:rsidP="00B3184B">
      <w:pPr>
        <w:pStyle w:val="TitelPackungsbeilage"/>
      </w:pPr>
      <w:bookmarkStart w:id="0" w:name="_GoBack"/>
      <w:bookmarkEnd w:id="0"/>
      <w:r>
        <w:t>PŘÍBALOVÁ INFORMACE PRO:</w:t>
      </w:r>
    </w:p>
    <w:p w:rsidR="00B3184B" w:rsidRPr="00B3184B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Cs w:val="22"/>
        </w:rPr>
      </w:pPr>
    </w:p>
    <w:p w:rsidR="00F66D14" w:rsidRPr="00F66D14" w:rsidRDefault="00AB7858" w:rsidP="00A7248A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Busol 0,004 mg/ml injekční roztok pro skot, koně, králíky</w:t>
      </w:r>
      <w:r>
        <w:rPr>
          <w:snapToGrid w:val="0"/>
          <w:sz w:val="32"/>
        </w:rPr>
        <w:t xml:space="preserve"> </w:t>
      </w:r>
    </w:p>
    <w:p w:rsidR="00B3184B" w:rsidRPr="00B3184B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Cs w:val="22"/>
        </w:rPr>
      </w:pPr>
      <w:r>
        <w:rPr>
          <w:b/>
          <w:caps/>
          <w:snapToGrid w:val="0"/>
          <w:kern w:val="32"/>
        </w:rPr>
        <w:t>1.</w:t>
      </w:r>
      <w:r>
        <w:t xml:space="preserve"> </w:t>
      </w:r>
      <w:r>
        <w:rPr>
          <w:b/>
          <w:caps/>
          <w:snapToGrid w:val="0"/>
          <w:kern w:val="32"/>
        </w:rPr>
        <w:t xml:space="preserve">JMÉNO A ADRESA DRŽITELE ROZHODNUTÍ O REGISTRACI A DRŽITELE POVOLENÍ K VÝROBĚ ODPOVĚDNÉHO ZA UVOLNĚNÍ ŠARŽE, POKUD SE NESHODUJE </w:t>
      </w:r>
    </w:p>
    <w:p w:rsidR="00B3184B" w:rsidRPr="00F400E0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Držitel rozhodnutí o registraci: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</w:rPr>
        <w:t>T.P.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Whelehan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Son&amp;Co</w:t>
      </w:r>
      <w:proofErr w:type="spellEnd"/>
      <w:r>
        <w:rPr>
          <w:snapToGrid w:val="0"/>
          <w:sz w:val="24"/>
        </w:rPr>
        <w:t>. Ltd.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Bracetown</w:t>
      </w:r>
      <w:proofErr w:type="spellEnd"/>
      <w:r>
        <w:rPr>
          <w:snapToGrid w:val="0"/>
          <w:sz w:val="24"/>
        </w:rPr>
        <w:t xml:space="preserve"> Business Park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Clonee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Co. </w:t>
      </w:r>
      <w:proofErr w:type="spellStart"/>
      <w:r>
        <w:rPr>
          <w:snapToGrid w:val="0"/>
          <w:sz w:val="24"/>
        </w:rPr>
        <w:t>Meath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Irsko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Výrobce odpovědný za uvolnění šarže: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aniMedica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GmbH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Im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Südfeld</w:t>
      </w:r>
      <w:proofErr w:type="spellEnd"/>
      <w:r>
        <w:rPr>
          <w:snapToGrid w:val="0"/>
          <w:sz w:val="24"/>
        </w:rPr>
        <w:t xml:space="preserve"> 9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48308 </w:t>
      </w:r>
      <w:proofErr w:type="spellStart"/>
      <w:r>
        <w:rPr>
          <w:snapToGrid w:val="0"/>
          <w:sz w:val="24"/>
        </w:rPr>
        <w:t>Senden-Bösensell</w:t>
      </w:r>
      <w:proofErr w:type="spellEnd"/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Německo</w:t>
      </w:r>
    </w:p>
    <w:p w:rsidR="00B3184B" w:rsidRPr="00F400E0" w:rsidRDefault="00B3184B" w:rsidP="00B3184B">
      <w:pPr>
        <w:keepNext/>
        <w:tabs>
          <w:tab w:val="clear" w:pos="567"/>
        </w:tabs>
        <w:spacing w:before="120" w:line="240" w:lineRule="auto"/>
        <w:ind w:left="567" w:hanging="567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2.</w:t>
      </w:r>
      <w:r>
        <w:tab/>
      </w:r>
      <w:r>
        <w:rPr>
          <w:b/>
          <w:caps/>
          <w:snapToGrid w:val="0"/>
          <w:kern w:val="32"/>
          <w:sz w:val="24"/>
        </w:rPr>
        <w:t xml:space="preserve">NÁZEV VETERINÁRNÍHO LÉČIVÉHO PŘÍPRAVKU 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Busol 0,004 mg/ml injekční roztok pro skot, koně, králíky 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3.</w:t>
      </w:r>
      <w:r>
        <w:tab/>
      </w:r>
      <w:r>
        <w:rPr>
          <w:b/>
          <w:caps/>
          <w:snapToGrid w:val="0"/>
          <w:kern w:val="32"/>
          <w:sz w:val="24"/>
        </w:rPr>
        <w:t>OBSAH LÉČIVÝCH A OSTATNÍCH LÁTEK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Jeden ml obsahuje: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</w:rPr>
        <w:t>Léčivá látka: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</w:rPr>
        <w:t>Buserelinum</w:t>
      </w:r>
      <w:proofErr w:type="spellEnd"/>
      <w:r>
        <w:rPr>
          <w:snapToGrid w:val="0"/>
          <w:sz w:val="24"/>
        </w:rPr>
        <w:t xml:space="preserve"> (</w:t>
      </w:r>
      <w:r w:rsidR="00A7248A">
        <w:rPr>
          <w:snapToGrid w:val="0"/>
          <w:sz w:val="24"/>
        </w:rPr>
        <w:t>jako</w:t>
      </w:r>
      <w:r>
        <w:rPr>
          <w:snapToGrid w:val="0"/>
          <w:sz w:val="24"/>
        </w:rPr>
        <w:t xml:space="preserve"> </w:t>
      </w:r>
      <w:proofErr w:type="spellStart"/>
      <w:r w:rsidR="00A7248A">
        <w:rPr>
          <w:snapToGrid w:val="0"/>
          <w:sz w:val="24"/>
        </w:rPr>
        <w:t>b</w:t>
      </w:r>
      <w:r>
        <w:rPr>
          <w:snapToGrid w:val="0"/>
          <w:sz w:val="24"/>
        </w:rPr>
        <w:t>userelini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acetas</w:t>
      </w:r>
      <w:proofErr w:type="spellEnd"/>
      <w:r>
        <w:rPr>
          <w:snapToGrid w:val="0"/>
          <w:sz w:val="24"/>
        </w:rPr>
        <w:t>)</w:t>
      </w:r>
      <w:r>
        <w:tab/>
      </w:r>
      <w:r>
        <w:rPr>
          <w:snapToGrid w:val="0"/>
          <w:sz w:val="24"/>
        </w:rPr>
        <w:t>0,004 mg/ml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  <w:tab w:val="left" w:pos="1701"/>
        </w:tabs>
        <w:spacing w:line="240" w:lineRule="auto"/>
        <w:rPr>
          <w:iCs/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b/>
          <w:snapToGrid w:val="0"/>
          <w:sz w:val="24"/>
        </w:rPr>
        <w:t>Pomocné látky: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Benzylalkohol (E</w:t>
      </w:r>
      <w:r w:rsidR="00A7248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1519)</w:t>
      </w:r>
      <w:r>
        <w:tab/>
      </w:r>
      <w:r>
        <w:tab/>
      </w:r>
      <w:r>
        <w:rPr>
          <w:snapToGrid w:val="0"/>
          <w:sz w:val="24"/>
        </w:rPr>
        <w:t>20,0 mg/ml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Čirá</w:t>
      </w:r>
      <w:r w:rsidR="00A7248A">
        <w:rPr>
          <w:snapToGrid w:val="0"/>
          <w:sz w:val="24"/>
        </w:rPr>
        <w:t xml:space="preserve"> </w:t>
      </w:r>
      <w:r>
        <w:rPr>
          <w:snapToGrid w:val="0"/>
          <w:sz w:val="24"/>
        </w:rPr>
        <w:t>bezbarvá kapalina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4.</w:t>
      </w:r>
      <w:r>
        <w:tab/>
      </w:r>
      <w:r>
        <w:rPr>
          <w:b/>
          <w:caps/>
          <w:snapToGrid w:val="0"/>
          <w:kern w:val="32"/>
          <w:sz w:val="24"/>
        </w:rPr>
        <w:t>INDIKACE</w:t>
      </w:r>
    </w:p>
    <w:p w:rsidR="00B3184B" w:rsidRPr="00F400E0" w:rsidRDefault="00B3184B" w:rsidP="00B3184B">
      <w:pPr>
        <w:keepNext/>
        <w:numPr>
          <w:ilvl w:val="2"/>
          <w:numId w:val="0"/>
        </w:numPr>
        <w:tabs>
          <w:tab w:val="clear" w:pos="567"/>
        </w:tabs>
        <w:spacing w:before="120" w:line="240" w:lineRule="auto"/>
        <w:ind w:firstLine="720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Kráv</w:t>
      </w:r>
      <w:r w:rsidR="00CF4385">
        <w:rPr>
          <w:b/>
          <w:noProof/>
          <w:snapToGrid w:val="0"/>
          <w:kern w:val="32"/>
          <w:sz w:val="24"/>
        </w:rPr>
        <w:t>y</w:t>
      </w:r>
      <w:r>
        <w:rPr>
          <w:b/>
          <w:noProof/>
          <w:snapToGrid w:val="0"/>
          <w:kern w:val="32"/>
          <w:sz w:val="24"/>
        </w:rPr>
        <w:t>: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Indukce ovulace u krav s dominantním folikulem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Synchronizace říje a indukce ovulace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Léčba ovariálních folikulárních cyst</w:t>
      </w:r>
    </w:p>
    <w:p w:rsidR="00B3184B" w:rsidRPr="00F400E0" w:rsidRDefault="00B3184B" w:rsidP="00B3184B">
      <w:pPr>
        <w:keepNext/>
        <w:numPr>
          <w:ilvl w:val="2"/>
          <w:numId w:val="0"/>
        </w:numPr>
        <w:tabs>
          <w:tab w:val="clear" w:pos="567"/>
        </w:tabs>
        <w:spacing w:before="120" w:line="240" w:lineRule="auto"/>
        <w:ind w:firstLine="720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Klisn</w:t>
      </w:r>
      <w:r w:rsidR="00CF4385">
        <w:rPr>
          <w:b/>
          <w:noProof/>
          <w:snapToGrid w:val="0"/>
          <w:kern w:val="32"/>
          <w:sz w:val="24"/>
        </w:rPr>
        <w:t>y</w:t>
      </w:r>
      <w:r>
        <w:rPr>
          <w:b/>
          <w:noProof/>
          <w:snapToGrid w:val="0"/>
          <w:kern w:val="32"/>
          <w:sz w:val="24"/>
        </w:rPr>
        <w:t>: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Indukce ovulace u klisen v říji</w:t>
      </w:r>
    </w:p>
    <w:p w:rsidR="00AF4D87" w:rsidRDefault="00AF4D87" w:rsidP="00CF4385">
      <w:pPr>
        <w:pStyle w:val="TextkrperFachinformation"/>
        <w:rPr>
          <w:sz w:val="24"/>
        </w:rPr>
      </w:pPr>
    </w:p>
    <w:p w:rsidR="00CF4385" w:rsidRDefault="00CF4385" w:rsidP="00CF4385">
      <w:pPr>
        <w:pStyle w:val="TextkrperFachinformation"/>
        <w:rPr>
          <w:sz w:val="24"/>
          <w:szCs w:val="24"/>
        </w:rPr>
      </w:pPr>
      <w:r>
        <w:rPr>
          <w:sz w:val="24"/>
        </w:rPr>
        <w:t xml:space="preserve">Zvýšení pravděpodobnosti zabřeznutí </w:t>
      </w:r>
    </w:p>
    <w:p w:rsidR="00CF4385" w:rsidRPr="00F400E0" w:rsidRDefault="00CF4385" w:rsidP="00F400E0">
      <w:pPr>
        <w:jc w:val="both"/>
        <w:rPr>
          <w:snapToGrid w:val="0"/>
          <w:sz w:val="24"/>
          <w:szCs w:val="24"/>
        </w:rPr>
      </w:pPr>
    </w:p>
    <w:p w:rsidR="00B3184B" w:rsidRPr="00F400E0" w:rsidRDefault="00CF4385" w:rsidP="00B3184B">
      <w:pPr>
        <w:keepNext/>
        <w:numPr>
          <w:ilvl w:val="2"/>
          <w:numId w:val="0"/>
        </w:numPr>
        <w:tabs>
          <w:tab w:val="clear" w:pos="567"/>
        </w:tabs>
        <w:spacing w:before="120" w:line="240" w:lineRule="auto"/>
        <w:ind w:firstLine="720"/>
        <w:outlineLvl w:val="0"/>
        <w:rPr>
          <w:rFonts w:cs="Arial"/>
          <w:b/>
          <w:bCs/>
          <w:noProof/>
          <w:snapToGrid w:val="0"/>
          <w:kern w:val="32"/>
          <w:sz w:val="24"/>
          <w:szCs w:val="24"/>
        </w:rPr>
      </w:pPr>
      <w:r>
        <w:rPr>
          <w:b/>
          <w:noProof/>
          <w:snapToGrid w:val="0"/>
          <w:kern w:val="32"/>
          <w:sz w:val="24"/>
        </w:rPr>
        <w:t>Ramlice</w:t>
      </w:r>
      <w:r w:rsidR="00B3184B">
        <w:rPr>
          <w:b/>
          <w:noProof/>
          <w:snapToGrid w:val="0"/>
          <w:kern w:val="32"/>
          <w:sz w:val="24"/>
        </w:rPr>
        <w:t>: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Indukce ovulace při inseminaci post </w:t>
      </w:r>
      <w:proofErr w:type="spellStart"/>
      <w:r>
        <w:rPr>
          <w:snapToGrid w:val="0"/>
          <w:sz w:val="24"/>
        </w:rPr>
        <w:t>partum</w:t>
      </w:r>
      <w:proofErr w:type="spellEnd"/>
    </w:p>
    <w:p w:rsidR="00AF4D87" w:rsidRDefault="00AF4D87" w:rsidP="00AF4D87">
      <w:pPr>
        <w:pStyle w:val="TextkrperFachinformation"/>
        <w:rPr>
          <w:sz w:val="24"/>
          <w:szCs w:val="24"/>
        </w:rPr>
      </w:pPr>
      <w:r>
        <w:rPr>
          <w:sz w:val="24"/>
        </w:rPr>
        <w:lastRenderedPageBreak/>
        <w:t xml:space="preserve">Zvýšení pravděpodobnosti zabřeznutí </w:t>
      </w:r>
    </w:p>
    <w:p w:rsidR="00CF4385" w:rsidRPr="00F400E0" w:rsidRDefault="00CF4385" w:rsidP="00F400E0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noProof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5.</w:t>
      </w:r>
      <w:r>
        <w:tab/>
      </w:r>
      <w:r>
        <w:rPr>
          <w:b/>
          <w:caps/>
          <w:snapToGrid w:val="0"/>
          <w:kern w:val="32"/>
          <w:sz w:val="24"/>
        </w:rPr>
        <w:t>KONTRAINDIKACE</w:t>
      </w:r>
    </w:p>
    <w:p w:rsidR="00B3184B" w:rsidRPr="00F400E0" w:rsidRDefault="00F91D77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noProof/>
          <w:snapToGrid w:val="0"/>
          <w:kern w:val="32"/>
          <w:sz w:val="24"/>
          <w:szCs w:val="24"/>
        </w:rPr>
      </w:pPr>
      <w:r>
        <w:t xml:space="preserve">Nepoužívat v případě známé přecitlivělosti na léčivou látku. </w:t>
      </w:r>
      <w:r w:rsidR="00B3184B">
        <w:rPr>
          <w:b/>
          <w:caps/>
          <w:snapToGrid w:val="0"/>
          <w:kern w:val="32"/>
          <w:sz w:val="24"/>
        </w:rPr>
        <w:t>6.</w:t>
      </w:r>
      <w:r w:rsidR="00B3184B">
        <w:tab/>
      </w:r>
      <w:r w:rsidR="00B3184B">
        <w:rPr>
          <w:b/>
          <w:caps/>
          <w:snapToGrid w:val="0"/>
          <w:kern w:val="32"/>
          <w:sz w:val="24"/>
        </w:rPr>
        <w:t>NEŽÁDOUCÍ ÚČINKY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Nejsou. Jestliže zaznamenáte jakékoliv závažné nežádoucí účinky či jiné reakce, které nejsou uvedeny v této příbalové informaci, oznamte to prosím vašemu veterinárnímu lékaři.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7.</w:t>
      </w:r>
      <w:r>
        <w:tab/>
      </w:r>
      <w:r>
        <w:rPr>
          <w:b/>
          <w:caps/>
          <w:snapToGrid w:val="0"/>
          <w:kern w:val="32"/>
          <w:sz w:val="24"/>
        </w:rPr>
        <w:t>CÍLOVÝ DRUH ZVÍŘAT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Skot, k</w:t>
      </w:r>
      <w:r w:rsidR="00CF4385">
        <w:rPr>
          <w:snapToGrid w:val="0"/>
          <w:sz w:val="24"/>
        </w:rPr>
        <w:t>oně</w:t>
      </w:r>
      <w:r>
        <w:rPr>
          <w:snapToGrid w:val="0"/>
          <w:sz w:val="24"/>
        </w:rPr>
        <w:t>, králí</w:t>
      </w:r>
      <w:r w:rsidR="00CF4385">
        <w:rPr>
          <w:snapToGrid w:val="0"/>
          <w:sz w:val="24"/>
        </w:rPr>
        <w:t>ci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8.</w:t>
      </w:r>
      <w:r>
        <w:tab/>
      </w:r>
      <w:r>
        <w:rPr>
          <w:b/>
          <w:caps/>
          <w:noProof/>
          <w:snapToGrid w:val="0"/>
          <w:kern w:val="32"/>
          <w:sz w:val="24"/>
        </w:rPr>
        <w:t>DÁVKOVÁNÍ PRO KAŽDÝ DRUH, CESTA(Y) A ZPŮSOB PODÁNÍ</w:t>
      </w:r>
    </w:p>
    <w:p w:rsidR="00B3184B" w:rsidRPr="00F400E0" w:rsidRDefault="00547F7F" w:rsidP="00F400E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I</w:t>
      </w:r>
      <w:r w:rsidR="00B3184B">
        <w:rPr>
          <w:snapToGrid w:val="0"/>
          <w:sz w:val="24"/>
        </w:rPr>
        <w:t>ntramuskulární (skot, koně, králíci), intravenózní (koně) nebo subkutánní (koně, králíci) podání.</w:t>
      </w:r>
    </w:p>
    <w:p w:rsidR="00B3184B" w:rsidRPr="00F400E0" w:rsidRDefault="00B3184B" w:rsidP="00F400E0">
      <w:pPr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9"/>
        <w:gridCol w:w="1418"/>
        <w:gridCol w:w="857"/>
      </w:tblGrid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Druhy zvířat / indikace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mg buserelinu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ml busolu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B3184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ind w:firstLine="720"/>
              <w:outlineLvl w:val="0"/>
              <w:rPr>
                <w:rFonts w:cs="Arial"/>
                <w:b/>
                <w:bCs/>
                <w:noProof/>
                <w:snapToGrid w:val="0"/>
                <w:kern w:val="32"/>
                <w:sz w:val="24"/>
                <w:szCs w:val="24"/>
              </w:rPr>
            </w:pPr>
            <w:r>
              <w:rPr>
                <w:b/>
                <w:noProof/>
                <w:snapToGrid w:val="0"/>
                <w:kern w:val="32"/>
                <w:sz w:val="24"/>
              </w:rPr>
              <w:t>Krávy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Indukce ovulace u krav s dominantním folikulem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0,01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2,5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Synchronizace říje a indukce ovulace při následujícím používání:</w:t>
            </w:r>
          </w:p>
          <w:p w:rsidR="00B3184B" w:rsidRPr="00F400E0" w:rsidRDefault="00B3184B" w:rsidP="00A55A48">
            <w:pPr>
              <w:jc w:val="both"/>
              <w:rPr>
                <w:snapToGrid w:val="0"/>
                <w:sz w:val="24"/>
                <w:szCs w:val="24"/>
              </w:rPr>
            </w:pPr>
            <w:r>
              <w:t xml:space="preserve">podání buserelinu (den 0), následované </w:t>
            </w:r>
            <w:r w:rsidR="00A55A48">
              <w:t xml:space="preserve">ošetřením </w:t>
            </w:r>
            <w:r>
              <w:t>PGF2A za sedm dní (den 7) a druhé podání buserelinu po devíti dnech (den 9).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0,01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2,5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Léčba ovariálních folikulárních cyst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0,02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5,0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B3184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ind w:firstLine="720"/>
              <w:outlineLvl w:val="0"/>
              <w:rPr>
                <w:rFonts w:cs="Arial"/>
                <w:b/>
                <w:bCs/>
                <w:noProof/>
                <w:snapToGrid w:val="0"/>
                <w:kern w:val="32"/>
                <w:sz w:val="24"/>
                <w:szCs w:val="24"/>
              </w:rPr>
            </w:pPr>
            <w:r>
              <w:rPr>
                <w:b/>
                <w:noProof/>
                <w:snapToGrid w:val="0"/>
                <w:kern w:val="32"/>
                <w:sz w:val="24"/>
              </w:rPr>
              <w:t>Klisny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Indukce ovulace u klisen v říji při podávání opakovaně v 12hodinových intervalech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0,02 – 0,04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5 – 10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AF4D87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Zvýšení pravděpodobnosti zabřeznutí</w:t>
            </w:r>
            <w:r w:rsidR="00B3184B">
              <w:rPr>
                <w:snapToGrid w:val="0"/>
                <w:sz w:val="24"/>
              </w:rPr>
              <w:t xml:space="preserve"> při podání </w:t>
            </w:r>
            <w:r w:rsidR="00B3184B">
              <w:t>v rozmezí 8 až 12 dnů po přirozeném páření / inseminaci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0,02 – 0,04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5 – 10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B3184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ind w:firstLine="720"/>
              <w:outlineLvl w:val="0"/>
              <w:rPr>
                <w:rFonts w:cs="Arial"/>
                <w:b/>
                <w:bCs/>
                <w:noProof/>
                <w:snapToGrid w:val="0"/>
                <w:kern w:val="32"/>
                <w:sz w:val="24"/>
                <w:szCs w:val="24"/>
              </w:rPr>
            </w:pPr>
            <w:r>
              <w:rPr>
                <w:b/>
                <w:noProof/>
                <w:snapToGrid w:val="0"/>
                <w:kern w:val="32"/>
                <w:sz w:val="24"/>
              </w:rPr>
              <w:t>Králík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B3184B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 xml:space="preserve">Indukce ovulace při inseminaci post </w:t>
            </w:r>
            <w:proofErr w:type="spellStart"/>
            <w:r>
              <w:rPr>
                <w:snapToGrid w:val="0"/>
                <w:sz w:val="24"/>
              </w:rPr>
              <w:t>partum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0,0008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0,2</w:t>
            </w:r>
          </w:p>
        </w:tc>
      </w:tr>
      <w:tr w:rsidR="00B3184B" w:rsidRPr="00F400E0" w:rsidTr="00BB0C4C">
        <w:trPr>
          <w:jc w:val="center"/>
        </w:trPr>
        <w:tc>
          <w:tcPr>
            <w:tcW w:w="4799" w:type="dxa"/>
            <w:shd w:val="clear" w:color="auto" w:fill="auto"/>
          </w:tcPr>
          <w:p w:rsidR="00B3184B" w:rsidRPr="00F400E0" w:rsidRDefault="00AF4D87" w:rsidP="00F400E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Zvýšení pravděpodobnosti zabřeznutí</w:t>
            </w:r>
          </w:p>
        </w:tc>
        <w:tc>
          <w:tcPr>
            <w:tcW w:w="1418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0,0008</w:t>
            </w:r>
          </w:p>
        </w:tc>
        <w:tc>
          <w:tcPr>
            <w:tcW w:w="829" w:type="dxa"/>
            <w:shd w:val="clear" w:color="auto" w:fill="auto"/>
          </w:tcPr>
          <w:p w:rsidR="00B3184B" w:rsidRPr="00F400E0" w:rsidRDefault="00B3184B" w:rsidP="00F400E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</w:rPr>
              <w:t>0,2</w:t>
            </w:r>
          </w:p>
        </w:tc>
      </w:tr>
    </w:tbl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9.</w:t>
      </w:r>
      <w:r>
        <w:tab/>
      </w:r>
      <w:r>
        <w:rPr>
          <w:b/>
          <w:caps/>
          <w:snapToGrid w:val="0"/>
          <w:kern w:val="32"/>
          <w:sz w:val="24"/>
        </w:rPr>
        <w:t>POKYNY PRO SPRÁVNÉ PODÁNÍ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Nejsou.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10.</w:t>
      </w:r>
      <w:r>
        <w:tab/>
      </w:r>
      <w:r>
        <w:rPr>
          <w:b/>
          <w:caps/>
          <w:snapToGrid w:val="0"/>
          <w:kern w:val="32"/>
          <w:sz w:val="24"/>
        </w:rPr>
        <w:t>OCHRANNÁ LHŮTA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Skot, koně, králíci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Maso</w:t>
      </w:r>
      <w:r w:rsidR="00E171D6">
        <w:rPr>
          <w:snapToGrid w:val="0"/>
          <w:sz w:val="24"/>
        </w:rPr>
        <w:t xml:space="preserve">:              </w:t>
      </w:r>
      <w:r>
        <w:tab/>
      </w:r>
      <w:r>
        <w:tab/>
      </w:r>
      <w:r>
        <w:rPr>
          <w:snapToGrid w:val="0"/>
          <w:sz w:val="24"/>
        </w:rPr>
        <w:t>Bez ochranných lhůt</w:t>
      </w:r>
      <w:r w:rsidR="00E171D6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Skot, koně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Mléko</w:t>
      </w:r>
      <w:r w:rsidR="00E171D6">
        <w:rPr>
          <w:snapToGrid w:val="0"/>
          <w:sz w:val="24"/>
        </w:rPr>
        <w:t>:</w:t>
      </w:r>
      <w:r>
        <w:tab/>
      </w:r>
      <w:r>
        <w:tab/>
      </w:r>
      <w:r>
        <w:tab/>
      </w:r>
      <w:r>
        <w:tab/>
      </w:r>
      <w:r>
        <w:rPr>
          <w:snapToGrid w:val="0"/>
          <w:sz w:val="24"/>
        </w:rPr>
        <w:t>Bez ochranných lhůt</w:t>
      </w:r>
      <w:r w:rsidR="00E171D6">
        <w:rPr>
          <w:snapToGrid w:val="0"/>
          <w:sz w:val="24"/>
        </w:rPr>
        <w:t>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lastRenderedPageBreak/>
        <w:t>11.</w:t>
      </w:r>
      <w:r>
        <w:tab/>
      </w:r>
      <w:r>
        <w:rPr>
          <w:b/>
          <w:caps/>
          <w:noProof/>
          <w:snapToGrid w:val="0"/>
          <w:kern w:val="32"/>
          <w:sz w:val="24"/>
        </w:rPr>
        <w:t>ZVLÁŠTNÍ OPATŘENÍ PRO UCHOVÁVÁNÍ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 xml:space="preserve">Uchovávat mimo </w:t>
      </w:r>
      <w:r>
        <w:t>dohled a dosah dětí.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>Uchovávejte při teplotě do 25 °C.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>Chraňte před mrazem.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 xml:space="preserve">Nepoužívejte tento veterinární léčivý přípravek po uplynutí doby použitelnosti uvedené na </w:t>
      </w:r>
      <w:r>
        <w:t>etiketě</w:t>
      </w:r>
      <w:r w:rsidR="00A7248A">
        <w:t xml:space="preserve"> po EXP</w:t>
      </w:r>
      <w:r>
        <w:t>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  <w:r>
        <w:rPr>
          <w:noProof/>
          <w:snapToGrid w:val="0"/>
          <w:sz w:val="24"/>
        </w:rPr>
        <w:t xml:space="preserve">Doba použitelnosti po prvním otevření </w:t>
      </w:r>
      <w:r w:rsidR="00A7248A">
        <w:rPr>
          <w:noProof/>
          <w:snapToGrid w:val="0"/>
          <w:sz w:val="24"/>
        </w:rPr>
        <w:t>vnitřního obalu</w:t>
      </w:r>
      <w:r>
        <w:rPr>
          <w:noProof/>
          <w:snapToGrid w:val="0"/>
          <w:sz w:val="24"/>
        </w:rPr>
        <w:t>:</w:t>
      </w:r>
      <w:r>
        <w:t xml:space="preserve"> </w:t>
      </w:r>
      <w:r w:rsidR="00C558B0">
        <w:rPr>
          <w:noProof/>
          <w:snapToGrid w:val="0"/>
          <w:sz w:val="24"/>
        </w:rPr>
        <w:t>28</w:t>
      </w:r>
      <w:r>
        <w:rPr>
          <w:noProof/>
          <w:snapToGrid w:val="0"/>
          <w:sz w:val="24"/>
        </w:rPr>
        <w:t xml:space="preserve"> dní</w:t>
      </w:r>
      <w:r w:rsidR="00C558B0">
        <w:rPr>
          <w:noProof/>
          <w:snapToGrid w:val="0"/>
          <w:sz w:val="24"/>
        </w:rPr>
        <w:t>.</w:t>
      </w:r>
    </w:p>
    <w:p w:rsidR="00B3184B" w:rsidRPr="00F400E0" w:rsidRDefault="00B3184B" w:rsidP="00B3184B">
      <w:pPr>
        <w:rPr>
          <w:noProof/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12.</w:t>
      </w:r>
      <w:r>
        <w:tab/>
      </w:r>
      <w:r>
        <w:rPr>
          <w:b/>
          <w:caps/>
          <w:snapToGrid w:val="0"/>
          <w:kern w:val="32"/>
          <w:sz w:val="24"/>
        </w:rPr>
        <w:t>ZVLÁŠTNÍ UPOZORNĚNÍ</w:t>
      </w:r>
    </w:p>
    <w:p w:rsidR="00B3184B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Léčba analogem GnRH je pouze symptomatická, základní příčiny </w:t>
      </w:r>
      <w:r w:rsidR="00F91D77">
        <w:rPr>
          <w:sz w:val="24"/>
        </w:rPr>
        <w:t xml:space="preserve">poruchy plodnosti </w:t>
      </w:r>
      <w:r>
        <w:rPr>
          <w:snapToGrid w:val="0"/>
          <w:sz w:val="24"/>
        </w:rPr>
        <w:t>nejsou touto léčbou eliminovány.</w:t>
      </w:r>
    </w:p>
    <w:p w:rsidR="00BD2088" w:rsidRPr="00F400E0" w:rsidRDefault="00BD2088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B3184B" w:rsidRPr="00B51EB9" w:rsidRDefault="00B3184B" w:rsidP="00B3184B">
      <w:pPr>
        <w:spacing w:line="240" w:lineRule="auto"/>
        <w:rPr>
          <w:snapToGrid w:val="0"/>
          <w:sz w:val="24"/>
          <w:szCs w:val="24"/>
          <w:u w:val="single"/>
        </w:rPr>
      </w:pPr>
      <w:r w:rsidRPr="00B51EB9">
        <w:rPr>
          <w:snapToGrid w:val="0"/>
          <w:sz w:val="24"/>
          <w:u w:val="single"/>
        </w:rPr>
        <w:t>Zvláštní opatření určené osobám, které podávají veterinární léčivý přípravek zvířatům</w:t>
      </w:r>
      <w:r w:rsidR="00BD2088">
        <w:rPr>
          <w:snapToGrid w:val="0"/>
          <w:sz w:val="24"/>
          <w:u w:val="single"/>
        </w:rPr>
        <w:t>:</w:t>
      </w:r>
    </w:p>
    <w:p w:rsidR="00BD2088" w:rsidRPr="00A351C9" w:rsidRDefault="00BD2088">
      <w:pPr>
        <w:spacing w:line="240" w:lineRule="auto"/>
        <w:jc w:val="both"/>
        <w:rPr>
          <w:sz w:val="24"/>
          <w:szCs w:val="24"/>
        </w:rPr>
      </w:pPr>
      <w:r w:rsidRPr="00A351C9">
        <w:rPr>
          <w:sz w:val="24"/>
          <w:szCs w:val="24"/>
        </w:rPr>
        <w:t>Zabraňte kontaktu přípravku s pokožkou a očima. V případě náhodného zasažení očí je důkladně vypláchněte vodou. V případě kontaktu s pokožkou opláchněte exponovanou část ihned mýdlem a vodou, protože analogy GnRH mohou být absorbovány kůží.</w:t>
      </w:r>
    </w:p>
    <w:p w:rsidR="00BD2088" w:rsidRPr="00A351C9" w:rsidRDefault="00BD2088">
      <w:pPr>
        <w:spacing w:line="240" w:lineRule="auto"/>
        <w:jc w:val="both"/>
        <w:rPr>
          <w:sz w:val="24"/>
          <w:szCs w:val="24"/>
        </w:rPr>
      </w:pPr>
      <w:r w:rsidRPr="00A351C9">
        <w:rPr>
          <w:sz w:val="24"/>
          <w:szCs w:val="24"/>
        </w:rPr>
        <w:t>Při manipulaci s přípravkem</w:t>
      </w:r>
      <w:r w:rsidRPr="00A351C9" w:rsidDel="00881C4B">
        <w:rPr>
          <w:sz w:val="24"/>
          <w:szCs w:val="24"/>
        </w:rPr>
        <w:t xml:space="preserve"> </w:t>
      </w:r>
      <w:r w:rsidRPr="00A351C9">
        <w:rPr>
          <w:sz w:val="24"/>
          <w:szCs w:val="24"/>
        </w:rPr>
        <w:t>předcházejte náhodnému samopodání injekce tak, že se přesvědčíte, že zvířata jsou řádně zafixována a jehla je chráněna až do okamžiku podání.</w:t>
      </w:r>
    </w:p>
    <w:p w:rsidR="00BD2088" w:rsidRDefault="00BD2088" w:rsidP="00B51EB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A351C9">
        <w:rPr>
          <w:sz w:val="24"/>
          <w:szCs w:val="24"/>
        </w:rPr>
        <w:t>Vzhledem k možným účinkům na reprodukční funkci by ženy v plodném věku měly manipulovat s přípravkem obezřetně.  Veterinární léčivý přípravek by neměly podávat těhotné ženy. V případě náhodného sebepoškození injekčně aplikovaným přípravkem vyhledejte ihned lékařskou pomoc a ukažte příbalovou informaci nebo etiketu praktickému lékaři.</w:t>
      </w:r>
    </w:p>
    <w:p w:rsidR="00BD2088" w:rsidRDefault="00BD2088" w:rsidP="00B3184B">
      <w:pPr>
        <w:tabs>
          <w:tab w:val="clear" w:pos="567"/>
        </w:tabs>
        <w:spacing w:line="240" w:lineRule="auto"/>
        <w:rPr>
          <w:b/>
          <w:snapToGrid w:val="0"/>
          <w:sz w:val="24"/>
        </w:rPr>
      </w:pPr>
    </w:p>
    <w:p w:rsidR="00B3184B" w:rsidRPr="00B51EB9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  <w:u w:val="single"/>
        </w:rPr>
      </w:pPr>
      <w:r w:rsidRPr="00B51EB9">
        <w:rPr>
          <w:snapToGrid w:val="0"/>
          <w:sz w:val="24"/>
          <w:u w:val="single"/>
        </w:rPr>
        <w:t>Použití v průběhu březosti, laktace nebo snášky</w:t>
      </w:r>
      <w:r w:rsidR="00BD2088">
        <w:rPr>
          <w:snapToGrid w:val="0"/>
          <w:sz w:val="24"/>
          <w:u w:val="single"/>
        </w:rPr>
        <w:t>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Lze podávat zvířatům v </w:t>
      </w:r>
      <w:r w:rsidR="00AF4D87">
        <w:rPr>
          <w:snapToGrid w:val="0"/>
          <w:sz w:val="24"/>
        </w:rPr>
        <w:t xml:space="preserve">jakémkoliv </w:t>
      </w:r>
      <w:r>
        <w:rPr>
          <w:snapToGrid w:val="0"/>
          <w:sz w:val="24"/>
        </w:rPr>
        <w:t>stádiu březosti nebo laktace.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B3184B" w:rsidRPr="00B51EB9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  <w:u w:val="single"/>
        </w:rPr>
      </w:pPr>
      <w:r w:rsidRPr="00B51EB9">
        <w:rPr>
          <w:snapToGrid w:val="0"/>
          <w:sz w:val="24"/>
          <w:u w:val="single"/>
        </w:rPr>
        <w:t>Inkompatibility</w:t>
      </w:r>
      <w:r w:rsidR="00BD2088">
        <w:rPr>
          <w:snapToGrid w:val="0"/>
          <w:sz w:val="24"/>
          <w:u w:val="single"/>
        </w:rPr>
        <w:t>: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Studie kompatibility nejsou k dispozici, a proto tento veterinární léčivý přípravek nesmí být mísen s žádnými dalšími veterinárními léčivými přípravky.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13.</w:t>
      </w:r>
      <w:r>
        <w:tab/>
      </w:r>
      <w:r>
        <w:rPr>
          <w:b/>
          <w:caps/>
          <w:snapToGrid w:val="0"/>
          <w:kern w:val="32"/>
          <w:sz w:val="24"/>
        </w:rPr>
        <w:t xml:space="preserve">ZVLÁŠTNÍ OPATŘENÍ PRO ZNEŠKODŇOVÁNÍ NEPOUŽITÝCH PŘÍPRAVKŮ NEBO ODPADU, POKUD JE JICH TŘEBA </w:t>
      </w:r>
    </w:p>
    <w:p w:rsidR="00B3184B" w:rsidRPr="00F400E0" w:rsidRDefault="00B3184B" w:rsidP="00B3184B">
      <w:pPr>
        <w:tabs>
          <w:tab w:val="clear" w:pos="567"/>
        </w:tabs>
        <w:spacing w:line="240" w:lineRule="auto"/>
        <w:ind w:right="-318"/>
        <w:rPr>
          <w:snapToGrid w:val="0"/>
          <w:sz w:val="24"/>
          <w:szCs w:val="24"/>
        </w:rPr>
      </w:pPr>
      <w:r>
        <w:rPr>
          <w:snapToGrid w:val="0"/>
          <w:sz w:val="24"/>
        </w:rPr>
        <w:t>Všechen nepoužitý veterinární léčivý přípravek nebo odpad, který pochází z tohoto přípravku, musí být likvidován podle místních právních předpisů.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14.</w:t>
      </w:r>
      <w:r>
        <w:tab/>
      </w:r>
      <w:r>
        <w:rPr>
          <w:b/>
          <w:caps/>
          <w:snapToGrid w:val="0"/>
          <w:kern w:val="32"/>
          <w:sz w:val="24"/>
        </w:rPr>
        <w:t>DATUM POSLEDNÍ REVIZE PŘÍBALOVÉ INFORMACE</w:t>
      </w:r>
    </w:p>
    <w:p w:rsidR="00B3184B" w:rsidRPr="00F400E0" w:rsidRDefault="00BD2088" w:rsidP="00B3184B">
      <w:pPr>
        <w:tabs>
          <w:tab w:val="clear" w:pos="567"/>
        </w:tabs>
        <w:spacing w:line="240" w:lineRule="auto"/>
        <w:ind w:right="-31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Listopad </w:t>
      </w:r>
      <w:r w:rsidR="00CF4385">
        <w:rPr>
          <w:snapToGrid w:val="0"/>
          <w:sz w:val="24"/>
          <w:szCs w:val="24"/>
        </w:rPr>
        <w:t>2017</w:t>
      </w:r>
    </w:p>
    <w:p w:rsidR="00B3184B" w:rsidRPr="00F400E0" w:rsidRDefault="00B3184B" w:rsidP="00B3184B">
      <w:pPr>
        <w:keepNext/>
        <w:spacing w:before="360" w:after="60" w:line="240" w:lineRule="auto"/>
        <w:ind w:left="567" w:hanging="567"/>
        <w:outlineLvl w:val="0"/>
        <w:rPr>
          <w:rFonts w:cs="Arial"/>
          <w:b/>
          <w:bCs/>
          <w:caps/>
          <w:snapToGrid w:val="0"/>
          <w:kern w:val="32"/>
          <w:sz w:val="24"/>
          <w:szCs w:val="24"/>
        </w:rPr>
      </w:pPr>
      <w:r>
        <w:rPr>
          <w:b/>
          <w:caps/>
          <w:snapToGrid w:val="0"/>
          <w:kern w:val="32"/>
          <w:sz w:val="24"/>
        </w:rPr>
        <w:t>15.</w:t>
      </w:r>
      <w:r>
        <w:tab/>
      </w:r>
      <w:r>
        <w:rPr>
          <w:b/>
          <w:caps/>
          <w:snapToGrid w:val="0"/>
          <w:kern w:val="32"/>
          <w:sz w:val="24"/>
        </w:rPr>
        <w:t>DALŠÍ INFORMACE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s 5 injekčními lahvičkami (sklo typu I)</w:t>
      </w:r>
      <w:r w:rsidR="00A7248A">
        <w:rPr>
          <w:snapToGrid w:val="0"/>
          <w:sz w:val="24"/>
        </w:rPr>
        <w:t xml:space="preserve"> o obsahu</w:t>
      </w:r>
      <w:r>
        <w:rPr>
          <w:snapToGrid w:val="0"/>
          <w:sz w:val="24"/>
        </w:rPr>
        <w:t xml:space="preserve"> 10 ml v papírové krabičce</w:t>
      </w:r>
      <w:r w:rsidR="00A7248A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50 (10x5)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100 (20x5)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250 (50x5)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>Balení 500 (100x5) injekčních lahviček (vícečetné balení)</w:t>
      </w:r>
      <w:r w:rsidR="00C558B0">
        <w:rPr>
          <w:snapToGrid w:val="0"/>
          <w:sz w:val="24"/>
        </w:rPr>
        <w:t>.</w:t>
      </w:r>
    </w:p>
    <w:p w:rsidR="00B3184B" w:rsidRPr="00F400E0" w:rsidRDefault="00B3184B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</w:rPr>
        <w:t>Na trhu nemusí být všechny velikosti balení.</w:t>
      </w:r>
    </w:p>
    <w:p w:rsidR="00B3184B" w:rsidRPr="00F400E0" w:rsidRDefault="00B3184B" w:rsidP="00B3184B">
      <w:pPr>
        <w:rPr>
          <w:snapToGrid w:val="0"/>
          <w:sz w:val="24"/>
          <w:szCs w:val="24"/>
        </w:rPr>
      </w:pPr>
    </w:p>
    <w:p w:rsidR="00B3184B" w:rsidRPr="00F400E0" w:rsidRDefault="00B3184B" w:rsidP="00B3184B">
      <w:pPr>
        <w:rPr>
          <w:snapToGrid w:val="0"/>
          <w:sz w:val="24"/>
          <w:szCs w:val="24"/>
        </w:rPr>
      </w:pPr>
    </w:p>
    <w:p w:rsidR="00A55A48" w:rsidRDefault="00A55A48" w:rsidP="00A55A48">
      <w:r>
        <w:t>Pouze pro zvířata.</w:t>
      </w:r>
    </w:p>
    <w:p w:rsidR="00B3184B" w:rsidRDefault="00CF4385" w:rsidP="00B3184B">
      <w:pPr>
        <w:jc w:val="both"/>
        <w:rPr>
          <w:snapToGrid w:val="0"/>
          <w:sz w:val="24"/>
          <w:szCs w:val="24"/>
        </w:rPr>
      </w:pPr>
      <w:r w:rsidRPr="00CF4385">
        <w:rPr>
          <w:snapToGrid w:val="0"/>
          <w:sz w:val="24"/>
        </w:rPr>
        <w:t>Veterinární léčivý přípravek je vydáván pouze na předpis</w:t>
      </w:r>
      <w:r w:rsidRPr="00CF4385" w:rsidDel="00CF4385">
        <w:rPr>
          <w:snapToGrid w:val="0"/>
          <w:sz w:val="24"/>
        </w:rPr>
        <w:t xml:space="preserve"> </w:t>
      </w:r>
    </w:p>
    <w:p w:rsidR="004842DA" w:rsidRDefault="004842DA" w:rsidP="00B3184B">
      <w:pPr>
        <w:jc w:val="both"/>
        <w:rPr>
          <w:snapToGrid w:val="0"/>
          <w:sz w:val="24"/>
          <w:szCs w:val="24"/>
        </w:rPr>
      </w:pP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  <w:rPr>
          <w:b/>
        </w:rPr>
      </w:pPr>
      <w:r w:rsidRPr="00376925">
        <w:rPr>
          <w:b/>
        </w:rPr>
        <w:t>Česká republika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Dr. Bubeníček, spol. s r.o.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Šimáčkova 104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628 00 Brno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Tel: +420 544 231 413</w:t>
      </w:r>
    </w:p>
    <w:p w:rsidR="004842DA" w:rsidRPr="00376925" w:rsidRDefault="004842DA" w:rsidP="004842DA">
      <w:pPr>
        <w:tabs>
          <w:tab w:val="clear" w:pos="567"/>
        </w:tabs>
        <w:spacing w:line="240" w:lineRule="auto"/>
        <w:ind w:right="-2"/>
      </w:pPr>
      <w:r w:rsidRPr="00376925">
        <w:t>e-mail: info@bubenicek.cz</w:t>
      </w:r>
    </w:p>
    <w:p w:rsidR="004842DA" w:rsidRPr="00F400E0" w:rsidRDefault="004842DA" w:rsidP="00B3184B">
      <w:pPr>
        <w:jc w:val="both"/>
        <w:rPr>
          <w:snapToGrid w:val="0"/>
          <w:sz w:val="24"/>
          <w:szCs w:val="24"/>
        </w:rPr>
      </w:pPr>
    </w:p>
    <w:p w:rsidR="00B3184B" w:rsidRPr="00F400E0" w:rsidRDefault="00B3184B" w:rsidP="00B3184B">
      <w:pPr>
        <w:tabs>
          <w:tab w:val="clear" w:pos="567"/>
        </w:tabs>
        <w:spacing w:line="240" w:lineRule="auto"/>
        <w:rPr>
          <w:snapToGrid w:val="0"/>
          <w:sz w:val="24"/>
          <w:szCs w:val="24"/>
        </w:rPr>
      </w:pPr>
    </w:p>
    <w:p w:rsidR="00630700" w:rsidRPr="00F400E0" w:rsidRDefault="00630700" w:rsidP="00630700">
      <w:pPr>
        <w:rPr>
          <w:sz w:val="24"/>
          <w:szCs w:val="24"/>
        </w:rPr>
      </w:pPr>
    </w:p>
    <w:sectPr w:rsidR="00630700" w:rsidRPr="00F400E0" w:rsidSect="000B4BA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A0" w:rsidRDefault="007A6CA0">
      <w:r>
        <w:separator/>
      </w:r>
    </w:p>
  </w:endnote>
  <w:endnote w:type="continuationSeparator" w:id="0">
    <w:p w:rsidR="007A6CA0" w:rsidRDefault="007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F4" w:rsidRDefault="006B65F4" w:rsidP="000B4B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65F4" w:rsidRDefault="006B65F4" w:rsidP="007276C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4B" w:rsidRPr="004842DA" w:rsidRDefault="008E4280" w:rsidP="004842DA">
    <w:pPr>
      <w:pStyle w:val="Zpat"/>
      <w:pBdr>
        <w:top w:val="single" w:sz="4" w:space="1" w:color="auto"/>
      </w:pBdr>
      <w:rPr>
        <w:rFonts w:asciiTheme="minorHAnsi" w:hAnsiTheme="minorHAnsi"/>
        <w:sz w:val="20"/>
      </w:rPr>
    </w:pPr>
    <w:r w:rsidRPr="004842DA">
      <w:rPr>
        <w:rFonts w:asciiTheme="minorHAnsi" w:hAnsiTheme="minorHAnsi"/>
        <w:sz w:val="20"/>
      </w:rPr>
      <w:fldChar w:fldCharType="begin"/>
    </w:r>
    <w:r w:rsidRPr="004842DA">
      <w:rPr>
        <w:rFonts w:asciiTheme="minorHAnsi" w:hAnsiTheme="minorHAnsi"/>
        <w:sz w:val="20"/>
      </w:rPr>
      <w:instrText xml:space="preserve"> FILENAME  \* Lower  \* MERGEFORMAT </w:instrText>
    </w:r>
    <w:r w:rsidRPr="004842DA">
      <w:rPr>
        <w:rFonts w:asciiTheme="minorHAnsi" w:hAnsiTheme="minorHAnsi"/>
        <w:sz w:val="20"/>
      </w:rPr>
      <w:fldChar w:fldCharType="separate"/>
    </w:r>
    <w:r w:rsidR="00EB63DF">
      <w:rPr>
        <w:rFonts w:asciiTheme="minorHAnsi" w:hAnsiTheme="minorHAnsi"/>
        <w:noProof/>
        <w:sz w:val="20"/>
      </w:rPr>
      <w:t>cj pi busol.docx</w:t>
    </w:r>
    <w:r w:rsidRPr="004842DA">
      <w:rPr>
        <w:rFonts w:asciiTheme="minorHAnsi" w:hAnsiTheme="minorHAnsi"/>
        <w:noProof/>
        <w:sz w:val="20"/>
      </w:rPr>
      <w:fldChar w:fldCharType="end"/>
    </w:r>
    <w:r w:rsidR="004842DA" w:rsidRPr="004842DA">
      <w:rPr>
        <w:rFonts w:asciiTheme="minorHAnsi" w:hAnsiTheme="minorHAnsi"/>
        <w:noProof/>
        <w:sz w:val="20"/>
      </w:rPr>
      <w:tab/>
    </w:r>
    <w:r w:rsidR="004842DA" w:rsidRPr="004842DA">
      <w:rPr>
        <w:rFonts w:asciiTheme="minorHAnsi" w:hAnsiTheme="minorHAnsi"/>
        <w:noProof/>
        <w:sz w:val="20"/>
      </w:rPr>
      <w:tab/>
      <w:t xml:space="preserve">RUP MA </w:t>
    </w:r>
  </w:p>
  <w:p w:rsidR="006B65F4" w:rsidRPr="004842DA" w:rsidRDefault="00B3184B" w:rsidP="004842DA">
    <w:pPr>
      <w:pStyle w:val="Zpat"/>
      <w:jc w:val="center"/>
      <w:rPr>
        <w:rFonts w:asciiTheme="minorHAnsi" w:hAnsiTheme="minorHAnsi"/>
        <w:sz w:val="20"/>
      </w:rPr>
    </w:pPr>
    <w:r w:rsidRPr="004842DA">
      <w:rPr>
        <w:rFonts w:asciiTheme="minorHAnsi" w:hAnsiTheme="minorHAnsi"/>
        <w:sz w:val="20"/>
      </w:rPr>
      <w:fldChar w:fldCharType="begin"/>
    </w:r>
    <w:r w:rsidRPr="004842DA">
      <w:rPr>
        <w:rFonts w:asciiTheme="minorHAnsi" w:hAnsiTheme="minorHAnsi"/>
        <w:sz w:val="20"/>
      </w:rPr>
      <w:instrText>PAGE   \* MERGEFORMAT</w:instrText>
    </w:r>
    <w:r w:rsidRPr="004842DA">
      <w:rPr>
        <w:rFonts w:asciiTheme="minorHAnsi" w:hAnsiTheme="minorHAnsi"/>
        <w:sz w:val="20"/>
      </w:rPr>
      <w:fldChar w:fldCharType="separate"/>
    </w:r>
    <w:r w:rsidR="00EB63DF">
      <w:rPr>
        <w:rFonts w:asciiTheme="minorHAnsi" w:hAnsiTheme="minorHAnsi"/>
        <w:noProof/>
        <w:sz w:val="20"/>
      </w:rPr>
      <w:t>1</w:t>
    </w:r>
    <w:r w:rsidRPr="004842DA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A0" w:rsidRDefault="007A6CA0">
      <w:r>
        <w:separator/>
      </w:r>
    </w:p>
  </w:footnote>
  <w:footnote w:type="continuationSeparator" w:id="0">
    <w:p w:rsidR="007A6CA0" w:rsidRDefault="007A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F4" w:rsidRDefault="00F7281E" w:rsidP="00F7281E">
    <w:pPr>
      <w:pStyle w:val="Zhlav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5E6"/>
    <w:multiLevelType w:val="multilevel"/>
    <w:tmpl w:val="3146C732"/>
    <w:styleLink w:val="GliederungSPC"/>
    <w:lvl w:ilvl="0">
      <w:start w:val="1"/>
      <w:numFmt w:val="decimal"/>
      <w:pStyle w:val="berschriftFachinf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FachInfo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pStyle w:val="berschriftFachInfo3"/>
      <w:suff w:val="nothing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0"/>
    <w:rsid w:val="00015990"/>
    <w:rsid w:val="00074A12"/>
    <w:rsid w:val="00077076"/>
    <w:rsid w:val="00080D24"/>
    <w:rsid w:val="00083BBA"/>
    <w:rsid w:val="00085EF9"/>
    <w:rsid w:val="000B1DFE"/>
    <w:rsid w:val="000B4BAF"/>
    <w:rsid w:val="000C6D67"/>
    <w:rsid w:val="000D342D"/>
    <w:rsid w:val="000D6AA3"/>
    <w:rsid w:val="000F2308"/>
    <w:rsid w:val="00111DC7"/>
    <w:rsid w:val="00132843"/>
    <w:rsid w:val="00140379"/>
    <w:rsid w:val="001414F2"/>
    <w:rsid w:val="0015348A"/>
    <w:rsid w:val="001710E3"/>
    <w:rsid w:val="00192789"/>
    <w:rsid w:val="001D36A7"/>
    <w:rsid w:val="001E77E3"/>
    <w:rsid w:val="002152B7"/>
    <w:rsid w:val="0022635E"/>
    <w:rsid w:val="0025035E"/>
    <w:rsid w:val="002559A9"/>
    <w:rsid w:val="00292B4B"/>
    <w:rsid w:val="002A1DA3"/>
    <w:rsid w:val="002B0562"/>
    <w:rsid w:val="002C266C"/>
    <w:rsid w:val="002D579E"/>
    <w:rsid w:val="002F498A"/>
    <w:rsid w:val="003117D3"/>
    <w:rsid w:val="003203D3"/>
    <w:rsid w:val="003253F3"/>
    <w:rsid w:val="003351F8"/>
    <w:rsid w:val="00341794"/>
    <w:rsid w:val="00355F69"/>
    <w:rsid w:val="003632BF"/>
    <w:rsid w:val="00370A13"/>
    <w:rsid w:val="00380918"/>
    <w:rsid w:val="003820D8"/>
    <w:rsid w:val="003D330F"/>
    <w:rsid w:val="003D73FE"/>
    <w:rsid w:val="003E4722"/>
    <w:rsid w:val="00432AD9"/>
    <w:rsid w:val="0044128A"/>
    <w:rsid w:val="00447FB5"/>
    <w:rsid w:val="004842DA"/>
    <w:rsid w:val="004D1D6D"/>
    <w:rsid w:val="004D6334"/>
    <w:rsid w:val="004D7531"/>
    <w:rsid w:val="00520297"/>
    <w:rsid w:val="00521553"/>
    <w:rsid w:val="00533BD9"/>
    <w:rsid w:val="00547F7F"/>
    <w:rsid w:val="0056464E"/>
    <w:rsid w:val="005704BC"/>
    <w:rsid w:val="0057392C"/>
    <w:rsid w:val="00587EA0"/>
    <w:rsid w:val="005B5132"/>
    <w:rsid w:val="005D279F"/>
    <w:rsid w:val="005E72F0"/>
    <w:rsid w:val="005F66EF"/>
    <w:rsid w:val="00602D6E"/>
    <w:rsid w:val="006206CE"/>
    <w:rsid w:val="006230A2"/>
    <w:rsid w:val="00627716"/>
    <w:rsid w:val="00630700"/>
    <w:rsid w:val="0066381D"/>
    <w:rsid w:val="006871F3"/>
    <w:rsid w:val="00697710"/>
    <w:rsid w:val="006B65F4"/>
    <w:rsid w:val="006F1D5B"/>
    <w:rsid w:val="006F75BB"/>
    <w:rsid w:val="007024F5"/>
    <w:rsid w:val="00720BB9"/>
    <w:rsid w:val="00725451"/>
    <w:rsid w:val="007276CF"/>
    <w:rsid w:val="0073372B"/>
    <w:rsid w:val="00733E24"/>
    <w:rsid w:val="00755C4B"/>
    <w:rsid w:val="0076468E"/>
    <w:rsid w:val="007646BD"/>
    <w:rsid w:val="007875FC"/>
    <w:rsid w:val="00790C8E"/>
    <w:rsid w:val="0079647D"/>
    <w:rsid w:val="007A6CA0"/>
    <w:rsid w:val="007B7322"/>
    <w:rsid w:val="007F5E47"/>
    <w:rsid w:val="00800887"/>
    <w:rsid w:val="00814733"/>
    <w:rsid w:val="00816517"/>
    <w:rsid w:val="00816E57"/>
    <w:rsid w:val="008435AA"/>
    <w:rsid w:val="0085640A"/>
    <w:rsid w:val="00863EB3"/>
    <w:rsid w:val="00873545"/>
    <w:rsid w:val="008C2AF2"/>
    <w:rsid w:val="008D05D7"/>
    <w:rsid w:val="008D350F"/>
    <w:rsid w:val="008E255D"/>
    <w:rsid w:val="008E4280"/>
    <w:rsid w:val="00901A5A"/>
    <w:rsid w:val="009021D6"/>
    <w:rsid w:val="00927A82"/>
    <w:rsid w:val="0093000E"/>
    <w:rsid w:val="00945904"/>
    <w:rsid w:val="009614E6"/>
    <w:rsid w:val="009776E2"/>
    <w:rsid w:val="00990B84"/>
    <w:rsid w:val="009B252D"/>
    <w:rsid w:val="009C0810"/>
    <w:rsid w:val="009E5B82"/>
    <w:rsid w:val="00A3229D"/>
    <w:rsid w:val="00A37A38"/>
    <w:rsid w:val="00A522A1"/>
    <w:rsid w:val="00A55A48"/>
    <w:rsid w:val="00A6106E"/>
    <w:rsid w:val="00A7248A"/>
    <w:rsid w:val="00A80737"/>
    <w:rsid w:val="00AA6362"/>
    <w:rsid w:val="00AB7858"/>
    <w:rsid w:val="00AC37F2"/>
    <w:rsid w:val="00AD07BC"/>
    <w:rsid w:val="00AD1D4B"/>
    <w:rsid w:val="00AF181B"/>
    <w:rsid w:val="00AF4D87"/>
    <w:rsid w:val="00AF7BC4"/>
    <w:rsid w:val="00B104E7"/>
    <w:rsid w:val="00B3184B"/>
    <w:rsid w:val="00B3453E"/>
    <w:rsid w:val="00B35C49"/>
    <w:rsid w:val="00B51EB9"/>
    <w:rsid w:val="00B65640"/>
    <w:rsid w:val="00B97873"/>
    <w:rsid w:val="00BB065F"/>
    <w:rsid w:val="00BB0C4C"/>
    <w:rsid w:val="00BD2088"/>
    <w:rsid w:val="00BE51F7"/>
    <w:rsid w:val="00C05417"/>
    <w:rsid w:val="00C2497A"/>
    <w:rsid w:val="00C340D7"/>
    <w:rsid w:val="00C472A5"/>
    <w:rsid w:val="00C558B0"/>
    <w:rsid w:val="00C72140"/>
    <w:rsid w:val="00C804EB"/>
    <w:rsid w:val="00C84BE5"/>
    <w:rsid w:val="00CA158C"/>
    <w:rsid w:val="00CB222D"/>
    <w:rsid w:val="00CD182D"/>
    <w:rsid w:val="00CF0E4C"/>
    <w:rsid w:val="00CF4385"/>
    <w:rsid w:val="00D0492C"/>
    <w:rsid w:val="00D05C61"/>
    <w:rsid w:val="00D070F9"/>
    <w:rsid w:val="00D20730"/>
    <w:rsid w:val="00D213F8"/>
    <w:rsid w:val="00D27CFA"/>
    <w:rsid w:val="00D35DE0"/>
    <w:rsid w:val="00D36162"/>
    <w:rsid w:val="00D37142"/>
    <w:rsid w:val="00D66BD4"/>
    <w:rsid w:val="00D76DE1"/>
    <w:rsid w:val="00DA4718"/>
    <w:rsid w:val="00DA6C96"/>
    <w:rsid w:val="00DC14AD"/>
    <w:rsid w:val="00DD1D88"/>
    <w:rsid w:val="00E04697"/>
    <w:rsid w:val="00E171D6"/>
    <w:rsid w:val="00E42A57"/>
    <w:rsid w:val="00E5168A"/>
    <w:rsid w:val="00E55905"/>
    <w:rsid w:val="00E82A1A"/>
    <w:rsid w:val="00E966BA"/>
    <w:rsid w:val="00EA6FBA"/>
    <w:rsid w:val="00EB3F72"/>
    <w:rsid w:val="00EB63DF"/>
    <w:rsid w:val="00EF2304"/>
    <w:rsid w:val="00EF5B97"/>
    <w:rsid w:val="00F15DDE"/>
    <w:rsid w:val="00F17D90"/>
    <w:rsid w:val="00F21256"/>
    <w:rsid w:val="00F21B3D"/>
    <w:rsid w:val="00F3375B"/>
    <w:rsid w:val="00F400E0"/>
    <w:rsid w:val="00F458F6"/>
    <w:rsid w:val="00F66D14"/>
    <w:rsid w:val="00F7281E"/>
    <w:rsid w:val="00F73864"/>
    <w:rsid w:val="00F91D77"/>
    <w:rsid w:val="00F92D62"/>
    <w:rsid w:val="00FA0D2B"/>
    <w:rsid w:val="00FB5AB0"/>
    <w:rsid w:val="00FD6BC3"/>
    <w:rsid w:val="00FD7688"/>
    <w:rsid w:val="00FE31EF"/>
    <w:rsid w:val="00FE48FC"/>
    <w:rsid w:val="00FE5B8E"/>
    <w:rsid w:val="00FE5CE6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6D14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BE5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30700"/>
    <w:rPr>
      <w:sz w:val="16"/>
    </w:rPr>
  </w:style>
  <w:style w:type="paragraph" w:styleId="Textkomente">
    <w:name w:val="annotation text"/>
    <w:basedOn w:val="Normln"/>
    <w:semiHidden/>
    <w:rsid w:val="00630700"/>
    <w:rPr>
      <w:sz w:val="20"/>
    </w:rPr>
  </w:style>
  <w:style w:type="paragraph" w:styleId="Zkladntextodsazen">
    <w:name w:val="Body Text Indent"/>
    <w:basedOn w:val="Normln"/>
    <w:rsid w:val="0063070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630700"/>
    <w:rPr>
      <w:rFonts w:ascii="Tahoma" w:hAnsi="Tahoma" w:cs="Tahoma"/>
      <w:sz w:val="16"/>
      <w:szCs w:val="16"/>
    </w:rPr>
  </w:style>
  <w:style w:type="paragraph" w:customStyle="1" w:styleId="TextkrperFachinformation">
    <w:name w:val="TextkörperFachinformation"/>
    <w:basedOn w:val="Normln"/>
    <w:link w:val="TextkrperFachinformationChar"/>
    <w:rsid w:val="00C2497A"/>
    <w:pPr>
      <w:jc w:val="both"/>
    </w:pPr>
    <w:rPr>
      <w:snapToGrid w:val="0"/>
    </w:rPr>
  </w:style>
  <w:style w:type="character" w:customStyle="1" w:styleId="TextkrperFachinformationChar">
    <w:name w:val="TextkörperFachinformation Char"/>
    <w:link w:val="TextkrperFachinformation"/>
    <w:rsid w:val="00C2497A"/>
    <w:rPr>
      <w:snapToGrid w:val="0"/>
      <w:sz w:val="22"/>
      <w:lang w:val="cs-CZ" w:eastAsia="cs-CZ" w:bidi="cs-CZ"/>
    </w:rPr>
  </w:style>
  <w:style w:type="numbering" w:customStyle="1" w:styleId="GliederungSPC">
    <w:name w:val="Gliederung SPC"/>
    <w:basedOn w:val="Bezseznamu"/>
    <w:rsid w:val="00BE51F7"/>
    <w:pPr>
      <w:numPr>
        <w:numId w:val="1"/>
      </w:numPr>
    </w:pPr>
  </w:style>
  <w:style w:type="paragraph" w:customStyle="1" w:styleId="berschriftFachinfo1">
    <w:name w:val="ÜberschriftFachinfo1"/>
    <w:basedOn w:val="Nadpis1"/>
    <w:rsid w:val="00BE51F7"/>
    <w:pPr>
      <w:numPr>
        <w:numId w:val="1"/>
      </w:numPr>
      <w:spacing w:before="360" w:line="240" w:lineRule="auto"/>
    </w:pPr>
    <w:rPr>
      <w:rFonts w:ascii="Times New Roman" w:hAnsi="Times New Roman"/>
      <w:caps/>
      <w:snapToGrid w:val="0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BE51F7"/>
    <w:pPr>
      <w:numPr>
        <w:ilvl w:val="1"/>
      </w:num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BE51F7"/>
    <w:pPr>
      <w:numPr>
        <w:ilvl w:val="2"/>
      </w:num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E966BA"/>
    <w:pPr>
      <w:jc w:val="both"/>
    </w:pPr>
    <w:rPr>
      <w:snapToGrid w:val="0"/>
    </w:rPr>
  </w:style>
  <w:style w:type="character" w:customStyle="1" w:styleId="TextkrperGebrauchsinformationChar">
    <w:name w:val="TextkörperGebrauchsinformation Char"/>
    <w:link w:val="TextkrperGebrauchsinformation"/>
    <w:rsid w:val="00E966BA"/>
    <w:rPr>
      <w:snapToGrid w:val="0"/>
      <w:sz w:val="22"/>
      <w:lang w:val="cs-CZ" w:eastAsia="cs-CZ" w:bidi="cs-CZ"/>
    </w:rPr>
  </w:style>
  <w:style w:type="paragraph" w:customStyle="1" w:styleId="berschriftGebrauchsInfo3">
    <w:name w:val="ÜberschriftGebrauchsInfo3"/>
    <w:basedOn w:val="Normln"/>
    <w:next w:val="TextkrperGebrauchsinformation"/>
    <w:rsid w:val="00E966BA"/>
    <w:pPr>
      <w:keepNext/>
      <w:tabs>
        <w:tab w:val="clear" w:pos="567"/>
      </w:tabs>
      <w:spacing w:before="120" w:line="240" w:lineRule="auto"/>
      <w:ind w:left="567" w:hanging="567"/>
      <w:outlineLvl w:val="0"/>
    </w:pPr>
    <w:rPr>
      <w:rFonts w:cs="Arial"/>
      <w:b/>
      <w:bCs/>
      <w:noProof/>
      <w:snapToGrid w:val="0"/>
      <w:kern w:val="32"/>
      <w:szCs w:val="22"/>
    </w:rPr>
  </w:style>
  <w:style w:type="paragraph" w:styleId="Zpat">
    <w:name w:val="footer"/>
    <w:basedOn w:val="Normln"/>
    <w:link w:val="ZpatChar"/>
    <w:uiPriority w:val="99"/>
    <w:rsid w:val="007276CF"/>
    <w:pPr>
      <w:tabs>
        <w:tab w:val="clear" w:pos="567"/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276CF"/>
  </w:style>
  <w:style w:type="paragraph" w:styleId="Zhlav">
    <w:name w:val="header"/>
    <w:basedOn w:val="Normln"/>
    <w:rsid w:val="00800887"/>
    <w:pPr>
      <w:tabs>
        <w:tab w:val="clear" w:pos="567"/>
        <w:tab w:val="center" w:pos="4320"/>
        <w:tab w:val="right" w:pos="8640"/>
      </w:tabs>
    </w:pPr>
  </w:style>
  <w:style w:type="paragraph" w:styleId="Pedmtkomente">
    <w:name w:val="annotation subject"/>
    <w:basedOn w:val="Textkomente"/>
    <w:next w:val="Textkomente"/>
    <w:semiHidden/>
    <w:rsid w:val="00AD1D4B"/>
    <w:rPr>
      <w:b/>
      <w:bCs/>
    </w:rPr>
  </w:style>
  <w:style w:type="table" w:styleId="Mkatabulky">
    <w:name w:val="Table Grid"/>
    <w:basedOn w:val="Normlntabulka"/>
    <w:rsid w:val="00085EF9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3184B"/>
    <w:rPr>
      <w:sz w:val="22"/>
      <w:lang w:val="cs-CZ" w:eastAsia="cs-CZ"/>
    </w:rPr>
  </w:style>
  <w:style w:type="paragraph" w:customStyle="1" w:styleId="TitelPackungsbeilage">
    <w:name w:val="TitelPackungsbeilage"/>
    <w:basedOn w:val="TextkrperGebrauchsinformation"/>
    <w:rsid w:val="00B3184B"/>
    <w:pPr>
      <w:tabs>
        <w:tab w:val="clear" w:pos="567"/>
      </w:tabs>
      <w:spacing w:line="240" w:lineRule="auto"/>
      <w:ind w:right="113"/>
      <w:jc w:val="center"/>
    </w:pPr>
    <w:rPr>
      <w:b/>
      <w:noProof/>
    </w:rPr>
  </w:style>
  <w:style w:type="numbering" w:customStyle="1" w:styleId="GliederungSPC1">
    <w:name w:val="Gliederung SPC1"/>
    <w:basedOn w:val="Bezseznamu"/>
    <w:rsid w:val="00B3184B"/>
  </w:style>
  <w:style w:type="character" w:styleId="Hypertextovodkaz">
    <w:name w:val="Hyperlink"/>
    <w:basedOn w:val="Standardnpsmoodstavce"/>
    <w:rsid w:val="00484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6D14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BE51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630700"/>
    <w:rPr>
      <w:sz w:val="16"/>
    </w:rPr>
  </w:style>
  <w:style w:type="paragraph" w:styleId="Textkomente">
    <w:name w:val="annotation text"/>
    <w:basedOn w:val="Normln"/>
    <w:semiHidden/>
    <w:rsid w:val="00630700"/>
    <w:rPr>
      <w:sz w:val="20"/>
    </w:rPr>
  </w:style>
  <w:style w:type="paragraph" w:styleId="Zkladntextodsazen">
    <w:name w:val="Body Text Indent"/>
    <w:basedOn w:val="Normln"/>
    <w:rsid w:val="00630700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630700"/>
    <w:rPr>
      <w:rFonts w:ascii="Tahoma" w:hAnsi="Tahoma" w:cs="Tahoma"/>
      <w:sz w:val="16"/>
      <w:szCs w:val="16"/>
    </w:rPr>
  </w:style>
  <w:style w:type="paragraph" w:customStyle="1" w:styleId="TextkrperFachinformation">
    <w:name w:val="TextkörperFachinformation"/>
    <w:basedOn w:val="Normln"/>
    <w:link w:val="TextkrperFachinformationChar"/>
    <w:rsid w:val="00C2497A"/>
    <w:pPr>
      <w:jc w:val="both"/>
    </w:pPr>
    <w:rPr>
      <w:snapToGrid w:val="0"/>
    </w:rPr>
  </w:style>
  <w:style w:type="character" w:customStyle="1" w:styleId="TextkrperFachinformationChar">
    <w:name w:val="TextkörperFachinformation Char"/>
    <w:link w:val="TextkrperFachinformation"/>
    <w:rsid w:val="00C2497A"/>
    <w:rPr>
      <w:snapToGrid w:val="0"/>
      <w:sz w:val="22"/>
      <w:lang w:val="cs-CZ" w:eastAsia="cs-CZ" w:bidi="cs-CZ"/>
    </w:rPr>
  </w:style>
  <w:style w:type="numbering" w:customStyle="1" w:styleId="GliederungSPC">
    <w:name w:val="Gliederung SPC"/>
    <w:basedOn w:val="Bezseznamu"/>
    <w:rsid w:val="00BE51F7"/>
    <w:pPr>
      <w:numPr>
        <w:numId w:val="1"/>
      </w:numPr>
    </w:pPr>
  </w:style>
  <w:style w:type="paragraph" w:customStyle="1" w:styleId="berschriftFachinfo1">
    <w:name w:val="ÜberschriftFachinfo1"/>
    <w:basedOn w:val="Nadpis1"/>
    <w:rsid w:val="00BE51F7"/>
    <w:pPr>
      <w:numPr>
        <w:numId w:val="1"/>
      </w:numPr>
      <w:spacing w:before="360" w:line="240" w:lineRule="auto"/>
    </w:pPr>
    <w:rPr>
      <w:rFonts w:ascii="Times New Roman" w:hAnsi="Times New Roman"/>
      <w:caps/>
      <w:snapToGrid w:val="0"/>
      <w:sz w:val="22"/>
      <w:szCs w:val="22"/>
    </w:rPr>
  </w:style>
  <w:style w:type="paragraph" w:customStyle="1" w:styleId="berschriftFachInfo2">
    <w:name w:val="ÜberschriftFachInfo2"/>
    <w:basedOn w:val="berschriftFachinfo1"/>
    <w:next w:val="TextkrperFachinformation"/>
    <w:rsid w:val="00BE51F7"/>
    <w:pPr>
      <w:numPr>
        <w:ilvl w:val="1"/>
      </w:num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BE51F7"/>
    <w:pPr>
      <w:numPr>
        <w:ilvl w:val="2"/>
      </w:num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E966BA"/>
    <w:pPr>
      <w:jc w:val="both"/>
    </w:pPr>
    <w:rPr>
      <w:snapToGrid w:val="0"/>
    </w:rPr>
  </w:style>
  <w:style w:type="character" w:customStyle="1" w:styleId="TextkrperGebrauchsinformationChar">
    <w:name w:val="TextkörperGebrauchsinformation Char"/>
    <w:link w:val="TextkrperGebrauchsinformation"/>
    <w:rsid w:val="00E966BA"/>
    <w:rPr>
      <w:snapToGrid w:val="0"/>
      <w:sz w:val="22"/>
      <w:lang w:val="cs-CZ" w:eastAsia="cs-CZ" w:bidi="cs-CZ"/>
    </w:rPr>
  </w:style>
  <w:style w:type="paragraph" w:customStyle="1" w:styleId="berschriftGebrauchsInfo3">
    <w:name w:val="ÜberschriftGebrauchsInfo3"/>
    <w:basedOn w:val="Normln"/>
    <w:next w:val="TextkrperGebrauchsinformation"/>
    <w:rsid w:val="00E966BA"/>
    <w:pPr>
      <w:keepNext/>
      <w:tabs>
        <w:tab w:val="clear" w:pos="567"/>
      </w:tabs>
      <w:spacing w:before="120" w:line="240" w:lineRule="auto"/>
      <w:ind w:left="567" w:hanging="567"/>
      <w:outlineLvl w:val="0"/>
    </w:pPr>
    <w:rPr>
      <w:rFonts w:cs="Arial"/>
      <w:b/>
      <w:bCs/>
      <w:noProof/>
      <w:snapToGrid w:val="0"/>
      <w:kern w:val="32"/>
      <w:szCs w:val="22"/>
    </w:rPr>
  </w:style>
  <w:style w:type="paragraph" w:styleId="Zpat">
    <w:name w:val="footer"/>
    <w:basedOn w:val="Normln"/>
    <w:link w:val="ZpatChar"/>
    <w:uiPriority w:val="99"/>
    <w:rsid w:val="007276CF"/>
    <w:pPr>
      <w:tabs>
        <w:tab w:val="clear" w:pos="567"/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276CF"/>
  </w:style>
  <w:style w:type="paragraph" w:styleId="Zhlav">
    <w:name w:val="header"/>
    <w:basedOn w:val="Normln"/>
    <w:rsid w:val="00800887"/>
    <w:pPr>
      <w:tabs>
        <w:tab w:val="clear" w:pos="567"/>
        <w:tab w:val="center" w:pos="4320"/>
        <w:tab w:val="right" w:pos="8640"/>
      </w:tabs>
    </w:pPr>
  </w:style>
  <w:style w:type="paragraph" w:styleId="Pedmtkomente">
    <w:name w:val="annotation subject"/>
    <w:basedOn w:val="Textkomente"/>
    <w:next w:val="Textkomente"/>
    <w:semiHidden/>
    <w:rsid w:val="00AD1D4B"/>
    <w:rPr>
      <w:b/>
      <w:bCs/>
    </w:rPr>
  </w:style>
  <w:style w:type="table" w:styleId="Mkatabulky">
    <w:name w:val="Table Grid"/>
    <w:basedOn w:val="Normlntabulka"/>
    <w:rsid w:val="00085EF9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3184B"/>
    <w:rPr>
      <w:sz w:val="22"/>
      <w:lang w:val="cs-CZ" w:eastAsia="cs-CZ"/>
    </w:rPr>
  </w:style>
  <w:style w:type="paragraph" w:customStyle="1" w:styleId="TitelPackungsbeilage">
    <w:name w:val="TitelPackungsbeilage"/>
    <w:basedOn w:val="TextkrperGebrauchsinformation"/>
    <w:rsid w:val="00B3184B"/>
    <w:pPr>
      <w:tabs>
        <w:tab w:val="clear" w:pos="567"/>
      </w:tabs>
      <w:spacing w:line="240" w:lineRule="auto"/>
      <w:ind w:right="113"/>
      <w:jc w:val="center"/>
    </w:pPr>
    <w:rPr>
      <w:b/>
      <w:noProof/>
    </w:rPr>
  </w:style>
  <w:style w:type="numbering" w:customStyle="1" w:styleId="GliederungSPC1">
    <w:name w:val="Gliederung SPC1"/>
    <w:basedOn w:val="Bezseznamu"/>
    <w:rsid w:val="00B3184B"/>
  </w:style>
  <w:style w:type="character" w:styleId="Hypertextovodkaz">
    <w:name w:val="Hyperlink"/>
    <w:basedOn w:val="Standardnpsmoodstavce"/>
    <w:rsid w:val="00484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697</Words>
  <Characters>4113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AGRAVIS Raiffeisen AG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MLammers</dc:creator>
  <dc:description>SPC angelehnt an Receptal Irland im neuen Format</dc:description>
  <cp:lastModifiedBy>Neugebauerová Kateřina</cp:lastModifiedBy>
  <cp:revision>16</cp:revision>
  <cp:lastPrinted>2017-11-14T12:01:00Z</cp:lastPrinted>
  <dcterms:created xsi:type="dcterms:W3CDTF">2017-08-02T10:26:00Z</dcterms:created>
  <dcterms:modified xsi:type="dcterms:W3CDTF">2017-11-14T12:01:00Z</dcterms:modified>
</cp:coreProperties>
</file>