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2E9" w:rsidRPr="00F75554" w:rsidRDefault="00FA32E9" w:rsidP="00FA32E9">
      <w:pPr>
        <w:jc w:val="center"/>
      </w:pPr>
      <w:bookmarkStart w:id="0" w:name="_GoBack"/>
      <w:bookmarkEnd w:id="0"/>
      <w:r w:rsidRPr="00F75554">
        <w:rPr>
          <w:b/>
        </w:rPr>
        <w:t>PŘÍBALOVÁ INFORMACE PRO:</w:t>
      </w:r>
    </w:p>
    <w:p w:rsidR="00FA32E9" w:rsidRPr="00E25B8D" w:rsidRDefault="00FA32E9" w:rsidP="00FA32E9">
      <w:pPr>
        <w:jc w:val="both"/>
        <w:outlineLvl w:val="0"/>
        <w:rPr>
          <w:szCs w:val="22"/>
        </w:rPr>
      </w:pPr>
    </w:p>
    <w:p w:rsidR="00FA32E9" w:rsidRDefault="00FA32E9" w:rsidP="00FA32E9">
      <w:pPr>
        <w:jc w:val="center"/>
        <w:rPr>
          <w:b/>
          <w:szCs w:val="22"/>
        </w:rPr>
      </w:pPr>
      <w:proofErr w:type="spellStart"/>
      <w:r w:rsidRPr="00FA32E9">
        <w:rPr>
          <w:b/>
          <w:szCs w:val="22"/>
        </w:rPr>
        <w:t>Baycox</w:t>
      </w:r>
      <w:proofErr w:type="spellEnd"/>
      <w:r w:rsidRPr="00FA32E9">
        <w:rPr>
          <w:b/>
          <w:szCs w:val="22"/>
        </w:rPr>
        <w:t xml:space="preserve">  </w:t>
      </w:r>
      <w:proofErr w:type="spellStart"/>
      <w:r w:rsidRPr="00FA32E9">
        <w:rPr>
          <w:b/>
          <w:szCs w:val="22"/>
        </w:rPr>
        <w:t>Multi</w:t>
      </w:r>
      <w:proofErr w:type="spellEnd"/>
      <w:r w:rsidRPr="00FA32E9">
        <w:rPr>
          <w:b/>
          <w:szCs w:val="22"/>
        </w:rPr>
        <w:t xml:space="preserve"> 50 mg/ml perorální suspenze pro skot, </w:t>
      </w:r>
      <w:r w:rsidR="00445187">
        <w:rPr>
          <w:b/>
          <w:szCs w:val="22"/>
        </w:rPr>
        <w:t>prasata</w:t>
      </w:r>
      <w:r w:rsidR="00445187" w:rsidRPr="00FA32E9">
        <w:rPr>
          <w:b/>
          <w:szCs w:val="22"/>
        </w:rPr>
        <w:t xml:space="preserve"> </w:t>
      </w:r>
      <w:r w:rsidRPr="00FA32E9">
        <w:rPr>
          <w:b/>
          <w:szCs w:val="22"/>
        </w:rPr>
        <w:t>a ovce</w:t>
      </w:r>
    </w:p>
    <w:p w:rsidR="00FA32E9" w:rsidRPr="00FA32E9" w:rsidRDefault="00FA32E9" w:rsidP="00FA32E9">
      <w:pPr>
        <w:jc w:val="center"/>
        <w:rPr>
          <w:b/>
          <w:szCs w:val="22"/>
        </w:rPr>
      </w:pPr>
    </w:p>
    <w:p w:rsidR="00FA32E9" w:rsidRPr="00F75554" w:rsidRDefault="00FA32E9" w:rsidP="00FA32E9">
      <w:pPr>
        <w:rPr>
          <w:b/>
        </w:rPr>
      </w:pPr>
      <w:r w:rsidRPr="00F75554">
        <w:rPr>
          <w:b/>
        </w:rPr>
        <w:t>1.</w:t>
      </w:r>
      <w:r w:rsidRPr="00F75554">
        <w:rPr>
          <w:b/>
        </w:rPr>
        <w:tab/>
        <w:t>JMÉNO A ADRESA DRŽITELE ROZHODNUTÍ O REGISTRACI A DRŽITELE POVOLENÍ K VÝROBĚ ODPOVĚDNÉHO ZA UVOLNĚNÍ ŠARŽE, POKUD SE NESHODUJE</w:t>
      </w:r>
    </w:p>
    <w:p w:rsidR="00FA32E9" w:rsidRPr="00F75554" w:rsidRDefault="00FA32E9" w:rsidP="00FA32E9">
      <w:pPr>
        <w:rPr>
          <w:b/>
        </w:rPr>
      </w:pPr>
    </w:p>
    <w:p w:rsidR="00FA32E9" w:rsidRDefault="00FA32E9" w:rsidP="00FA32E9">
      <w:pPr>
        <w:rPr>
          <w:iCs/>
          <w:u w:val="single"/>
        </w:rPr>
      </w:pPr>
      <w:r>
        <w:rPr>
          <w:iCs/>
          <w:u w:val="single"/>
        </w:rPr>
        <w:t>Držitel rozhodnutí o registraci:</w:t>
      </w:r>
    </w:p>
    <w:p w:rsidR="002C45DF" w:rsidRPr="009147F7" w:rsidRDefault="00FA32E9" w:rsidP="002C45DF">
      <w:pPr>
        <w:jc w:val="both"/>
        <w:rPr>
          <w:szCs w:val="22"/>
        </w:rPr>
      </w:pPr>
      <w:r>
        <w:rPr>
          <w:iCs/>
        </w:rPr>
        <w:t xml:space="preserve">BAYER s.r.o., </w:t>
      </w:r>
      <w:proofErr w:type="spellStart"/>
      <w:r>
        <w:rPr>
          <w:iCs/>
        </w:rPr>
        <w:t>Siemensova</w:t>
      </w:r>
      <w:proofErr w:type="spellEnd"/>
      <w:r>
        <w:rPr>
          <w:iCs/>
        </w:rPr>
        <w:t xml:space="preserve"> 2717/4</w:t>
      </w:r>
      <w:r w:rsidR="002C45DF">
        <w:rPr>
          <w:iCs/>
        </w:rPr>
        <w:t xml:space="preserve">, </w:t>
      </w:r>
      <w:r w:rsidR="002C45DF" w:rsidRPr="009147F7">
        <w:rPr>
          <w:szCs w:val="22"/>
        </w:rPr>
        <w:t>155 00 Praha 5</w:t>
      </w:r>
      <w:r w:rsidR="002C45DF">
        <w:rPr>
          <w:szCs w:val="22"/>
        </w:rPr>
        <w:t>, Česká republika</w:t>
      </w:r>
    </w:p>
    <w:p w:rsidR="00FA32E9" w:rsidRPr="00F75554" w:rsidRDefault="00FA32E9" w:rsidP="002C45DF">
      <w:pPr>
        <w:ind w:left="0" w:firstLine="0"/>
      </w:pPr>
    </w:p>
    <w:p w:rsidR="00FA32E9" w:rsidRPr="00F75554" w:rsidRDefault="00FA32E9" w:rsidP="00FA32E9">
      <w:pPr>
        <w:rPr>
          <w:bCs/>
          <w:u w:val="single"/>
        </w:rPr>
      </w:pPr>
      <w:r w:rsidRPr="00F75554">
        <w:rPr>
          <w:bCs/>
          <w:u w:val="single"/>
        </w:rPr>
        <w:t>Výrobce odpovědný za uvolnění šarže</w:t>
      </w:r>
      <w:r>
        <w:t>:</w:t>
      </w:r>
    </w:p>
    <w:p w:rsidR="00FA32E9" w:rsidRPr="006528AB" w:rsidRDefault="00FA32E9" w:rsidP="00FA32E9">
      <w:pPr>
        <w:tabs>
          <w:tab w:val="left" w:pos="142"/>
        </w:tabs>
        <w:rPr>
          <w:szCs w:val="22"/>
          <w:lang w:val="de-DE"/>
        </w:rPr>
      </w:pPr>
      <w:r w:rsidRPr="006528AB">
        <w:rPr>
          <w:szCs w:val="22"/>
          <w:lang w:val="de-DE"/>
        </w:rPr>
        <w:t xml:space="preserve">KVP </w:t>
      </w:r>
      <w:proofErr w:type="spellStart"/>
      <w:r w:rsidRPr="006528AB">
        <w:rPr>
          <w:szCs w:val="22"/>
          <w:lang w:val="de-DE"/>
        </w:rPr>
        <w:t>Pharma</w:t>
      </w:r>
      <w:proofErr w:type="spellEnd"/>
      <w:r w:rsidRPr="006528AB">
        <w:rPr>
          <w:szCs w:val="22"/>
          <w:lang w:val="de-DE"/>
        </w:rPr>
        <w:t xml:space="preserve"> + Veterinär Produkte GmbH, </w:t>
      </w:r>
      <w:proofErr w:type="spellStart"/>
      <w:r w:rsidRPr="006528AB">
        <w:rPr>
          <w:szCs w:val="22"/>
          <w:lang w:val="de-DE"/>
        </w:rPr>
        <w:t>Projensdorfer</w:t>
      </w:r>
      <w:proofErr w:type="spellEnd"/>
      <w:r w:rsidRPr="006528AB">
        <w:rPr>
          <w:szCs w:val="22"/>
          <w:lang w:val="de-DE"/>
        </w:rPr>
        <w:t xml:space="preserve"> Str. 324, 24106 Kiel, Germany</w:t>
      </w:r>
    </w:p>
    <w:p w:rsidR="00FA32E9" w:rsidRPr="00FA32E9" w:rsidRDefault="00FA32E9" w:rsidP="00FA32E9">
      <w:pPr>
        <w:rPr>
          <w:lang w:val="de-DE"/>
        </w:rPr>
      </w:pPr>
    </w:p>
    <w:p w:rsidR="00FA32E9" w:rsidRPr="00F75554" w:rsidRDefault="00FA32E9" w:rsidP="00FA32E9"/>
    <w:p w:rsidR="00FA32E9" w:rsidRPr="00F75554" w:rsidRDefault="00FA32E9" w:rsidP="00FA32E9">
      <w:pPr>
        <w:rPr>
          <w:b/>
        </w:rPr>
      </w:pPr>
      <w:r w:rsidRPr="00F75554">
        <w:rPr>
          <w:b/>
        </w:rPr>
        <w:t>2.</w:t>
      </w:r>
      <w:r w:rsidRPr="00F75554">
        <w:rPr>
          <w:b/>
        </w:rPr>
        <w:tab/>
        <w:t>NÁZEV VETERINÁRNÍHO LÉČIVÉHO PŘÍPRAVKU</w:t>
      </w:r>
    </w:p>
    <w:p w:rsidR="00FA32E9" w:rsidRPr="00F75554" w:rsidRDefault="00FA32E9" w:rsidP="00FA32E9">
      <w:pPr>
        <w:ind w:left="0" w:firstLine="0"/>
      </w:pPr>
    </w:p>
    <w:p w:rsidR="00FA32E9" w:rsidRPr="00F75554" w:rsidRDefault="00FA32E9" w:rsidP="00FA32E9">
      <w:pPr>
        <w:rPr>
          <w:b/>
        </w:rPr>
      </w:pPr>
      <w:proofErr w:type="spellStart"/>
      <w:r w:rsidRPr="00E25B8D">
        <w:rPr>
          <w:szCs w:val="22"/>
        </w:rPr>
        <w:t>Baycox</w:t>
      </w:r>
      <w:proofErr w:type="spellEnd"/>
      <w:r w:rsidRPr="00CE015D">
        <w:rPr>
          <w:szCs w:val="22"/>
        </w:rPr>
        <w:t xml:space="preserve"> </w:t>
      </w:r>
      <w:r w:rsidRPr="00E25B8D">
        <w:rPr>
          <w:szCs w:val="22"/>
        </w:rPr>
        <w:t xml:space="preserve"> </w:t>
      </w:r>
      <w:proofErr w:type="spellStart"/>
      <w:r w:rsidRPr="00E25B8D">
        <w:rPr>
          <w:szCs w:val="22"/>
        </w:rPr>
        <w:t>Multi</w:t>
      </w:r>
      <w:proofErr w:type="spellEnd"/>
      <w:r w:rsidRPr="00E25B8D">
        <w:rPr>
          <w:szCs w:val="22"/>
        </w:rPr>
        <w:t xml:space="preserve"> 50 mg/ml perorální suspenze pro skot, </w:t>
      </w:r>
      <w:r w:rsidR="00445187">
        <w:rPr>
          <w:szCs w:val="22"/>
        </w:rPr>
        <w:t>prasata</w:t>
      </w:r>
      <w:r w:rsidR="00445187" w:rsidRPr="00E25B8D">
        <w:rPr>
          <w:szCs w:val="22"/>
        </w:rPr>
        <w:t xml:space="preserve"> </w:t>
      </w:r>
      <w:r w:rsidRPr="00E25B8D">
        <w:rPr>
          <w:szCs w:val="22"/>
        </w:rPr>
        <w:t>a ovce</w:t>
      </w:r>
    </w:p>
    <w:p w:rsidR="00FA32E9" w:rsidRPr="00F75554" w:rsidRDefault="00FA32E9" w:rsidP="00FA32E9">
      <w:pPr>
        <w:rPr>
          <w:b/>
        </w:rPr>
      </w:pPr>
    </w:p>
    <w:p w:rsidR="00FA32E9" w:rsidRPr="00F75554" w:rsidRDefault="00FA32E9" w:rsidP="00FA32E9">
      <w:pPr>
        <w:rPr>
          <w:b/>
        </w:rPr>
      </w:pPr>
      <w:r w:rsidRPr="00F75554">
        <w:rPr>
          <w:b/>
        </w:rPr>
        <w:t>3.</w:t>
      </w:r>
      <w:r w:rsidRPr="00F75554">
        <w:rPr>
          <w:b/>
        </w:rPr>
        <w:tab/>
        <w:t>OBSAH LÉČIVÝCH A OSTATNÍCH LÁTEK</w:t>
      </w:r>
    </w:p>
    <w:p w:rsidR="00FA32E9" w:rsidRPr="00F75554" w:rsidRDefault="00FA32E9" w:rsidP="00FA32E9">
      <w:pPr>
        <w:rPr>
          <w:b/>
        </w:rPr>
      </w:pPr>
    </w:p>
    <w:p w:rsidR="00FA32E9" w:rsidRPr="0044609F" w:rsidRDefault="00FA32E9" w:rsidP="00FA32E9">
      <w:pPr>
        <w:rPr>
          <w:b/>
        </w:rPr>
      </w:pPr>
      <w:r w:rsidRPr="0044609F">
        <w:rPr>
          <w:b/>
        </w:rPr>
        <w:t>Bílá nebo nažloutlá suspenze</w:t>
      </w:r>
    </w:p>
    <w:p w:rsidR="00FA32E9" w:rsidRPr="0044609F" w:rsidRDefault="00FA32E9" w:rsidP="00FA32E9">
      <w:pPr>
        <w:rPr>
          <w:b/>
        </w:rPr>
      </w:pPr>
    </w:p>
    <w:p w:rsidR="00FA32E9" w:rsidRPr="0044609F" w:rsidRDefault="00FA32E9" w:rsidP="00FA32E9">
      <w:pPr>
        <w:jc w:val="both"/>
        <w:rPr>
          <w:b/>
          <w:szCs w:val="22"/>
        </w:rPr>
      </w:pPr>
      <w:r w:rsidRPr="0044609F">
        <w:rPr>
          <w:b/>
          <w:szCs w:val="22"/>
        </w:rPr>
        <w:t xml:space="preserve">1 ml obsahuje: </w:t>
      </w:r>
    </w:p>
    <w:p w:rsidR="00FA32E9" w:rsidRDefault="00FA32E9" w:rsidP="00FA32E9">
      <w:pPr>
        <w:ind w:left="0" w:firstLine="0"/>
        <w:jc w:val="both"/>
        <w:outlineLvl w:val="0"/>
        <w:rPr>
          <w:szCs w:val="22"/>
        </w:rPr>
      </w:pPr>
      <w:r w:rsidRPr="00CE015D">
        <w:rPr>
          <w:b/>
          <w:szCs w:val="22"/>
        </w:rPr>
        <w:t>Léčivá látka</w:t>
      </w:r>
      <w:r w:rsidRPr="008D2542">
        <w:rPr>
          <w:szCs w:val="22"/>
        </w:rPr>
        <w:t>:</w:t>
      </w:r>
    </w:p>
    <w:p w:rsidR="00FA32E9" w:rsidRPr="008D2542" w:rsidRDefault="00FA32E9" w:rsidP="00FA32E9">
      <w:pPr>
        <w:ind w:left="0" w:firstLine="0"/>
        <w:jc w:val="both"/>
        <w:rPr>
          <w:iCs/>
          <w:szCs w:val="22"/>
        </w:rPr>
      </w:pPr>
      <w:proofErr w:type="spellStart"/>
      <w:r w:rsidRPr="008D2542">
        <w:rPr>
          <w:szCs w:val="22"/>
        </w:rPr>
        <w:t>Toltrazurilum</w:t>
      </w:r>
      <w:proofErr w:type="spellEnd"/>
      <w:r w:rsidRPr="008D2542">
        <w:rPr>
          <w:szCs w:val="22"/>
        </w:rPr>
        <w:tab/>
      </w:r>
      <w:r w:rsidRPr="008D2542">
        <w:rPr>
          <w:szCs w:val="22"/>
        </w:rPr>
        <w:tab/>
      </w:r>
      <w:r w:rsidRPr="008D2542">
        <w:rPr>
          <w:szCs w:val="22"/>
        </w:rPr>
        <w:tab/>
      </w:r>
      <w:r w:rsidRPr="008D2542">
        <w:rPr>
          <w:szCs w:val="22"/>
        </w:rPr>
        <w:tab/>
        <w:t>50,0 mg</w:t>
      </w:r>
    </w:p>
    <w:p w:rsidR="00FA32E9" w:rsidRPr="008D2542" w:rsidRDefault="00FA32E9" w:rsidP="00FA32E9">
      <w:pPr>
        <w:jc w:val="both"/>
        <w:rPr>
          <w:szCs w:val="22"/>
        </w:rPr>
      </w:pPr>
    </w:p>
    <w:p w:rsidR="00FA32E9" w:rsidRDefault="00FA32E9" w:rsidP="00FA32E9">
      <w:pPr>
        <w:ind w:left="0" w:firstLine="0"/>
        <w:jc w:val="both"/>
        <w:outlineLvl w:val="0"/>
        <w:rPr>
          <w:b/>
          <w:szCs w:val="22"/>
        </w:rPr>
      </w:pPr>
      <w:r w:rsidRPr="008D2542">
        <w:rPr>
          <w:b/>
          <w:szCs w:val="22"/>
        </w:rPr>
        <w:t>Pomocné látky:</w:t>
      </w:r>
    </w:p>
    <w:p w:rsidR="00FA32E9" w:rsidRPr="008D2542" w:rsidRDefault="00FA32E9" w:rsidP="00FA32E9">
      <w:pPr>
        <w:ind w:left="0" w:firstLine="0"/>
        <w:jc w:val="both"/>
        <w:outlineLvl w:val="0"/>
        <w:rPr>
          <w:b/>
          <w:szCs w:val="22"/>
        </w:rPr>
      </w:pPr>
    </w:p>
    <w:p w:rsidR="00FA32E9" w:rsidRPr="00FA32E9" w:rsidRDefault="00FA32E9" w:rsidP="00FA32E9">
      <w:pPr>
        <w:ind w:left="0" w:firstLine="0"/>
        <w:jc w:val="both"/>
        <w:outlineLvl w:val="0"/>
        <w:rPr>
          <w:szCs w:val="22"/>
        </w:rPr>
      </w:pPr>
      <w:r w:rsidRPr="00FA32E9">
        <w:rPr>
          <w:szCs w:val="22"/>
        </w:rPr>
        <w:t>Natrium-benzoát (E211)</w:t>
      </w:r>
      <w:r w:rsidRPr="00FA32E9">
        <w:rPr>
          <w:szCs w:val="22"/>
        </w:rPr>
        <w:tab/>
      </w:r>
      <w:r w:rsidRPr="00FA32E9">
        <w:rPr>
          <w:szCs w:val="22"/>
        </w:rPr>
        <w:tab/>
      </w:r>
      <w:r w:rsidRPr="00FA32E9">
        <w:rPr>
          <w:szCs w:val="22"/>
        </w:rPr>
        <w:tab/>
        <w:t xml:space="preserve">  2,1 mg </w:t>
      </w:r>
    </w:p>
    <w:p w:rsidR="00FA32E9" w:rsidRPr="00FA32E9" w:rsidRDefault="00FA32E9" w:rsidP="00FA32E9">
      <w:pPr>
        <w:ind w:left="0" w:firstLine="0"/>
        <w:jc w:val="both"/>
        <w:outlineLvl w:val="0"/>
        <w:rPr>
          <w:szCs w:val="22"/>
        </w:rPr>
      </w:pPr>
      <w:r w:rsidRPr="00FA32E9">
        <w:rPr>
          <w:szCs w:val="22"/>
        </w:rPr>
        <w:t>Natrium-propionát (E281)</w:t>
      </w:r>
      <w:r w:rsidRPr="00FA32E9">
        <w:rPr>
          <w:szCs w:val="22"/>
        </w:rPr>
        <w:tab/>
      </w:r>
      <w:r w:rsidRPr="00FA32E9">
        <w:rPr>
          <w:szCs w:val="22"/>
        </w:rPr>
        <w:tab/>
        <w:t xml:space="preserve">  2,1 mg</w:t>
      </w:r>
    </w:p>
    <w:p w:rsidR="00FA32E9" w:rsidRPr="00FA32E9" w:rsidRDefault="00FA32E9" w:rsidP="00FA32E9">
      <w:pPr>
        <w:ind w:left="0" w:firstLine="0"/>
        <w:jc w:val="both"/>
        <w:outlineLvl w:val="0"/>
        <w:rPr>
          <w:b/>
          <w:szCs w:val="22"/>
        </w:rPr>
      </w:pPr>
    </w:p>
    <w:p w:rsidR="00FA32E9" w:rsidRPr="00F75554" w:rsidRDefault="00FA32E9" w:rsidP="00FA32E9">
      <w:pPr>
        <w:rPr>
          <w:b/>
        </w:rPr>
      </w:pPr>
      <w:r w:rsidRPr="00F75554">
        <w:rPr>
          <w:b/>
        </w:rPr>
        <w:t>4.</w:t>
      </w:r>
      <w:r w:rsidRPr="00F75554">
        <w:rPr>
          <w:b/>
        </w:rPr>
        <w:tab/>
        <w:t>INDIKACE</w:t>
      </w:r>
    </w:p>
    <w:p w:rsidR="00FA32E9" w:rsidRPr="00F75554" w:rsidRDefault="00FA32E9" w:rsidP="00FA32E9">
      <w:pPr>
        <w:rPr>
          <w:b/>
        </w:rPr>
      </w:pPr>
    </w:p>
    <w:p w:rsidR="0044609F" w:rsidRDefault="00FA32E9" w:rsidP="00FA32E9">
      <w:pPr>
        <w:rPr>
          <w:szCs w:val="22"/>
        </w:rPr>
      </w:pPr>
      <w:r w:rsidRPr="00FA32E9">
        <w:rPr>
          <w:szCs w:val="22"/>
        </w:rPr>
        <w:t xml:space="preserve">Prevence klinických příznaků kokcidiózy (parazitární onemocnění trávicího traktu) </w:t>
      </w:r>
      <w:r>
        <w:rPr>
          <w:szCs w:val="22"/>
        </w:rPr>
        <w:t xml:space="preserve">u skotu, prasat a </w:t>
      </w:r>
    </w:p>
    <w:p w:rsidR="00FA32E9" w:rsidRDefault="00FA32E9" w:rsidP="00FA32E9">
      <w:pPr>
        <w:rPr>
          <w:szCs w:val="22"/>
        </w:rPr>
      </w:pPr>
      <w:r w:rsidRPr="00FA32E9">
        <w:rPr>
          <w:szCs w:val="22"/>
        </w:rPr>
        <w:t>ovcí.</w:t>
      </w:r>
    </w:p>
    <w:p w:rsidR="00FA32E9" w:rsidRDefault="00FA32E9" w:rsidP="00FA32E9">
      <w:pPr>
        <w:rPr>
          <w:szCs w:val="22"/>
        </w:rPr>
      </w:pPr>
    </w:p>
    <w:p w:rsidR="00445187" w:rsidRPr="008D2542" w:rsidRDefault="00445187" w:rsidP="00DD4194">
      <w:pPr>
        <w:tabs>
          <w:tab w:val="left" w:pos="0"/>
        </w:tabs>
        <w:ind w:left="0" w:firstLine="0"/>
        <w:jc w:val="both"/>
        <w:rPr>
          <w:szCs w:val="22"/>
        </w:rPr>
      </w:pPr>
      <w:r w:rsidRPr="00CE015D">
        <w:rPr>
          <w:szCs w:val="22"/>
          <w:u w:val="single"/>
        </w:rPr>
        <w:t>Skot:</w:t>
      </w:r>
      <w:r>
        <w:rPr>
          <w:szCs w:val="22"/>
          <w:u w:val="single"/>
        </w:rPr>
        <w:t xml:space="preserve"> </w:t>
      </w:r>
      <w:r>
        <w:t xml:space="preserve">K prevenci klinických příznaků kokcidiózy a ke snížení vylučování  kokcidií u telat na farmách s potvrzenou anamnézou kokcidiózy vyvolané </w:t>
      </w:r>
      <w:proofErr w:type="spellStart"/>
      <w:r w:rsidRPr="0047028D">
        <w:rPr>
          <w:i/>
          <w:iCs/>
        </w:rPr>
        <w:t>Eimeria</w:t>
      </w:r>
      <w:proofErr w:type="spellEnd"/>
      <w:r w:rsidRPr="0047028D">
        <w:rPr>
          <w:i/>
          <w:iCs/>
        </w:rPr>
        <w:t xml:space="preserve"> </w:t>
      </w:r>
      <w:proofErr w:type="spellStart"/>
      <w:r w:rsidRPr="0047028D">
        <w:rPr>
          <w:i/>
          <w:iCs/>
        </w:rPr>
        <w:t>bovis</w:t>
      </w:r>
      <w:proofErr w:type="spellEnd"/>
      <w:r w:rsidRPr="0047028D">
        <w:rPr>
          <w:i/>
          <w:iCs/>
        </w:rPr>
        <w:t xml:space="preserve"> </w:t>
      </w:r>
      <w:r>
        <w:t>nebo</w:t>
      </w:r>
      <w:r w:rsidRPr="0047028D">
        <w:t xml:space="preserve"> </w:t>
      </w:r>
      <w:proofErr w:type="spellStart"/>
      <w:r w:rsidRPr="0047028D">
        <w:rPr>
          <w:i/>
          <w:iCs/>
        </w:rPr>
        <w:t>Eimeria</w:t>
      </w:r>
      <w:proofErr w:type="spellEnd"/>
      <w:r w:rsidRPr="0047028D">
        <w:rPr>
          <w:i/>
          <w:iCs/>
        </w:rPr>
        <w:t xml:space="preserve"> </w:t>
      </w:r>
      <w:proofErr w:type="spellStart"/>
      <w:r w:rsidRPr="0047028D">
        <w:rPr>
          <w:i/>
          <w:iCs/>
        </w:rPr>
        <w:t>zuernii</w:t>
      </w:r>
      <w:proofErr w:type="spellEnd"/>
      <w:r w:rsidRPr="0047028D">
        <w:t>.</w:t>
      </w:r>
    </w:p>
    <w:p w:rsidR="00FA32E9" w:rsidRDefault="00FA32E9" w:rsidP="00FA32E9">
      <w:pPr>
        <w:jc w:val="both"/>
        <w:rPr>
          <w:b/>
          <w:szCs w:val="22"/>
        </w:rPr>
      </w:pPr>
    </w:p>
    <w:p w:rsidR="00B75FE7" w:rsidRDefault="00FA32E9" w:rsidP="00665F87">
      <w:pPr>
        <w:tabs>
          <w:tab w:val="left" w:pos="709"/>
        </w:tabs>
        <w:jc w:val="both"/>
        <w:rPr>
          <w:szCs w:val="22"/>
        </w:rPr>
      </w:pPr>
      <w:r w:rsidRPr="00CE015D">
        <w:rPr>
          <w:szCs w:val="22"/>
          <w:u w:val="single"/>
        </w:rPr>
        <w:t>Selata:</w:t>
      </w:r>
      <w:r w:rsidRPr="00AA1E31">
        <w:rPr>
          <w:szCs w:val="22"/>
        </w:rPr>
        <w:t xml:space="preserve"> Prevence</w:t>
      </w:r>
      <w:r w:rsidRPr="00CE015D">
        <w:rPr>
          <w:szCs w:val="22"/>
        </w:rPr>
        <w:t xml:space="preserve"> klinických příznaků kokcidiózy u novorozených selat (3 -5 dní stará) na farmách </w:t>
      </w:r>
    </w:p>
    <w:p w:rsidR="00FA32E9" w:rsidRDefault="00FA32E9" w:rsidP="00665F87">
      <w:pPr>
        <w:tabs>
          <w:tab w:val="left" w:pos="709"/>
        </w:tabs>
        <w:jc w:val="both"/>
        <w:rPr>
          <w:szCs w:val="22"/>
        </w:rPr>
      </w:pPr>
      <w:r w:rsidRPr="00CE015D">
        <w:rPr>
          <w:szCs w:val="22"/>
        </w:rPr>
        <w:t xml:space="preserve">s potvrzeným výskytem kokcidiózy způsobené </w:t>
      </w:r>
      <w:proofErr w:type="spellStart"/>
      <w:r w:rsidR="00E3100C" w:rsidRPr="00AA3695">
        <w:rPr>
          <w:i/>
          <w:iCs/>
          <w:szCs w:val="22"/>
        </w:rPr>
        <w:t>Cystoisospora</w:t>
      </w:r>
      <w:proofErr w:type="spellEnd"/>
      <w:r w:rsidRPr="00CE015D">
        <w:rPr>
          <w:szCs w:val="22"/>
        </w:rPr>
        <w:t xml:space="preserve"> </w:t>
      </w:r>
      <w:proofErr w:type="spellStart"/>
      <w:r w:rsidRPr="00DD4194">
        <w:rPr>
          <w:i/>
          <w:szCs w:val="22"/>
        </w:rPr>
        <w:t>suis</w:t>
      </w:r>
      <w:proofErr w:type="spellEnd"/>
      <w:r w:rsidRPr="00CE015D">
        <w:rPr>
          <w:szCs w:val="22"/>
        </w:rPr>
        <w:t>.</w:t>
      </w:r>
    </w:p>
    <w:p w:rsidR="00FA32E9" w:rsidRPr="00CE015D" w:rsidRDefault="00FA32E9" w:rsidP="00FA32E9">
      <w:pPr>
        <w:tabs>
          <w:tab w:val="left" w:pos="709"/>
        </w:tabs>
        <w:ind w:left="709"/>
        <w:jc w:val="both"/>
        <w:rPr>
          <w:szCs w:val="22"/>
        </w:rPr>
      </w:pPr>
    </w:p>
    <w:p w:rsidR="00B75FE7" w:rsidRDefault="00FA32E9" w:rsidP="00665F87">
      <w:pPr>
        <w:tabs>
          <w:tab w:val="left" w:pos="709"/>
        </w:tabs>
        <w:jc w:val="both"/>
        <w:rPr>
          <w:szCs w:val="22"/>
        </w:rPr>
      </w:pPr>
      <w:r w:rsidRPr="00CE015D">
        <w:rPr>
          <w:szCs w:val="22"/>
          <w:u w:val="single"/>
        </w:rPr>
        <w:t>Ovce:</w:t>
      </w:r>
      <w:r w:rsidRPr="00CE015D">
        <w:rPr>
          <w:szCs w:val="22"/>
        </w:rPr>
        <w:t> </w:t>
      </w:r>
      <w:r>
        <w:rPr>
          <w:szCs w:val="22"/>
        </w:rPr>
        <w:t>P</w:t>
      </w:r>
      <w:r w:rsidRPr="00CE015D">
        <w:rPr>
          <w:szCs w:val="22"/>
        </w:rPr>
        <w:t>revenc</w:t>
      </w:r>
      <w:r>
        <w:rPr>
          <w:szCs w:val="22"/>
        </w:rPr>
        <w:t>e</w:t>
      </w:r>
      <w:r w:rsidRPr="00CE015D">
        <w:rPr>
          <w:szCs w:val="22"/>
        </w:rPr>
        <w:t xml:space="preserve"> klinických příznaků kokcidiózy u jehňat na farmách s potvrzenou anamnézou </w:t>
      </w:r>
    </w:p>
    <w:p w:rsidR="00FA32E9" w:rsidRPr="00CE015D" w:rsidRDefault="00FA32E9" w:rsidP="00665F87">
      <w:pPr>
        <w:tabs>
          <w:tab w:val="left" w:pos="709"/>
        </w:tabs>
        <w:jc w:val="both"/>
        <w:rPr>
          <w:szCs w:val="22"/>
          <w:u w:val="single"/>
        </w:rPr>
      </w:pPr>
      <w:r w:rsidRPr="00CE015D">
        <w:rPr>
          <w:szCs w:val="22"/>
        </w:rPr>
        <w:t xml:space="preserve">kokcidiózy vyvolané </w:t>
      </w:r>
      <w:proofErr w:type="spellStart"/>
      <w:r w:rsidRPr="00DD4194">
        <w:rPr>
          <w:i/>
          <w:szCs w:val="22"/>
        </w:rPr>
        <w:t>Eimeria</w:t>
      </w:r>
      <w:proofErr w:type="spellEnd"/>
      <w:r w:rsidRPr="00DD4194">
        <w:rPr>
          <w:i/>
          <w:szCs w:val="22"/>
        </w:rPr>
        <w:t xml:space="preserve"> </w:t>
      </w:r>
      <w:proofErr w:type="spellStart"/>
      <w:r w:rsidRPr="00DD4194">
        <w:rPr>
          <w:i/>
          <w:szCs w:val="22"/>
        </w:rPr>
        <w:t>crandallis</w:t>
      </w:r>
      <w:proofErr w:type="spellEnd"/>
      <w:r w:rsidRPr="00CE015D">
        <w:rPr>
          <w:szCs w:val="22"/>
        </w:rPr>
        <w:t xml:space="preserve"> a </w:t>
      </w:r>
      <w:proofErr w:type="spellStart"/>
      <w:r w:rsidRPr="00DD4194">
        <w:rPr>
          <w:i/>
          <w:szCs w:val="22"/>
        </w:rPr>
        <w:t>Eimeria</w:t>
      </w:r>
      <w:proofErr w:type="spellEnd"/>
      <w:r w:rsidRPr="00DD4194">
        <w:rPr>
          <w:i/>
          <w:szCs w:val="22"/>
        </w:rPr>
        <w:t xml:space="preserve"> </w:t>
      </w:r>
      <w:proofErr w:type="spellStart"/>
      <w:r w:rsidRPr="00DD4194">
        <w:rPr>
          <w:i/>
          <w:szCs w:val="22"/>
        </w:rPr>
        <w:t>ovinoidalis</w:t>
      </w:r>
      <w:proofErr w:type="spellEnd"/>
      <w:r w:rsidRPr="00CE015D">
        <w:rPr>
          <w:szCs w:val="22"/>
          <w:u w:val="single"/>
        </w:rPr>
        <w:t>.</w:t>
      </w:r>
    </w:p>
    <w:p w:rsidR="00FA32E9" w:rsidRPr="00FA32E9" w:rsidRDefault="00FA32E9" w:rsidP="00FA32E9">
      <w:pPr>
        <w:rPr>
          <w:szCs w:val="22"/>
        </w:rPr>
      </w:pPr>
    </w:p>
    <w:p w:rsidR="00FA32E9" w:rsidRPr="00F75554" w:rsidRDefault="00FA32E9" w:rsidP="00FA32E9">
      <w:pPr>
        <w:rPr>
          <w:b/>
        </w:rPr>
      </w:pPr>
      <w:r w:rsidRPr="00F75554">
        <w:rPr>
          <w:b/>
        </w:rPr>
        <w:t xml:space="preserve">5. </w:t>
      </w:r>
      <w:r w:rsidRPr="00F75554">
        <w:rPr>
          <w:b/>
        </w:rPr>
        <w:tab/>
        <w:t>KONTRAINDIKACE</w:t>
      </w:r>
    </w:p>
    <w:p w:rsidR="00FA32E9" w:rsidRPr="00F75554" w:rsidRDefault="00FA32E9" w:rsidP="00FA32E9"/>
    <w:p w:rsidR="00FA32E9" w:rsidRDefault="00FA32E9" w:rsidP="00FA32E9">
      <w:pPr>
        <w:jc w:val="both"/>
        <w:outlineLvl w:val="0"/>
        <w:rPr>
          <w:szCs w:val="22"/>
        </w:rPr>
      </w:pPr>
      <w:r>
        <w:rPr>
          <w:szCs w:val="22"/>
        </w:rPr>
        <w:t>Nepoužívat v případě známé přecitlivělosti na léčivou látku nebo na některou z pomocných látek</w:t>
      </w:r>
    </w:p>
    <w:p w:rsidR="00FA32E9" w:rsidRDefault="00FA32E9" w:rsidP="00FA32E9">
      <w:pPr>
        <w:jc w:val="both"/>
        <w:outlineLvl w:val="0"/>
        <w:rPr>
          <w:szCs w:val="22"/>
        </w:rPr>
      </w:pPr>
    </w:p>
    <w:p w:rsidR="00FA32E9" w:rsidRPr="00CE015D" w:rsidRDefault="00FA32E9" w:rsidP="00FA32E9">
      <w:pPr>
        <w:ind w:left="709"/>
        <w:jc w:val="both"/>
        <w:rPr>
          <w:szCs w:val="22"/>
          <w:u w:val="single"/>
        </w:rPr>
      </w:pPr>
    </w:p>
    <w:p w:rsidR="00FA32E9" w:rsidRPr="00FA32E9" w:rsidRDefault="00FA32E9" w:rsidP="00FA32E9">
      <w:pPr>
        <w:jc w:val="both"/>
        <w:outlineLvl w:val="0"/>
        <w:rPr>
          <w:szCs w:val="22"/>
        </w:rPr>
      </w:pPr>
    </w:p>
    <w:p w:rsidR="00FA32E9" w:rsidRPr="00F75554" w:rsidRDefault="00FA32E9" w:rsidP="00FA32E9">
      <w:r w:rsidRPr="00F75554">
        <w:rPr>
          <w:b/>
        </w:rPr>
        <w:t>6.</w:t>
      </w:r>
      <w:r w:rsidRPr="00F75554">
        <w:rPr>
          <w:b/>
        </w:rPr>
        <w:tab/>
        <w:t>NEŽÁDOUCÍ ÚČINKY</w:t>
      </w:r>
    </w:p>
    <w:p w:rsidR="00FA32E9" w:rsidRPr="00F75554" w:rsidRDefault="00FA32E9" w:rsidP="00FA32E9"/>
    <w:p w:rsidR="00FA32E9" w:rsidRDefault="00107117" w:rsidP="00FA32E9">
      <w:r>
        <w:t>Nejsou známy</w:t>
      </w:r>
    </w:p>
    <w:p w:rsidR="00107117" w:rsidRPr="00F75554" w:rsidRDefault="00107117" w:rsidP="00FA32E9"/>
    <w:p w:rsidR="00FA32E9" w:rsidRPr="00F75554" w:rsidRDefault="00FA32E9" w:rsidP="00FA32E9">
      <w:pPr>
        <w:ind w:left="0" w:firstLine="0"/>
      </w:pPr>
      <w:r w:rsidRPr="00F75554">
        <w:t>Jestliže zaznamenáte jakékoliv závažné nežádoucí účinky či jiné reakce, které nejsou uvedeny v této příbalové informaci, oznamte to prosím vašemu veterinárnímu lékaři.</w:t>
      </w:r>
    </w:p>
    <w:p w:rsidR="00FA32E9" w:rsidRPr="00F75554" w:rsidRDefault="00FA32E9" w:rsidP="00FA32E9"/>
    <w:p w:rsidR="00FA32E9" w:rsidRPr="00F75554" w:rsidRDefault="00FA32E9" w:rsidP="00FA32E9"/>
    <w:p w:rsidR="00FA32E9" w:rsidRPr="00F75554" w:rsidRDefault="00FA32E9" w:rsidP="00FA32E9">
      <w:r w:rsidRPr="00F75554">
        <w:rPr>
          <w:b/>
        </w:rPr>
        <w:t>7.</w:t>
      </w:r>
      <w:r w:rsidRPr="00F75554">
        <w:rPr>
          <w:b/>
        </w:rPr>
        <w:tab/>
        <w:t>CÍLOVÝ DRUH ZVÍŘAT</w:t>
      </w:r>
    </w:p>
    <w:p w:rsidR="00FA32E9" w:rsidRPr="00F75554" w:rsidRDefault="00FA32E9" w:rsidP="00FA32E9"/>
    <w:p w:rsidR="00445187" w:rsidRPr="008D2542" w:rsidRDefault="00445187" w:rsidP="00DD4194">
      <w:pPr>
        <w:ind w:left="0" w:firstLine="0"/>
        <w:jc w:val="both"/>
        <w:outlineLvl w:val="0"/>
        <w:rPr>
          <w:szCs w:val="22"/>
        </w:rPr>
      </w:pPr>
      <w:r w:rsidRPr="008D2542">
        <w:rPr>
          <w:szCs w:val="22"/>
        </w:rPr>
        <w:t>Skot (telata</w:t>
      </w:r>
      <w:r>
        <w:rPr>
          <w:szCs w:val="22"/>
        </w:rPr>
        <w:t>: telata mléčných plemen skotu, která nejsou určena k jatečným účelům, telata masných plemen skotu určených k chovu a býčci určení k jatečným účelům</w:t>
      </w:r>
      <w:r w:rsidRPr="008D2542">
        <w:rPr>
          <w:szCs w:val="22"/>
        </w:rPr>
        <w:t>)</w:t>
      </w:r>
      <w:r>
        <w:rPr>
          <w:szCs w:val="22"/>
        </w:rPr>
        <w:t>, prasata (selata ve stáří 3-5 dní), ovce (jehňata)</w:t>
      </w:r>
    </w:p>
    <w:p w:rsidR="00FA32E9" w:rsidRPr="00F75554" w:rsidRDefault="00FA32E9" w:rsidP="00FA32E9">
      <w:pPr>
        <w:rPr>
          <w:b/>
        </w:rPr>
      </w:pPr>
    </w:p>
    <w:p w:rsidR="00FA32E9" w:rsidRPr="00F75554" w:rsidRDefault="00FA32E9" w:rsidP="00FA32E9">
      <w:r w:rsidRPr="00F75554">
        <w:rPr>
          <w:b/>
        </w:rPr>
        <w:t>8.</w:t>
      </w:r>
      <w:r w:rsidRPr="00F75554">
        <w:rPr>
          <w:b/>
        </w:rPr>
        <w:tab/>
        <w:t xml:space="preserve">DÁVKOVÁNÍ PRO KAŽDÝ DRUH, </w:t>
      </w:r>
      <w:proofErr w:type="gramStart"/>
      <w:r w:rsidRPr="00F75554">
        <w:rPr>
          <w:b/>
        </w:rPr>
        <w:t>CESTA(Y) A ZPŮSOB</w:t>
      </w:r>
      <w:proofErr w:type="gramEnd"/>
      <w:r w:rsidRPr="00F75554">
        <w:rPr>
          <w:b/>
        </w:rPr>
        <w:t xml:space="preserve"> PODÁNÍ</w:t>
      </w:r>
    </w:p>
    <w:p w:rsidR="00FA32E9" w:rsidRPr="00F75554" w:rsidRDefault="00FA32E9" w:rsidP="00FA32E9"/>
    <w:p w:rsidR="00FA32E9" w:rsidRDefault="00445187" w:rsidP="00FA32E9">
      <w:r>
        <w:t>P</w:t>
      </w:r>
      <w:r w:rsidR="00107117">
        <w:t>erorální podání</w:t>
      </w:r>
    </w:p>
    <w:p w:rsidR="00107117" w:rsidRDefault="00107117" w:rsidP="00FA32E9"/>
    <w:p w:rsidR="00107117" w:rsidRDefault="00107117" w:rsidP="00FA32E9">
      <w:pPr>
        <w:rPr>
          <w:u w:val="single"/>
        </w:rPr>
      </w:pPr>
      <w:r w:rsidRPr="00107117">
        <w:rPr>
          <w:u w:val="single"/>
        </w:rPr>
        <w:t>Všechny druhy zvířat</w:t>
      </w:r>
    </w:p>
    <w:p w:rsidR="0044609F" w:rsidRDefault="0044609F" w:rsidP="00FA32E9">
      <w:pPr>
        <w:rPr>
          <w:u w:val="single"/>
        </w:rPr>
      </w:pPr>
    </w:p>
    <w:p w:rsidR="0044609F" w:rsidRPr="008D2542" w:rsidRDefault="0044609F" w:rsidP="0044609F">
      <w:pPr>
        <w:jc w:val="both"/>
        <w:rPr>
          <w:szCs w:val="22"/>
          <w:lang w:eastAsia="ar-SA"/>
        </w:rPr>
      </w:pPr>
      <w:r>
        <w:rPr>
          <w:szCs w:val="22"/>
          <w:lang w:eastAsia="ar-SA"/>
        </w:rPr>
        <w:t>Perorální suspenze připravená na použití se musí p</w:t>
      </w:r>
      <w:r w:rsidRPr="008D2542">
        <w:rPr>
          <w:szCs w:val="22"/>
          <w:lang w:eastAsia="ar-SA"/>
        </w:rPr>
        <w:t xml:space="preserve">řed </w:t>
      </w:r>
      <w:r>
        <w:rPr>
          <w:szCs w:val="22"/>
          <w:lang w:eastAsia="ar-SA"/>
        </w:rPr>
        <w:t>podáním</w:t>
      </w:r>
      <w:r w:rsidRPr="008D2542">
        <w:rPr>
          <w:szCs w:val="22"/>
          <w:lang w:eastAsia="ar-SA"/>
        </w:rPr>
        <w:t xml:space="preserve"> </w:t>
      </w:r>
      <w:r>
        <w:rPr>
          <w:szCs w:val="22"/>
          <w:lang w:eastAsia="ar-SA"/>
        </w:rPr>
        <w:t xml:space="preserve">20 sekund </w:t>
      </w:r>
      <w:r w:rsidRPr="008D2542">
        <w:rPr>
          <w:szCs w:val="22"/>
          <w:lang w:eastAsia="ar-SA"/>
        </w:rPr>
        <w:t>protřepat.</w:t>
      </w:r>
    </w:p>
    <w:p w:rsidR="00107117" w:rsidRDefault="00B75FE7" w:rsidP="0044609F">
      <w:pPr>
        <w:ind w:left="0" w:firstLine="0"/>
        <w:jc w:val="both"/>
        <w:rPr>
          <w:szCs w:val="22"/>
          <w:lang w:eastAsia="ar-SA"/>
        </w:rPr>
      </w:pPr>
      <w:r>
        <w:rPr>
          <w:szCs w:val="22"/>
          <w:lang w:eastAsia="ar-SA"/>
        </w:rPr>
        <w:t>K dosažení</w:t>
      </w:r>
      <w:r w:rsidR="00107117" w:rsidRPr="008D2542">
        <w:rPr>
          <w:szCs w:val="22"/>
          <w:lang w:eastAsia="ar-SA"/>
        </w:rPr>
        <w:t xml:space="preserve"> maximálního přínosu by se zvířata měla ošetřit před očekávaným počátkem klinických </w:t>
      </w:r>
    </w:p>
    <w:p w:rsidR="00107117" w:rsidRDefault="00107117" w:rsidP="00107117">
      <w:pPr>
        <w:jc w:val="both"/>
        <w:rPr>
          <w:szCs w:val="22"/>
          <w:lang w:eastAsia="ar-SA"/>
        </w:rPr>
      </w:pPr>
      <w:r w:rsidRPr="008D2542">
        <w:rPr>
          <w:szCs w:val="22"/>
          <w:lang w:eastAsia="ar-SA"/>
        </w:rPr>
        <w:t>pří</w:t>
      </w:r>
      <w:r>
        <w:rPr>
          <w:szCs w:val="22"/>
          <w:lang w:eastAsia="ar-SA"/>
        </w:rPr>
        <w:t>znaků, tj. v </w:t>
      </w:r>
      <w:proofErr w:type="spellStart"/>
      <w:r>
        <w:rPr>
          <w:szCs w:val="22"/>
          <w:lang w:eastAsia="ar-SA"/>
        </w:rPr>
        <w:t>prepatentní</w:t>
      </w:r>
      <w:proofErr w:type="spellEnd"/>
      <w:r>
        <w:rPr>
          <w:szCs w:val="22"/>
          <w:lang w:eastAsia="ar-SA"/>
        </w:rPr>
        <w:t xml:space="preserve"> periodě.</w:t>
      </w:r>
    </w:p>
    <w:p w:rsidR="00107117" w:rsidRPr="008D2542" w:rsidRDefault="00107117" w:rsidP="00107117">
      <w:pPr>
        <w:jc w:val="both"/>
        <w:rPr>
          <w:szCs w:val="22"/>
          <w:lang w:eastAsia="ar-SA"/>
        </w:rPr>
      </w:pPr>
      <w:r>
        <w:rPr>
          <w:szCs w:val="22"/>
          <w:lang w:eastAsia="ar-SA"/>
        </w:rPr>
        <w:t>K</w:t>
      </w:r>
      <w:r w:rsidRPr="008D2542">
        <w:rPr>
          <w:szCs w:val="22"/>
          <w:lang w:eastAsia="ar-SA"/>
        </w:rPr>
        <w:t xml:space="preserve"> zajištění podání odpovídající dávky by se měla co nejpřesněji určit živá hmotnost. </w:t>
      </w:r>
    </w:p>
    <w:p w:rsidR="00B75FE7" w:rsidRDefault="00B75FE7" w:rsidP="00B75FE7">
      <w:pPr>
        <w:rPr>
          <w:szCs w:val="22"/>
          <w:lang w:eastAsia="ar-SA"/>
        </w:rPr>
      </w:pPr>
      <w:r w:rsidRPr="00B75FE7">
        <w:rPr>
          <w:szCs w:val="22"/>
          <w:lang w:eastAsia="ar-SA"/>
        </w:rPr>
        <w:t xml:space="preserve">Léčba během vzplanutí nemoci bude mít pro jedince omezený přínos, neboť již došlo k poškození </w:t>
      </w:r>
    </w:p>
    <w:p w:rsidR="00B75FE7" w:rsidRPr="00B75FE7" w:rsidRDefault="001F5B67" w:rsidP="00B75FE7">
      <w:pPr>
        <w:rPr>
          <w:szCs w:val="22"/>
          <w:lang w:eastAsia="ar-SA"/>
        </w:rPr>
      </w:pPr>
      <w:r>
        <w:rPr>
          <w:szCs w:val="22"/>
          <w:lang w:eastAsia="ar-SA"/>
        </w:rPr>
        <w:t>tenkého střeva.</w:t>
      </w:r>
    </w:p>
    <w:p w:rsidR="00107117" w:rsidRPr="00665F87" w:rsidRDefault="00107117" w:rsidP="00FA32E9">
      <w:pPr>
        <w:rPr>
          <w:u w:val="single"/>
        </w:rPr>
      </w:pPr>
    </w:p>
    <w:p w:rsidR="00107117" w:rsidRPr="00665F87" w:rsidRDefault="00107117" w:rsidP="00665F87">
      <w:pPr>
        <w:rPr>
          <w:u w:val="single"/>
        </w:rPr>
      </w:pPr>
      <w:r w:rsidRPr="00665F87">
        <w:rPr>
          <w:u w:val="single"/>
        </w:rPr>
        <w:t>Skot:</w:t>
      </w:r>
    </w:p>
    <w:p w:rsidR="00107117" w:rsidRPr="00665F87" w:rsidRDefault="00107117" w:rsidP="00665F87">
      <w:r w:rsidRPr="00665F87">
        <w:t xml:space="preserve">Každé zvíře by mělo být ošetřeno  jednorázovou perorální dávkou 15 mg toltrazurilu/ kg ž. </w:t>
      </w:r>
      <w:proofErr w:type="gramStart"/>
      <w:r w:rsidRPr="00665F87">
        <w:t>hm</w:t>
      </w:r>
      <w:proofErr w:type="gramEnd"/>
      <w:r w:rsidRPr="00665F87">
        <w:t xml:space="preserve">., což </w:t>
      </w:r>
    </w:p>
    <w:p w:rsidR="00107117" w:rsidRPr="00665F87" w:rsidRDefault="00107117" w:rsidP="00665F87">
      <w:r w:rsidRPr="00665F87">
        <w:t xml:space="preserve">odpovídá 3,0 ml orální suspenze na 10 kg ž. </w:t>
      </w:r>
      <w:proofErr w:type="gramStart"/>
      <w:r w:rsidRPr="00665F87">
        <w:t>hm</w:t>
      </w:r>
      <w:proofErr w:type="gramEnd"/>
      <w:r w:rsidRPr="00665F87">
        <w:t>.</w:t>
      </w:r>
    </w:p>
    <w:p w:rsidR="00665F87" w:rsidRPr="00665F87" w:rsidRDefault="00107117" w:rsidP="00665F87">
      <w:r w:rsidRPr="00665F87">
        <w:t xml:space="preserve">Při léčbě </w:t>
      </w:r>
      <w:r w:rsidR="00B75FE7">
        <w:t>skupiny zvířat stejného plemene</w:t>
      </w:r>
      <w:r w:rsidRPr="00665F87">
        <w:t xml:space="preserve"> a stejné</w:t>
      </w:r>
      <w:r w:rsidR="00B75FE7">
        <w:t xml:space="preserve">ho nebo podobného věku </w:t>
      </w:r>
      <w:r w:rsidR="00665F87" w:rsidRPr="00665F87">
        <w:t>by měla</w:t>
      </w:r>
      <w:r w:rsidRPr="00665F87">
        <w:t xml:space="preserve"> být</w:t>
      </w:r>
      <w:r w:rsidR="00665F87" w:rsidRPr="00665F87">
        <w:t xml:space="preserve"> </w:t>
      </w:r>
    </w:p>
    <w:p w:rsidR="00107117" w:rsidRPr="00665F87" w:rsidRDefault="00107117" w:rsidP="00665F87">
      <w:r w:rsidRPr="00665F87">
        <w:t>dávka vypočtena podle nejtěžšího zvířete ve skupině</w:t>
      </w:r>
    </w:p>
    <w:p w:rsidR="00107117" w:rsidRPr="00665F87" w:rsidRDefault="00107117" w:rsidP="00665F87"/>
    <w:p w:rsidR="00107117" w:rsidRPr="00665F87" w:rsidRDefault="00107117" w:rsidP="00665F87">
      <w:pPr>
        <w:rPr>
          <w:u w:val="single"/>
        </w:rPr>
      </w:pPr>
      <w:r w:rsidRPr="00665F87">
        <w:rPr>
          <w:u w:val="single"/>
        </w:rPr>
        <w:t>Selata:</w:t>
      </w:r>
    </w:p>
    <w:p w:rsidR="001C0BC4" w:rsidRPr="00665F87" w:rsidRDefault="00107117" w:rsidP="00665F87">
      <w:r w:rsidRPr="00665F87">
        <w:t xml:space="preserve">Obecná dávka je 20 mg toltrazurilu na </w:t>
      </w:r>
      <w:smartTag w:uri="urn:schemas-microsoft-com:office:smarttags" w:element="metricconverter">
        <w:smartTagPr>
          <w:attr w:name="ProductID" w:val="1 kg"/>
        </w:smartTagPr>
        <w:r w:rsidRPr="00665F87">
          <w:t>1 kg</w:t>
        </w:r>
      </w:smartTag>
      <w:r w:rsidRPr="00665F87">
        <w:t xml:space="preserve"> ž. hm. (</w:t>
      </w:r>
      <w:proofErr w:type="gramStart"/>
      <w:r w:rsidRPr="00665F87">
        <w:t>t.j.</w:t>
      </w:r>
      <w:proofErr w:type="gramEnd"/>
      <w:r w:rsidRPr="00665F87">
        <w:t xml:space="preserve"> 0,4 ml přípravku na </w:t>
      </w:r>
      <w:smartTag w:uri="urn:schemas-microsoft-com:office:smarttags" w:element="metricconverter">
        <w:smartTagPr>
          <w:attr w:name="ProductID" w:val="1 kg"/>
        </w:smartTagPr>
        <w:r w:rsidRPr="00665F87">
          <w:t>1 kg</w:t>
        </w:r>
      </w:smartTag>
      <w:r w:rsidRPr="00665F87">
        <w:t xml:space="preserve"> ž.hm.) perorálně </w:t>
      </w:r>
    </w:p>
    <w:p w:rsidR="00107117" w:rsidRPr="00665F87" w:rsidRDefault="00107117" w:rsidP="00665F87">
      <w:r w:rsidRPr="00665F87">
        <w:t>jednorázově individuálně selatům první týden 3-5 den po narození.</w:t>
      </w:r>
    </w:p>
    <w:p w:rsidR="001C0BC4" w:rsidRPr="00665F87" w:rsidRDefault="00107117" w:rsidP="00665F87">
      <w:r w:rsidRPr="00665F87">
        <w:t xml:space="preserve">Vzhledem k malým požadovaným objemům u jednotlivých selat se doporučuje použití dávkovacího </w:t>
      </w:r>
    </w:p>
    <w:p w:rsidR="00107117" w:rsidRPr="00665F87" w:rsidRDefault="00107117" w:rsidP="00665F87">
      <w:r w:rsidRPr="00665F87">
        <w:t>zařízení s přesností 0,1 ml.</w:t>
      </w:r>
    </w:p>
    <w:p w:rsidR="00107117" w:rsidRPr="00CE015D" w:rsidRDefault="00107117" w:rsidP="00107117">
      <w:pPr>
        <w:ind w:left="709"/>
        <w:jc w:val="both"/>
        <w:rPr>
          <w:szCs w:val="22"/>
          <w:u w:val="single"/>
          <w:lang w:eastAsia="ar-SA"/>
        </w:rPr>
      </w:pPr>
    </w:p>
    <w:p w:rsidR="00107117" w:rsidRPr="00665F87" w:rsidRDefault="00107117" w:rsidP="00665F87">
      <w:pPr>
        <w:rPr>
          <w:u w:val="single"/>
        </w:rPr>
      </w:pPr>
    </w:p>
    <w:p w:rsidR="00107117" w:rsidRPr="00665F87" w:rsidRDefault="00107117" w:rsidP="00665F87">
      <w:pPr>
        <w:rPr>
          <w:u w:val="single"/>
        </w:rPr>
      </w:pPr>
      <w:r w:rsidRPr="00665F87">
        <w:rPr>
          <w:u w:val="single"/>
        </w:rPr>
        <w:t>Ovce:</w:t>
      </w:r>
    </w:p>
    <w:p w:rsidR="001C0BC4" w:rsidRPr="00665F87" w:rsidRDefault="00107117" w:rsidP="00665F87">
      <w:r w:rsidRPr="00665F87">
        <w:t xml:space="preserve">Každé zvíře je nutno ošetřit jednou perorální dávkou 20 mg toltrazurilu/kg tělesné hmotnosti, což </w:t>
      </w:r>
    </w:p>
    <w:p w:rsidR="00107117" w:rsidRPr="00665F87" w:rsidRDefault="00107117" w:rsidP="00665F87">
      <w:r w:rsidRPr="00665F87">
        <w:t xml:space="preserve">odpovídá 0,4 ml perorální suspenze na kg tělesné hmotnosti. </w:t>
      </w:r>
    </w:p>
    <w:p w:rsidR="001C0BC4" w:rsidRPr="00665F87" w:rsidRDefault="00107117" w:rsidP="00665F87">
      <w:r w:rsidRPr="00665F87">
        <w:t xml:space="preserve">Pokud se mají zvířata léčit spíše hromadně než jednotlivě, musí být seskupena podle tělesné </w:t>
      </w:r>
    </w:p>
    <w:p w:rsidR="00107117" w:rsidRPr="00665F87" w:rsidRDefault="00107117" w:rsidP="00665F87">
      <w:pPr>
        <w:rPr>
          <w:szCs w:val="22"/>
          <w:lang w:eastAsia="ar-SA"/>
        </w:rPr>
      </w:pPr>
      <w:r w:rsidRPr="00665F87">
        <w:t xml:space="preserve">hmotnosti a podle toho jim podána dávka, aby se zamezilo </w:t>
      </w:r>
      <w:proofErr w:type="spellStart"/>
      <w:r w:rsidRPr="00665F87">
        <w:t>poddávkování</w:t>
      </w:r>
      <w:proofErr w:type="spellEnd"/>
      <w:r w:rsidRPr="00665F87">
        <w:t xml:space="preserve"> nebo předávkování</w:t>
      </w:r>
      <w:r w:rsidRPr="00665F87">
        <w:rPr>
          <w:szCs w:val="22"/>
          <w:lang w:eastAsia="ar-SA"/>
        </w:rPr>
        <w:t>.</w:t>
      </w:r>
    </w:p>
    <w:p w:rsidR="00107117" w:rsidRPr="00665F87" w:rsidRDefault="00107117" w:rsidP="00107117">
      <w:pPr>
        <w:ind w:left="709"/>
        <w:jc w:val="both"/>
        <w:rPr>
          <w:szCs w:val="22"/>
          <w:lang w:eastAsia="ar-SA"/>
        </w:rPr>
      </w:pPr>
    </w:p>
    <w:p w:rsidR="00107117" w:rsidRDefault="00107117" w:rsidP="00FA32E9">
      <w:pPr>
        <w:rPr>
          <w:szCs w:val="22"/>
          <w:lang w:eastAsia="ar-SA"/>
        </w:rPr>
      </w:pPr>
    </w:p>
    <w:p w:rsidR="00107117" w:rsidRPr="00107117" w:rsidRDefault="00107117" w:rsidP="00FA32E9">
      <w:pPr>
        <w:rPr>
          <w:u w:val="single"/>
        </w:rPr>
      </w:pPr>
    </w:p>
    <w:p w:rsidR="00FA32E9" w:rsidRPr="00F75554" w:rsidRDefault="00FA32E9" w:rsidP="00FA32E9">
      <w:r w:rsidRPr="00F75554">
        <w:rPr>
          <w:b/>
        </w:rPr>
        <w:t>9.</w:t>
      </w:r>
      <w:r w:rsidRPr="00F75554">
        <w:rPr>
          <w:b/>
        </w:rPr>
        <w:tab/>
        <w:t>POKYNY PRO SPRÁVNÉ PODÁNÍ</w:t>
      </w:r>
    </w:p>
    <w:p w:rsidR="00FA32E9" w:rsidRPr="00F75554" w:rsidRDefault="00FA32E9" w:rsidP="00FA32E9"/>
    <w:p w:rsidR="00FA32E9" w:rsidRDefault="00D83E2B" w:rsidP="00FA32E9">
      <w:r>
        <w:t>Nejs</w:t>
      </w:r>
      <w:r w:rsidR="001C0BC4">
        <w:t>ou</w:t>
      </w:r>
    </w:p>
    <w:p w:rsidR="00FA32E9" w:rsidRPr="00F75554" w:rsidRDefault="00FA32E9" w:rsidP="00FA32E9"/>
    <w:p w:rsidR="00FA32E9" w:rsidRPr="00F75554" w:rsidRDefault="00FA32E9" w:rsidP="00FA32E9">
      <w:r w:rsidRPr="00F75554">
        <w:rPr>
          <w:b/>
        </w:rPr>
        <w:t>10.</w:t>
      </w:r>
      <w:r w:rsidRPr="00F75554">
        <w:rPr>
          <w:b/>
        </w:rPr>
        <w:tab/>
        <w:t xml:space="preserve">OCHRANNÁ LHŮTA </w:t>
      </w:r>
    </w:p>
    <w:p w:rsidR="00FA32E9" w:rsidRDefault="00FA32E9" w:rsidP="00FA32E9">
      <w:pPr>
        <w:rPr>
          <w:iCs/>
        </w:rPr>
      </w:pPr>
    </w:p>
    <w:p w:rsidR="001C0BC4" w:rsidRPr="00CE015D" w:rsidRDefault="001C0BC4" w:rsidP="001C0BC4">
      <w:pPr>
        <w:jc w:val="both"/>
        <w:rPr>
          <w:szCs w:val="22"/>
          <w:u w:val="single"/>
        </w:rPr>
      </w:pPr>
      <w:r w:rsidRPr="00CE015D">
        <w:rPr>
          <w:szCs w:val="22"/>
          <w:u w:val="single"/>
        </w:rPr>
        <w:t>Skot:</w:t>
      </w:r>
    </w:p>
    <w:p w:rsidR="001C0BC4" w:rsidRPr="008D2542" w:rsidRDefault="001C0BC4" w:rsidP="001C0BC4">
      <w:pPr>
        <w:jc w:val="both"/>
        <w:outlineLvl w:val="0"/>
        <w:rPr>
          <w:szCs w:val="22"/>
        </w:rPr>
      </w:pPr>
      <w:r w:rsidRPr="008D2542">
        <w:rPr>
          <w:szCs w:val="22"/>
        </w:rPr>
        <w:t>Maso telat: 63 dnů</w:t>
      </w:r>
    </w:p>
    <w:p w:rsidR="001C0BC4" w:rsidRPr="008D2542" w:rsidRDefault="001C0BC4" w:rsidP="001C0BC4">
      <w:pPr>
        <w:jc w:val="both"/>
        <w:rPr>
          <w:szCs w:val="22"/>
        </w:rPr>
      </w:pPr>
      <w:r w:rsidRPr="008D2542">
        <w:rPr>
          <w:szCs w:val="22"/>
        </w:rPr>
        <w:t xml:space="preserve">Mléko: Nepoužívat u laktujících </w:t>
      </w:r>
      <w:r w:rsidR="00B75FE7">
        <w:rPr>
          <w:szCs w:val="22"/>
        </w:rPr>
        <w:t>dojnic, jejichž mléko je určeno</w:t>
      </w:r>
      <w:r w:rsidRPr="008D2542">
        <w:rPr>
          <w:szCs w:val="22"/>
        </w:rPr>
        <w:t xml:space="preserve"> pro lidskou spotřebu.</w:t>
      </w:r>
    </w:p>
    <w:p w:rsidR="001C0BC4" w:rsidRDefault="001C0BC4" w:rsidP="001C0BC4">
      <w:pPr>
        <w:jc w:val="both"/>
        <w:rPr>
          <w:szCs w:val="22"/>
        </w:rPr>
      </w:pPr>
    </w:p>
    <w:p w:rsidR="001C0BC4" w:rsidRPr="00CE015D" w:rsidRDefault="001C0BC4" w:rsidP="001C0BC4">
      <w:pPr>
        <w:jc w:val="both"/>
        <w:rPr>
          <w:szCs w:val="22"/>
          <w:u w:val="single"/>
        </w:rPr>
      </w:pPr>
      <w:r w:rsidRPr="00CE015D">
        <w:rPr>
          <w:szCs w:val="22"/>
          <w:u w:val="single"/>
        </w:rPr>
        <w:lastRenderedPageBreak/>
        <w:t>Selata:</w:t>
      </w:r>
    </w:p>
    <w:p w:rsidR="001C0BC4" w:rsidRPr="00CE015D" w:rsidRDefault="001C0BC4" w:rsidP="001C0BC4">
      <w:pPr>
        <w:jc w:val="both"/>
        <w:rPr>
          <w:szCs w:val="22"/>
        </w:rPr>
      </w:pPr>
      <w:r w:rsidRPr="00CE015D">
        <w:rPr>
          <w:szCs w:val="22"/>
        </w:rPr>
        <w:t>Maso: 77 dnů.</w:t>
      </w:r>
    </w:p>
    <w:p w:rsidR="001C0BC4" w:rsidRPr="00CE015D" w:rsidRDefault="001C0BC4" w:rsidP="001C0BC4">
      <w:pPr>
        <w:ind w:left="1418" w:hanging="851"/>
        <w:jc w:val="both"/>
        <w:rPr>
          <w:szCs w:val="22"/>
          <w:u w:val="single"/>
        </w:rPr>
      </w:pPr>
    </w:p>
    <w:p w:rsidR="001C0BC4" w:rsidRPr="00CE015D" w:rsidRDefault="001C0BC4" w:rsidP="001C0BC4">
      <w:pPr>
        <w:jc w:val="both"/>
        <w:rPr>
          <w:szCs w:val="22"/>
          <w:u w:val="single"/>
        </w:rPr>
      </w:pPr>
      <w:r w:rsidRPr="00CE015D">
        <w:rPr>
          <w:szCs w:val="22"/>
          <w:u w:val="single"/>
        </w:rPr>
        <w:t>Ovce</w:t>
      </w:r>
      <w:r>
        <w:rPr>
          <w:szCs w:val="22"/>
          <w:u w:val="single"/>
        </w:rPr>
        <w:t>:</w:t>
      </w:r>
    </w:p>
    <w:p w:rsidR="001C0BC4" w:rsidRPr="00CE015D" w:rsidRDefault="001C0BC4" w:rsidP="001C0BC4">
      <w:pPr>
        <w:jc w:val="both"/>
        <w:rPr>
          <w:szCs w:val="22"/>
        </w:rPr>
      </w:pPr>
      <w:r w:rsidRPr="00CE015D">
        <w:rPr>
          <w:szCs w:val="22"/>
        </w:rPr>
        <w:t>Maso a vnitřnosti: 42 dní</w:t>
      </w:r>
    </w:p>
    <w:p w:rsidR="001C0BC4" w:rsidRPr="00CE015D" w:rsidRDefault="001C0BC4" w:rsidP="001C0BC4">
      <w:pPr>
        <w:jc w:val="both"/>
        <w:rPr>
          <w:szCs w:val="22"/>
        </w:rPr>
      </w:pPr>
      <w:r w:rsidRPr="00CE015D">
        <w:rPr>
          <w:szCs w:val="22"/>
        </w:rPr>
        <w:t>Není dovoleno používat u dojených ovcí produkujících mléko pro lidskou spotřebu.</w:t>
      </w:r>
    </w:p>
    <w:p w:rsidR="001C0BC4" w:rsidRPr="00F75554" w:rsidRDefault="001C0BC4" w:rsidP="00FA32E9">
      <w:pPr>
        <w:rPr>
          <w:iCs/>
        </w:rPr>
      </w:pPr>
    </w:p>
    <w:p w:rsidR="00FA32E9" w:rsidRPr="00F75554" w:rsidRDefault="00FA32E9" w:rsidP="00FA32E9">
      <w:pPr>
        <w:rPr>
          <w:iCs/>
        </w:rPr>
      </w:pPr>
    </w:p>
    <w:p w:rsidR="00FA32E9" w:rsidRPr="00F75554" w:rsidRDefault="00FA32E9" w:rsidP="00FA32E9">
      <w:r w:rsidRPr="00F75554">
        <w:rPr>
          <w:b/>
        </w:rPr>
        <w:t>11.</w:t>
      </w:r>
      <w:r w:rsidRPr="00F75554">
        <w:rPr>
          <w:b/>
        </w:rPr>
        <w:tab/>
        <w:t>ZVLÁŠTNÍ OPATŘENÍ PRO UCHOVÁVÁNÍ</w:t>
      </w:r>
    </w:p>
    <w:p w:rsidR="00FA32E9" w:rsidRPr="00F75554" w:rsidRDefault="00FA32E9" w:rsidP="00FA32E9"/>
    <w:p w:rsidR="00FA32E9" w:rsidRPr="001C0BC4" w:rsidRDefault="00FA32E9" w:rsidP="001C0BC4">
      <w:r w:rsidRPr="00F75554">
        <w:t>Uchovávat mimo</w:t>
      </w:r>
      <w:r w:rsidR="001C0BC4">
        <w:t xml:space="preserve"> dohled a dosah dětí.</w:t>
      </w:r>
    </w:p>
    <w:p w:rsidR="00FA32E9" w:rsidRPr="001C0BC4" w:rsidRDefault="00FA32E9" w:rsidP="00FA32E9">
      <w:pPr>
        <w:ind w:right="-2"/>
      </w:pPr>
    </w:p>
    <w:p w:rsidR="00FA32E9" w:rsidRDefault="00FA32E9" w:rsidP="00FA32E9">
      <w:pPr>
        <w:ind w:left="0" w:right="-2" w:firstLine="0"/>
      </w:pPr>
      <w:r w:rsidRPr="00F75554">
        <w:t>Nepoužívejte tento veterinární léčivý přípravek po uplynut</w:t>
      </w:r>
      <w:r w:rsidR="001C0BC4">
        <w:t>í doby použitelnost uvedené na etiketě</w:t>
      </w:r>
      <w:r w:rsidR="001C0BC4">
        <w:rPr>
          <w:noProof/>
        </w:rPr>
        <w:t xml:space="preserve">. </w:t>
      </w:r>
      <w:r w:rsidRPr="00F75554">
        <w:t>Doba použitelnosti končí posledním dnem v uvedeném měsíci.</w:t>
      </w:r>
    </w:p>
    <w:p w:rsidR="001C0BC4" w:rsidRPr="00F75554" w:rsidRDefault="001C0BC4" w:rsidP="00FA32E9">
      <w:pPr>
        <w:ind w:left="0" w:right="-2" w:firstLine="0"/>
      </w:pPr>
    </w:p>
    <w:p w:rsidR="00FA32E9" w:rsidRDefault="001C0BC4" w:rsidP="00FA32E9">
      <w:pPr>
        <w:ind w:left="0" w:right="-2" w:firstLine="0"/>
      </w:pPr>
      <w:r w:rsidRPr="00F75554">
        <w:t>Tento veterinární léčivý přípravek nevyžaduje žádné zvláštní podmínky pro uchovávání</w:t>
      </w:r>
      <w:r>
        <w:t>.</w:t>
      </w:r>
    </w:p>
    <w:p w:rsidR="001C0BC4" w:rsidRPr="00F75554" w:rsidRDefault="001C0BC4" w:rsidP="00FA32E9">
      <w:pPr>
        <w:ind w:left="0" w:right="-2" w:firstLine="0"/>
      </w:pPr>
    </w:p>
    <w:p w:rsidR="00FA32E9" w:rsidRPr="00F75554" w:rsidRDefault="00FA32E9" w:rsidP="00FA32E9">
      <w:pPr>
        <w:ind w:left="0" w:right="-2" w:firstLine="0"/>
      </w:pPr>
      <w:r w:rsidRPr="00F75554">
        <w:t>Doba použitelnosti po prvním otevření vnitřního obalu</w:t>
      </w:r>
      <w:r w:rsidR="001C0BC4">
        <w:t>: 6 měsíců.</w:t>
      </w:r>
    </w:p>
    <w:p w:rsidR="00FA32E9" w:rsidRPr="00F75554" w:rsidRDefault="00FA32E9" w:rsidP="00FA32E9"/>
    <w:p w:rsidR="00FA32E9" w:rsidRPr="00F75554" w:rsidRDefault="00FA32E9" w:rsidP="00FA32E9">
      <w:pPr>
        <w:ind w:left="0" w:right="-318" w:firstLine="0"/>
      </w:pPr>
    </w:p>
    <w:p w:rsidR="00FA32E9" w:rsidRPr="00F75554" w:rsidRDefault="00FA32E9" w:rsidP="00FA32E9">
      <w:pPr>
        <w:rPr>
          <w:b/>
        </w:rPr>
      </w:pPr>
      <w:r w:rsidRPr="00F75554">
        <w:rPr>
          <w:b/>
        </w:rPr>
        <w:t>12.</w:t>
      </w:r>
      <w:r w:rsidRPr="00F75554">
        <w:rPr>
          <w:b/>
        </w:rPr>
        <w:tab/>
        <w:t>ZVLÁŠTNÍ UPOZORNĚNÍ</w:t>
      </w:r>
    </w:p>
    <w:p w:rsidR="00FA32E9" w:rsidRPr="00F75554" w:rsidRDefault="00FA32E9" w:rsidP="00FA32E9">
      <w:pPr>
        <w:rPr>
          <w:szCs w:val="22"/>
        </w:rPr>
      </w:pPr>
    </w:p>
    <w:p w:rsidR="00FA32E9" w:rsidRDefault="00FA32E9" w:rsidP="001C0BC4">
      <w:pPr>
        <w:ind w:left="0" w:firstLine="0"/>
        <w:rPr>
          <w:szCs w:val="22"/>
        </w:rPr>
      </w:pPr>
      <w:r w:rsidRPr="00F75554">
        <w:rPr>
          <w:szCs w:val="22"/>
          <w:u w:val="single"/>
        </w:rPr>
        <w:t>Zvláštní opatření pro použití u zvířat:</w:t>
      </w:r>
    </w:p>
    <w:p w:rsidR="001C0BC4" w:rsidRDefault="001C0BC4" w:rsidP="001C0BC4">
      <w:pPr>
        <w:ind w:left="0" w:firstLine="0"/>
        <w:rPr>
          <w:szCs w:val="22"/>
        </w:rPr>
      </w:pPr>
    </w:p>
    <w:p w:rsidR="001C0BC4" w:rsidRDefault="001C0BC4" w:rsidP="00665F87">
      <w:pPr>
        <w:jc w:val="both"/>
        <w:rPr>
          <w:szCs w:val="22"/>
        </w:rPr>
      </w:pPr>
      <w:r w:rsidRPr="00027398">
        <w:rPr>
          <w:szCs w:val="22"/>
        </w:rPr>
        <w:t xml:space="preserve">Jako </w:t>
      </w:r>
      <w:r>
        <w:rPr>
          <w:szCs w:val="22"/>
        </w:rPr>
        <w:t xml:space="preserve">u ostatních </w:t>
      </w:r>
      <w:proofErr w:type="spellStart"/>
      <w:r>
        <w:rPr>
          <w:szCs w:val="22"/>
        </w:rPr>
        <w:t>antiparazitik</w:t>
      </w:r>
      <w:proofErr w:type="spellEnd"/>
      <w:r>
        <w:rPr>
          <w:szCs w:val="22"/>
        </w:rPr>
        <w:t xml:space="preserve"> časté a opakované používání </w:t>
      </w:r>
      <w:proofErr w:type="spellStart"/>
      <w:r>
        <w:rPr>
          <w:szCs w:val="22"/>
        </w:rPr>
        <w:t>antiprotozootik</w:t>
      </w:r>
      <w:proofErr w:type="spellEnd"/>
      <w:r>
        <w:rPr>
          <w:szCs w:val="22"/>
        </w:rPr>
        <w:t xml:space="preserve"> stejné třídy může vést </w:t>
      </w:r>
      <w:proofErr w:type="gramStart"/>
      <w:r>
        <w:rPr>
          <w:szCs w:val="22"/>
        </w:rPr>
        <w:t>ke</w:t>
      </w:r>
      <w:proofErr w:type="gramEnd"/>
      <w:r>
        <w:rPr>
          <w:szCs w:val="22"/>
        </w:rPr>
        <w:t xml:space="preserve"> </w:t>
      </w:r>
    </w:p>
    <w:p w:rsidR="001C0BC4" w:rsidRDefault="001C0BC4" w:rsidP="00665F87">
      <w:pPr>
        <w:jc w:val="both"/>
        <w:rPr>
          <w:szCs w:val="22"/>
        </w:rPr>
      </w:pPr>
      <w:r>
        <w:rPr>
          <w:szCs w:val="22"/>
        </w:rPr>
        <w:t>vzniku rezistence.</w:t>
      </w:r>
    </w:p>
    <w:p w:rsidR="001C0BC4" w:rsidRDefault="001C0BC4" w:rsidP="001C0BC4">
      <w:pPr>
        <w:ind w:left="709"/>
        <w:jc w:val="both"/>
        <w:rPr>
          <w:szCs w:val="22"/>
        </w:rPr>
      </w:pPr>
    </w:p>
    <w:p w:rsidR="001C0BC4" w:rsidRDefault="001C0BC4" w:rsidP="001C0BC4">
      <w:pPr>
        <w:spacing w:line="260" w:lineRule="exact"/>
        <w:jc w:val="both"/>
        <w:rPr>
          <w:szCs w:val="22"/>
          <w:lang w:eastAsia="ar-SA"/>
        </w:rPr>
      </w:pPr>
      <w:r>
        <w:rPr>
          <w:szCs w:val="22"/>
          <w:lang w:eastAsia="ar-SA"/>
        </w:rPr>
        <w:t>D</w:t>
      </w:r>
      <w:r w:rsidRPr="008D2542">
        <w:rPr>
          <w:szCs w:val="22"/>
          <w:lang w:eastAsia="ar-SA"/>
        </w:rPr>
        <w:t xml:space="preserve">oporučuje se ošetřit všechna telata </w:t>
      </w:r>
      <w:r>
        <w:rPr>
          <w:szCs w:val="22"/>
          <w:lang w:eastAsia="ar-SA"/>
        </w:rPr>
        <w:t>v kotci.</w:t>
      </w:r>
    </w:p>
    <w:p w:rsidR="001C0BC4" w:rsidRPr="008D2542" w:rsidRDefault="001C0BC4" w:rsidP="001C0BC4">
      <w:pPr>
        <w:spacing w:line="260" w:lineRule="exact"/>
        <w:jc w:val="both"/>
        <w:rPr>
          <w:szCs w:val="22"/>
          <w:lang w:eastAsia="ar-SA"/>
        </w:rPr>
      </w:pPr>
    </w:p>
    <w:p w:rsidR="001C0BC4" w:rsidRDefault="001C0BC4" w:rsidP="001C0BC4">
      <w:pPr>
        <w:spacing w:line="260" w:lineRule="exact"/>
        <w:jc w:val="both"/>
        <w:rPr>
          <w:szCs w:val="22"/>
          <w:lang w:eastAsia="ar-SA"/>
        </w:rPr>
      </w:pPr>
      <w:r>
        <w:rPr>
          <w:szCs w:val="22"/>
          <w:lang w:eastAsia="ar-SA"/>
        </w:rPr>
        <w:t>H</w:t>
      </w:r>
      <w:r w:rsidRPr="008D2542">
        <w:rPr>
          <w:szCs w:val="22"/>
          <w:lang w:eastAsia="ar-SA"/>
        </w:rPr>
        <w:t xml:space="preserve">ygienická opatření mohou redukovat riziko bovinní kokcidiózy. Proto se doporučuje souběžně </w:t>
      </w:r>
    </w:p>
    <w:p w:rsidR="001C0BC4" w:rsidRDefault="001C0BC4" w:rsidP="001C0BC4">
      <w:pPr>
        <w:spacing w:line="260" w:lineRule="exact"/>
        <w:jc w:val="both"/>
        <w:rPr>
          <w:szCs w:val="22"/>
          <w:lang w:eastAsia="ar-SA"/>
        </w:rPr>
      </w:pPr>
      <w:r w:rsidRPr="008D2542">
        <w:rPr>
          <w:szCs w:val="22"/>
          <w:lang w:eastAsia="ar-SA"/>
        </w:rPr>
        <w:t xml:space="preserve">zlepšit hygienické podmínky ve stáji, především dbát na sucho a čistotu, </w:t>
      </w:r>
    </w:p>
    <w:p w:rsidR="001C0BC4" w:rsidRDefault="001C0BC4" w:rsidP="001C0BC4">
      <w:pPr>
        <w:spacing w:line="260" w:lineRule="exact"/>
        <w:jc w:val="both"/>
        <w:rPr>
          <w:szCs w:val="22"/>
          <w:lang w:eastAsia="ar-SA"/>
        </w:rPr>
      </w:pPr>
    </w:p>
    <w:p w:rsidR="001C0BC4" w:rsidRDefault="001C0BC4" w:rsidP="001C0BC4">
      <w:pPr>
        <w:jc w:val="both"/>
        <w:rPr>
          <w:szCs w:val="22"/>
          <w:lang w:eastAsia="ar-SA"/>
        </w:rPr>
      </w:pPr>
      <w:r>
        <w:rPr>
          <w:szCs w:val="22"/>
          <w:lang w:eastAsia="ar-SA"/>
        </w:rPr>
        <w:t>K</w:t>
      </w:r>
      <w:r w:rsidRPr="008D2542">
        <w:rPr>
          <w:szCs w:val="22"/>
          <w:lang w:eastAsia="ar-SA"/>
        </w:rPr>
        <w:t xml:space="preserve"> dosažení maximálního přínosu by se zvířata měla ošetřit před očekávaným počátkem klinických </w:t>
      </w:r>
    </w:p>
    <w:p w:rsidR="001C0BC4" w:rsidRDefault="001C0BC4" w:rsidP="001C0BC4">
      <w:pPr>
        <w:jc w:val="both"/>
        <w:rPr>
          <w:szCs w:val="22"/>
          <w:lang w:eastAsia="ar-SA"/>
        </w:rPr>
      </w:pPr>
      <w:r w:rsidRPr="008D2542">
        <w:rPr>
          <w:szCs w:val="22"/>
          <w:lang w:eastAsia="ar-SA"/>
        </w:rPr>
        <w:t>příznaků, tj. v </w:t>
      </w:r>
      <w:proofErr w:type="spellStart"/>
      <w:r w:rsidRPr="008D2542">
        <w:rPr>
          <w:szCs w:val="22"/>
          <w:lang w:eastAsia="ar-SA"/>
        </w:rPr>
        <w:t>prepatentní</w:t>
      </w:r>
      <w:proofErr w:type="spellEnd"/>
      <w:r w:rsidRPr="008D2542">
        <w:rPr>
          <w:szCs w:val="22"/>
          <w:lang w:eastAsia="ar-SA"/>
        </w:rPr>
        <w:t xml:space="preserve"> periodě.</w:t>
      </w:r>
    </w:p>
    <w:p w:rsidR="001C0BC4" w:rsidRDefault="001C0BC4" w:rsidP="001C0BC4">
      <w:pPr>
        <w:jc w:val="both"/>
        <w:rPr>
          <w:szCs w:val="22"/>
          <w:lang w:eastAsia="ar-SA"/>
        </w:rPr>
      </w:pPr>
    </w:p>
    <w:p w:rsidR="001C0BC4" w:rsidRDefault="001C0BC4" w:rsidP="001C0BC4">
      <w:pPr>
        <w:spacing w:line="260" w:lineRule="exact"/>
        <w:jc w:val="both"/>
        <w:rPr>
          <w:szCs w:val="22"/>
          <w:lang w:eastAsia="ar-SA"/>
        </w:rPr>
      </w:pPr>
      <w:r>
        <w:rPr>
          <w:szCs w:val="22"/>
          <w:lang w:eastAsia="ar-SA"/>
        </w:rPr>
        <w:t>K</w:t>
      </w:r>
      <w:r w:rsidRPr="008D2542">
        <w:rPr>
          <w:szCs w:val="22"/>
          <w:lang w:eastAsia="ar-SA"/>
        </w:rPr>
        <w:t>linická kokcidióza projevující se u jednotlivých zvířat průjmem může vyžadovat podpůrnou terapii.</w:t>
      </w:r>
    </w:p>
    <w:p w:rsidR="001C0BC4" w:rsidRDefault="001C0BC4" w:rsidP="001C0BC4">
      <w:pPr>
        <w:ind w:left="709"/>
        <w:jc w:val="both"/>
        <w:rPr>
          <w:szCs w:val="22"/>
        </w:rPr>
      </w:pPr>
    </w:p>
    <w:p w:rsidR="001C0BC4" w:rsidRPr="00F75554" w:rsidRDefault="001C0BC4" w:rsidP="001C0BC4">
      <w:pPr>
        <w:ind w:left="0" w:firstLine="0"/>
        <w:rPr>
          <w:szCs w:val="22"/>
        </w:rPr>
      </w:pPr>
    </w:p>
    <w:p w:rsidR="00FA32E9" w:rsidRDefault="00FA32E9" w:rsidP="001C0BC4">
      <w:pPr>
        <w:ind w:left="0" w:firstLine="0"/>
        <w:rPr>
          <w:szCs w:val="22"/>
        </w:rPr>
      </w:pPr>
      <w:r w:rsidRPr="00F75554">
        <w:rPr>
          <w:szCs w:val="22"/>
          <w:u w:val="single"/>
        </w:rPr>
        <w:t>Zvláštní opatření určené osobám, které podávají veterinární léčivý přípravek zvířatům</w:t>
      </w:r>
      <w:r w:rsidR="001C0BC4">
        <w:rPr>
          <w:szCs w:val="22"/>
        </w:rPr>
        <w:t>:</w:t>
      </w:r>
    </w:p>
    <w:p w:rsidR="001C0BC4" w:rsidRDefault="001C0BC4" w:rsidP="001C0BC4">
      <w:pPr>
        <w:ind w:left="0" w:firstLine="0"/>
        <w:rPr>
          <w:szCs w:val="22"/>
        </w:rPr>
      </w:pPr>
    </w:p>
    <w:p w:rsidR="001C0BC4" w:rsidRDefault="001C0BC4" w:rsidP="00665F87">
      <w:pPr>
        <w:tabs>
          <w:tab w:val="left" w:pos="709"/>
        </w:tabs>
        <w:jc w:val="both"/>
        <w:rPr>
          <w:szCs w:val="22"/>
        </w:rPr>
      </w:pPr>
      <w:r>
        <w:rPr>
          <w:szCs w:val="22"/>
        </w:rPr>
        <w:t>Lidé se známou přecitlivělostí na léčivou látku nebo na některou z pomocných látek by se měli vyhnout kontaktu s</w:t>
      </w:r>
      <w:r w:rsidR="00710264">
        <w:rPr>
          <w:szCs w:val="22"/>
        </w:rPr>
        <w:t> veterinárním léčivým přípravkem</w:t>
      </w:r>
      <w:r>
        <w:rPr>
          <w:szCs w:val="22"/>
        </w:rPr>
        <w:t>.</w:t>
      </w:r>
    </w:p>
    <w:p w:rsidR="00710264" w:rsidRPr="00710264" w:rsidRDefault="00710264" w:rsidP="00DD4194">
      <w:pPr>
        <w:tabs>
          <w:tab w:val="left" w:pos="709"/>
        </w:tabs>
        <w:ind w:left="0" w:firstLine="0"/>
        <w:jc w:val="both"/>
        <w:rPr>
          <w:szCs w:val="22"/>
        </w:rPr>
      </w:pPr>
      <w:r w:rsidRPr="00710264">
        <w:rPr>
          <w:szCs w:val="22"/>
        </w:rPr>
        <w:t>Zabraňte kontaktu přípravku s kůží a očima.</w:t>
      </w:r>
      <w:r>
        <w:rPr>
          <w:szCs w:val="22"/>
        </w:rPr>
        <w:t xml:space="preserve"> </w:t>
      </w:r>
      <w:r w:rsidRPr="00710264">
        <w:rPr>
          <w:szCs w:val="22"/>
        </w:rPr>
        <w:t xml:space="preserve">V případě náhodného potřísnění pokožky nebo zasažení očí ihned opláchněte vodou. </w:t>
      </w:r>
    </w:p>
    <w:p w:rsidR="00710264" w:rsidRDefault="00710264" w:rsidP="001C0BC4">
      <w:pPr>
        <w:ind w:left="0" w:firstLine="0"/>
        <w:rPr>
          <w:szCs w:val="22"/>
        </w:rPr>
      </w:pPr>
      <w:r w:rsidRPr="00710264">
        <w:rPr>
          <w:szCs w:val="22"/>
        </w:rPr>
        <w:t>Při nakládání s veterinárním léčivým přípravkem nejezte, nepijte a nekuřte.</w:t>
      </w:r>
    </w:p>
    <w:p w:rsidR="001C0BC4" w:rsidRPr="00F75554" w:rsidRDefault="001C0BC4" w:rsidP="001C0BC4">
      <w:pPr>
        <w:ind w:left="0" w:firstLine="0"/>
        <w:rPr>
          <w:szCs w:val="22"/>
        </w:rPr>
      </w:pPr>
    </w:p>
    <w:p w:rsidR="00FA32E9" w:rsidRDefault="001C0BC4" w:rsidP="00FA32E9">
      <w:pPr>
        <w:rPr>
          <w:szCs w:val="22"/>
          <w:u w:val="single"/>
        </w:rPr>
      </w:pPr>
      <w:r w:rsidRPr="001C0BC4">
        <w:rPr>
          <w:szCs w:val="22"/>
          <w:u w:val="single"/>
        </w:rPr>
        <w:t>Další opatření:</w:t>
      </w:r>
    </w:p>
    <w:p w:rsidR="001C0BC4" w:rsidRDefault="001C0BC4" w:rsidP="00FA32E9">
      <w:pPr>
        <w:rPr>
          <w:szCs w:val="22"/>
          <w:u w:val="single"/>
        </w:rPr>
      </w:pPr>
    </w:p>
    <w:p w:rsidR="001C0BC4" w:rsidRDefault="001C0BC4" w:rsidP="00665F87">
      <w:pPr>
        <w:jc w:val="both"/>
        <w:rPr>
          <w:szCs w:val="22"/>
          <w:lang w:eastAsia="ar-SA"/>
        </w:rPr>
      </w:pPr>
      <w:r w:rsidRPr="008D2542">
        <w:rPr>
          <w:szCs w:val="22"/>
        </w:rPr>
        <w:t xml:space="preserve">Hlavní metabolit toltrazurilu, toltrazuril sulfone (ponazuril), </w:t>
      </w:r>
      <w:r>
        <w:rPr>
          <w:szCs w:val="22"/>
        </w:rPr>
        <w:t xml:space="preserve">vykazuje jak </w:t>
      </w:r>
      <w:r w:rsidR="00E3100C">
        <w:rPr>
          <w:szCs w:val="22"/>
        </w:rPr>
        <w:t xml:space="preserve">velkou </w:t>
      </w:r>
      <w:r>
        <w:rPr>
          <w:szCs w:val="22"/>
        </w:rPr>
        <w:t xml:space="preserve">perzistenci </w:t>
      </w:r>
      <w:r w:rsidRPr="008D2542">
        <w:rPr>
          <w:szCs w:val="22"/>
          <w:lang w:eastAsia="ar-SA"/>
        </w:rPr>
        <w:t>(poločas rozkladu &gt;</w:t>
      </w:r>
      <w:r w:rsidR="00710264">
        <w:rPr>
          <w:szCs w:val="22"/>
          <w:lang w:eastAsia="ar-SA"/>
        </w:rPr>
        <w:t xml:space="preserve"> </w:t>
      </w:r>
      <w:r w:rsidR="00E3100C">
        <w:rPr>
          <w:szCs w:val="22"/>
          <w:lang w:eastAsia="ar-SA"/>
        </w:rPr>
        <w:t>ca</w:t>
      </w:r>
      <w:r w:rsidRPr="008D2542">
        <w:rPr>
          <w:szCs w:val="22"/>
          <w:lang w:eastAsia="ar-SA"/>
        </w:rPr>
        <w:t xml:space="preserve"> 1 rok)</w:t>
      </w:r>
      <w:r>
        <w:rPr>
          <w:szCs w:val="22"/>
          <w:lang w:eastAsia="ar-SA"/>
        </w:rPr>
        <w:t xml:space="preserve"> </w:t>
      </w:r>
      <w:r w:rsidR="00710264">
        <w:rPr>
          <w:szCs w:val="22"/>
        </w:rPr>
        <w:t xml:space="preserve">a </w:t>
      </w:r>
      <w:r>
        <w:rPr>
          <w:szCs w:val="22"/>
        </w:rPr>
        <w:t xml:space="preserve">mobilitu </w:t>
      </w:r>
      <w:r w:rsidRPr="008D2542">
        <w:rPr>
          <w:szCs w:val="22"/>
          <w:lang w:eastAsia="ar-SA"/>
        </w:rPr>
        <w:t>v</w:t>
      </w:r>
      <w:r w:rsidR="00710264">
        <w:rPr>
          <w:szCs w:val="22"/>
          <w:lang w:eastAsia="ar-SA"/>
        </w:rPr>
        <w:t> </w:t>
      </w:r>
      <w:r w:rsidRPr="008D2542">
        <w:rPr>
          <w:szCs w:val="22"/>
          <w:lang w:eastAsia="ar-SA"/>
        </w:rPr>
        <w:t>půdě</w:t>
      </w:r>
      <w:r w:rsidR="00710264">
        <w:rPr>
          <w:szCs w:val="22"/>
          <w:lang w:eastAsia="ar-SA"/>
        </w:rPr>
        <w:t xml:space="preserve">, tak </w:t>
      </w:r>
      <w:r>
        <w:rPr>
          <w:szCs w:val="22"/>
          <w:lang w:eastAsia="ar-SA"/>
        </w:rPr>
        <w:t>toxic</w:t>
      </w:r>
      <w:r w:rsidR="00710264">
        <w:rPr>
          <w:szCs w:val="22"/>
          <w:lang w:eastAsia="ar-SA"/>
        </w:rPr>
        <w:t>itu</w:t>
      </w:r>
      <w:r>
        <w:rPr>
          <w:szCs w:val="22"/>
          <w:lang w:eastAsia="ar-SA"/>
        </w:rPr>
        <w:t xml:space="preserve"> pro</w:t>
      </w:r>
      <w:r w:rsidRPr="008D2542">
        <w:rPr>
          <w:szCs w:val="22"/>
          <w:lang w:eastAsia="ar-SA"/>
        </w:rPr>
        <w:t xml:space="preserve"> rostliny</w:t>
      </w:r>
      <w:r w:rsidR="002E5357" w:rsidRPr="002E5357">
        <w:rPr>
          <w:szCs w:val="22"/>
          <w:lang w:eastAsia="ar-SA"/>
        </w:rPr>
        <w:t xml:space="preserve"> </w:t>
      </w:r>
      <w:r w:rsidR="002E5357">
        <w:rPr>
          <w:szCs w:val="22"/>
          <w:lang w:eastAsia="ar-SA"/>
        </w:rPr>
        <w:t>včetně plodin</w:t>
      </w:r>
      <w:r w:rsidRPr="008D2542">
        <w:rPr>
          <w:szCs w:val="22"/>
          <w:lang w:eastAsia="ar-SA"/>
        </w:rPr>
        <w:t>.</w:t>
      </w:r>
    </w:p>
    <w:p w:rsidR="001C0BC4" w:rsidRDefault="001C0BC4" w:rsidP="001C0BC4">
      <w:pPr>
        <w:ind w:left="709"/>
        <w:jc w:val="both"/>
        <w:rPr>
          <w:szCs w:val="22"/>
          <w:u w:val="single"/>
          <w:lang w:eastAsia="ar-SA"/>
        </w:rPr>
      </w:pPr>
    </w:p>
    <w:p w:rsidR="001C0BC4" w:rsidRDefault="002E5357" w:rsidP="00DD4194">
      <w:pPr>
        <w:ind w:left="0" w:firstLine="0"/>
        <w:jc w:val="both"/>
        <w:rPr>
          <w:szCs w:val="22"/>
          <w:lang w:eastAsia="ar-SA"/>
        </w:rPr>
      </w:pPr>
      <w:r>
        <w:rPr>
          <w:szCs w:val="22"/>
          <w:lang w:eastAsia="ar-SA"/>
        </w:rPr>
        <w:t>Vzhledem k uvedeným environmentálním důvodům platí pro používání následující omezení:</w:t>
      </w:r>
    </w:p>
    <w:p w:rsidR="00000949" w:rsidRPr="00CE015D" w:rsidRDefault="00000949" w:rsidP="001C0BC4">
      <w:pPr>
        <w:ind w:left="709"/>
        <w:jc w:val="both"/>
        <w:rPr>
          <w:szCs w:val="22"/>
          <w:lang w:eastAsia="ar-SA"/>
        </w:rPr>
      </w:pPr>
    </w:p>
    <w:p w:rsidR="00445187" w:rsidRDefault="001C0BC4" w:rsidP="00445187">
      <w:pPr>
        <w:jc w:val="both"/>
        <w:rPr>
          <w:szCs w:val="22"/>
          <w:lang w:eastAsia="ar-SA"/>
        </w:rPr>
      </w:pPr>
      <w:r w:rsidRPr="00CE015D">
        <w:rPr>
          <w:szCs w:val="22"/>
          <w:u w:val="single"/>
          <w:lang w:eastAsia="ar-SA"/>
        </w:rPr>
        <w:t>Skot</w:t>
      </w:r>
      <w:r>
        <w:rPr>
          <w:szCs w:val="22"/>
          <w:lang w:eastAsia="ar-SA"/>
        </w:rPr>
        <w:t xml:space="preserve">: </w:t>
      </w:r>
    </w:p>
    <w:p w:rsidR="00445187" w:rsidRDefault="00445187" w:rsidP="00445187">
      <w:pPr>
        <w:jc w:val="both"/>
        <w:rPr>
          <w:szCs w:val="22"/>
          <w:lang w:eastAsia="ar-SA"/>
        </w:rPr>
      </w:pPr>
    </w:p>
    <w:p w:rsidR="00445187" w:rsidRDefault="00445187" w:rsidP="00DD4194">
      <w:pPr>
        <w:ind w:left="0" w:firstLine="0"/>
        <w:jc w:val="both"/>
        <w:rPr>
          <w:szCs w:val="22"/>
          <w:lang w:eastAsia="ar-SA"/>
        </w:rPr>
      </w:pPr>
    </w:p>
    <w:p w:rsidR="002E5357" w:rsidRDefault="002E5357" w:rsidP="00665F87">
      <w:pPr>
        <w:jc w:val="both"/>
        <w:rPr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670"/>
      </w:tblGrid>
      <w:tr w:rsidR="002E5357" w:rsidRPr="00C60435" w:rsidTr="00DD4194">
        <w:tc>
          <w:tcPr>
            <w:tcW w:w="3227" w:type="dxa"/>
            <w:shd w:val="clear" w:color="auto" w:fill="auto"/>
          </w:tcPr>
          <w:p w:rsidR="002E5357" w:rsidRPr="00C60435" w:rsidRDefault="00445187" w:rsidP="00B226E2">
            <w:pPr>
              <w:jc w:val="both"/>
              <w:rPr>
                <w:szCs w:val="22"/>
                <w:lang w:eastAsia="ar-SA"/>
              </w:rPr>
            </w:pPr>
            <w:r w:rsidRPr="005F0840">
              <w:rPr>
                <w:szCs w:val="22"/>
                <w:lang w:eastAsia="ar-SA"/>
              </w:rPr>
              <w:t>Telata určená k jatečným účelům</w:t>
            </w:r>
            <w:r w:rsidRPr="00C60435" w:rsidDel="00445187">
              <w:rPr>
                <w:szCs w:val="22"/>
                <w:lang w:eastAsia="ar-SA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2E5357" w:rsidRPr="00C60435" w:rsidRDefault="00445187" w:rsidP="00B226E2">
            <w:pPr>
              <w:jc w:val="both"/>
              <w:rPr>
                <w:szCs w:val="22"/>
                <w:lang w:eastAsia="ar-SA"/>
              </w:rPr>
            </w:pPr>
            <w:r w:rsidRPr="005F0840">
              <w:rPr>
                <w:szCs w:val="22"/>
                <w:lang w:eastAsia="ar-SA"/>
              </w:rPr>
              <w:t>Není určen k použití u telat určených k jatečným účelům</w:t>
            </w:r>
            <w:r w:rsidRPr="00C60435" w:rsidDel="00445187">
              <w:rPr>
                <w:szCs w:val="22"/>
                <w:lang w:eastAsia="ar-SA"/>
              </w:rPr>
              <w:t xml:space="preserve"> </w:t>
            </w:r>
          </w:p>
        </w:tc>
      </w:tr>
      <w:tr w:rsidR="002E5357" w:rsidRPr="00C60435" w:rsidTr="00DD4194">
        <w:tc>
          <w:tcPr>
            <w:tcW w:w="3227" w:type="dxa"/>
            <w:shd w:val="clear" w:color="auto" w:fill="auto"/>
          </w:tcPr>
          <w:p w:rsidR="002E5357" w:rsidRPr="00C60435" w:rsidRDefault="00445187" w:rsidP="00DD4194">
            <w:pPr>
              <w:ind w:left="0" w:firstLine="0"/>
              <w:jc w:val="both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 xml:space="preserve">Telata mléčných plemen skotu, která nejsou určena k jatečným účelům </w:t>
            </w:r>
          </w:p>
        </w:tc>
        <w:tc>
          <w:tcPr>
            <w:tcW w:w="5670" w:type="dxa"/>
            <w:shd w:val="clear" w:color="auto" w:fill="auto"/>
          </w:tcPr>
          <w:p w:rsidR="002E5357" w:rsidRPr="00C60435" w:rsidRDefault="002E5357" w:rsidP="00445187">
            <w:pPr>
              <w:ind w:left="34" w:hanging="34"/>
              <w:jc w:val="both"/>
              <w:rPr>
                <w:szCs w:val="22"/>
              </w:rPr>
            </w:pPr>
            <w:r w:rsidRPr="00C60435">
              <w:rPr>
                <w:szCs w:val="22"/>
              </w:rPr>
              <w:t>Nepodávejte telatům mléčných plemen</w:t>
            </w:r>
            <w:r w:rsidR="00445187">
              <w:rPr>
                <w:szCs w:val="22"/>
              </w:rPr>
              <w:t xml:space="preserve"> skotu</w:t>
            </w:r>
            <w:r w:rsidRPr="00C60435">
              <w:rPr>
                <w:szCs w:val="22"/>
              </w:rPr>
              <w:t xml:space="preserve">, vážícím </w:t>
            </w:r>
            <w:r w:rsidR="00837B5B">
              <w:rPr>
                <w:szCs w:val="22"/>
              </w:rPr>
              <w:t>více než 80</w:t>
            </w:r>
            <w:r w:rsidRPr="00C60435">
              <w:rPr>
                <w:szCs w:val="22"/>
              </w:rPr>
              <w:t>kg.</w:t>
            </w:r>
          </w:p>
          <w:p w:rsidR="002E5357" w:rsidRPr="00C60435" w:rsidRDefault="00445187" w:rsidP="00DD4194">
            <w:pPr>
              <w:ind w:left="0" w:firstLine="0"/>
              <w:rPr>
                <w:szCs w:val="22"/>
                <w:lang w:eastAsia="ar-SA"/>
              </w:rPr>
            </w:pPr>
            <w:r>
              <w:rPr>
                <w:color w:val="000000"/>
              </w:rPr>
              <w:t>T</w:t>
            </w:r>
            <w:r w:rsidRPr="005F0840">
              <w:rPr>
                <w:color w:val="000000"/>
              </w:rPr>
              <w:t>elata</w:t>
            </w:r>
            <w:r>
              <w:rPr>
                <w:color w:val="000000"/>
              </w:rPr>
              <w:t xml:space="preserve"> mléčných plemen skotu</w:t>
            </w:r>
            <w:r w:rsidR="002E5357" w:rsidRPr="00DD4194">
              <w:rPr>
                <w:color w:val="000000"/>
              </w:rPr>
              <w:t xml:space="preserve">: </w:t>
            </w:r>
            <w:r w:rsidR="002E5357" w:rsidRPr="00C60435">
              <w:rPr>
                <w:color w:val="000000"/>
              </w:rPr>
              <w:t>Aby se zabránilo vzniku nežádoucích účinků na rostliny</w:t>
            </w:r>
            <w:r w:rsidR="00710264">
              <w:rPr>
                <w:color w:val="000000"/>
              </w:rPr>
              <w:t xml:space="preserve"> a možné</w:t>
            </w:r>
            <w:r w:rsidR="002E5357" w:rsidRPr="00C60435">
              <w:rPr>
                <w:color w:val="000000"/>
              </w:rPr>
              <w:t xml:space="preserve"> kontaminaci podzemních vod, nesmí se hnůj od ošetřovaných telat rozmet</w:t>
            </w:r>
            <w:r w:rsidR="00710264">
              <w:rPr>
                <w:color w:val="000000"/>
              </w:rPr>
              <w:t>ávat</w:t>
            </w:r>
            <w:r w:rsidR="002E5357" w:rsidRPr="00C60435">
              <w:rPr>
                <w:color w:val="000000"/>
              </w:rPr>
              <w:t xml:space="preserve"> na půdu bez naředění hnojem od neošetřovaných krav. Před</w:t>
            </w:r>
            <w:r w:rsidR="00710264">
              <w:rPr>
                <w:color w:val="000000"/>
              </w:rPr>
              <w:t xml:space="preserve"> </w:t>
            </w:r>
            <w:r w:rsidR="002E5357" w:rsidRPr="00C60435">
              <w:rPr>
                <w:color w:val="000000"/>
              </w:rPr>
              <w:t>rozmet</w:t>
            </w:r>
            <w:r w:rsidR="00710264">
              <w:rPr>
                <w:color w:val="000000"/>
              </w:rPr>
              <w:t xml:space="preserve">áním </w:t>
            </w:r>
            <w:r w:rsidR="002E5357" w:rsidRPr="00C60435">
              <w:rPr>
                <w:color w:val="000000"/>
              </w:rPr>
              <w:t>na půdu se hnůj od ošetřovaných telat musí naředit nejméně trojnásobnou hmotností hnoje od dospělých krav.</w:t>
            </w:r>
          </w:p>
        </w:tc>
      </w:tr>
      <w:tr w:rsidR="002E5357" w:rsidRPr="00C60435" w:rsidTr="00DD4194">
        <w:tc>
          <w:tcPr>
            <w:tcW w:w="3227" w:type="dxa"/>
            <w:shd w:val="clear" w:color="auto" w:fill="auto"/>
          </w:tcPr>
          <w:p w:rsidR="002E5357" w:rsidRPr="00C60435" w:rsidRDefault="002E5357" w:rsidP="00DD4194">
            <w:pPr>
              <w:ind w:left="0" w:firstLine="0"/>
              <w:jc w:val="both"/>
              <w:rPr>
                <w:szCs w:val="22"/>
                <w:lang w:eastAsia="ar-SA"/>
              </w:rPr>
            </w:pPr>
            <w:r w:rsidRPr="00C60435">
              <w:rPr>
                <w:szCs w:val="22"/>
                <w:lang w:eastAsia="ar-SA"/>
              </w:rPr>
              <w:t>Telata masných plemen</w:t>
            </w:r>
            <w:r w:rsidR="00445187">
              <w:rPr>
                <w:szCs w:val="22"/>
                <w:lang w:eastAsia="ar-SA"/>
              </w:rPr>
              <w:t xml:space="preserve"> skotu určených k chovu</w:t>
            </w:r>
          </w:p>
        </w:tc>
        <w:tc>
          <w:tcPr>
            <w:tcW w:w="5670" w:type="dxa"/>
            <w:shd w:val="clear" w:color="auto" w:fill="auto"/>
          </w:tcPr>
          <w:p w:rsidR="002E5357" w:rsidRPr="00C60435" w:rsidRDefault="00445187" w:rsidP="00DD4194">
            <w:pPr>
              <w:ind w:left="0" w:firstLine="0"/>
              <w:rPr>
                <w:szCs w:val="22"/>
                <w:lang w:eastAsia="ar-SA"/>
              </w:rPr>
            </w:pPr>
            <w:r w:rsidRPr="005F0840">
              <w:rPr>
                <w:szCs w:val="22"/>
              </w:rPr>
              <w:t xml:space="preserve">Nepodávejte telatům masných plemen </w:t>
            </w:r>
            <w:r>
              <w:rPr>
                <w:szCs w:val="22"/>
              </w:rPr>
              <w:t xml:space="preserve">skotu určených </w:t>
            </w:r>
            <w:r w:rsidRPr="005F0840">
              <w:rPr>
                <w:szCs w:val="22"/>
              </w:rPr>
              <w:t>k chovu vážícím více než 150 kg.</w:t>
            </w:r>
          </w:p>
        </w:tc>
      </w:tr>
      <w:tr w:rsidR="002E5357" w:rsidRPr="00C60435" w:rsidTr="00DD4194">
        <w:tc>
          <w:tcPr>
            <w:tcW w:w="3227" w:type="dxa"/>
            <w:shd w:val="clear" w:color="auto" w:fill="auto"/>
          </w:tcPr>
          <w:p w:rsidR="002E5357" w:rsidRPr="00C60435" w:rsidRDefault="00445187" w:rsidP="00DD4194">
            <w:pPr>
              <w:ind w:left="0" w:firstLine="0"/>
              <w:jc w:val="both"/>
              <w:rPr>
                <w:szCs w:val="22"/>
                <w:lang w:eastAsia="ar-SA"/>
              </w:rPr>
            </w:pPr>
            <w:r>
              <w:rPr>
                <w:szCs w:val="22"/>
                <w:lang w:eastAsia="ar-SA"/>
              </w:rPr>
              <w:t>Býčci určení</w:t>
            </w:r>
            <w:r w:rsidR="002E5357" w:rsidRPr="00C60435">
              <w:rPr>
                <w:szCs w:val="22"/>
                <w:lang w:eastAsia="ar-SA"/>
              </w:rPr>
              <w:t xml:space="preserve"> k jatečným účelům</w:t>
            </w:r>
          </w:p>
        </w:tc>
        <w:tc>
          <w:tcPr>
            <w:tcW w:w="5670" w:type="dxa"/>
            <w:shd w:val="clear" w:color="auto" w:fill="auto"/>
          </w:tcPr>
          <w:p w:rsidR="00445187" w:rsidRPr="005F0840" w:rsidRDefault="00445187" w:rsidP="00445187">
            <w:pPr>
              <w:ind w:left="0" w:firstLine="0"/>
              <w:jc w:val="both"/>
              <w:rPr>
                <w:szCs w:val="22"/>
              </w:rPr>
            </w:pPr>
            <w:r w:rsidRPr="005F0840">
              <w:rPr>
                <w:szCs w:val="22"/>
              </w:rPr>
              <w:t>Není určen</w:t>
            </w:r>
            <w:r>
              <w:rPr>
                <w:szCs w:val="22"/>
              </w:rPr>
              <w:t>o</w:t>
            </w:r>
            <w:r w:rsidRPr="005F0840">
              <w:rPr>
                <w:szCs w:val="22"/>
              </w:rPr>
              <w:t xml:space="preserve"> k léč</w:t>
            </w:r>
            <w:r>
              <w:rPr>
                <w:szCs w:val="22"/>
              </w:rPr>
              <w:t>bě</w:t>
            </w:r>
            <w:r w:rsidRPr="005F0840">
              <w:rPr>
                <w:szCs w:val="22"/>
              </w:rPr>
              <w:t xml:space="preserve"> telat </w:t>
            </w:r>
            <w:r>
              <w:rPr>
                <w:szCs w:val="22"/>
              </w:rPr>
              <w:t xml:space="preserve">určených </w:t>
            </w:r>
            <w:r w:rsidRPr="005F0840">
              <w:rPr>
                <w:szCs w:val="22"/>
              </w:rPr>
              <w:t>k jatečným účelům mladších než</w:t>
            </w:r>
            <w:r>
              <w:rPr>
                <w:szCs w:val="22"/>
              </w:rPr>
              <w:t xml:space="preserve"> </w:t>
            </w:r>
            <w:r w:rsidRPr="005F0840">
              <w:rPr>
                <w:szCs w:val="22"/>
              </w:rPr>
              <w:t>3 měsíce.</w:t>
            </w:r>
          </w:p>
          <w:p w:rsidR="002E5357" w:rsidRPr="00C60435" w:rsidRDefault="00445187" w:rsidP="00DD4194">
            <w:pPr>
              <w:ind w:left="0" w:firstLine="0"/>
              <w:rPr>
                <w:szCs w:val="22"/>
                <w:lang w:eastAsia="ar-SA"/>
              </w:rPr>
            </w:pPr>
            <w:r w:rsidRPr="005F0840">
              <w:rPr>
                <w:szCs w:val="22"/>
              </w:rPr>
              <w:t>Nepodávejte telatům</w:t>
            </w:r>
            <w:r>
              <w:rPr>
                <w:szCs w:val="22"/>
              </w:rPr>
              <w:t xml:space="preserve"> určeným </w:t>
            </w:r>
            <w:r w:rsidRPr="005F0840">
              <w:rPr>
                <w:szCs w:val="22"/>
              </w:rPr>
              <w:t xml:space="preserve">k jatečným účelům </w:t>
            </w:r>
            <w:r>
              <w:rPr>
                <w:szCs w:val="22"/>
              </w:rPr>
              <w:t>vážících</w:t>
            </w:r>
            <w:r w:rsidRPr="005F0840">
              <w:rPr>
                <w:szCs w:val="22"/>
              </w:rPr>
              <w:t xml:space="preserve"> více</w:t>
            </w:r>
            <w:r>
              <w:rPr>
                <w:szCs w:val="22"/>
              </w:rPr>
              <w:t xml:space="preserve"> </w:t>
            </w:r>
            <w:r w:rsidRPr="005F0840">
              <w:rPr>
                <w:szCs w:val="22"/>
              </w:rPr>
              <w:t>než 150 kg.</w:t>
            </w:r>
          </w:p>
        </w:tc>
      </w:tr>
    </w:tbl>
    <w:p w:rsidR="002E5357" w:rsidRDefault="002E5357" w:rsidP="00665F87">
      <w:pPr>
        <w:jc w:val="both"/>
        <w:rPr>
          <w:szCs w:val="22"/>
          <w:lang w:eastAsia="ar-SA"/>
        </w:rPr>
      </w:pPr>
    </w:p>
    <w:p w:rsidR="001C0BC4" w:rsidRPr="00CE015D" w:rsidRDefault="001C0BC4" w:rsidP="00665F87">
      <w:pPr>
        <w:jc w:val="both"/>
      </w:pPr>
      <w:r w:rsidRPr="00CE015D">
        <w:rPr>
          <w:u w:val="single"/>
        </w:rPr>
        <w:t>Ovce</w:t>
      </w:r>
      <w:r w:rsidRPr="00CE015D">
        <w:t xml:space="preserve">: </w:t>
      </w:r>
      <w:r>
        <w:t>J</w:t>
      </w:r>
      <w:r w:rsidRPr="00CE015D">
        <w:t xml:space="preserve">ehňata chovaná celou dobu života v chlévě v systému intenzivního chovu nesmějí být léčena po 6 týdnu věku nebo po dosažení hmotnosti více než </w:t>
      </w:r>
      <w:smartTag w:uri="urn:schemas-microsoft-com:office:smarttags" w:element="metricconverter">
        <w:smartTagPr>
          <w:attr w:name="ProductID" w:val="20 kg"/>
        </w:smartTagPr>
        <w:r w:rsidRPr="00CE015D">
          <w:t>20 kg</w:t>
        </w:r>
      </w:smartTag>
      <w:r w:rsidRPr="00CE015D">
        <w:t xml:space="preserve">. </w:t>
      </w:r>
      <w:r w:rsidR="00710264">
        <w:t xml:space="preserve">Hnůj </w:t>
      </w:r>
      <w:r w:rsidRPr="00CE015D">
        <w:t>od těchto zvířat se smí na ten samý pozemek aplikovat pouze každý třetí rok.</w:t>
      </w:r>
    </w:p>
    <w:p w:rsidR="001C0BC4" w:rsidRPr="004A42C4" w:rsidRDefault="001C0BC4" w:rsidP="001C0BC4">
      <w:pPr>
        <w:ind w:left="709"/>
        <w:jc w:val="both"/>
        <w:rPr>
          <w:szCs w:val="22"/>
        </w:rPr>
      </w:pPr>
    </w:p>
    <w:p w:rsidR="001C0BC4" w:rsidRDefault="00710264" w:rsidP="00665F87">
      <w:pPr>
        <w:jc w:val="both"/>
        <w:rPr>
          <w:szCs w:val="22"/>
        </w:rPr>
      </w:pPr>
      <w:r>
        <w:rPr>
          <w:szCs w:val="22"/>
          <w:u w:val="single"/>
        </w:rPr>
        <w:t>Prasa</w:t>
      </w:r>
      <w:r w:rsidRPr="00CE015D">
        <w:rPr>
          <w:szCs w:val="22"/>
          <w:u w:val="single"/>
        </w:rPr>
        <w:t>ta</w:t>
      </w:r>
      <w:r w:rsidR="001C0BC4">
        <w:rPr>
          <w:szCs w:val="22"/>
        </w:rPr>
        <w:t xml:space="preserve">: </w:t>
      </w:r>
      <w:r w:rsidR="001C0BC4" w:rsidRPr="004A42C4">
        <w:rPr>
          <w:szCs w:val="22"/>
        </w:rPr>
        <w:t>Nejsou</w:t>
      </w:r>
      <w:r>
        <w:rPr>
          <w:szCs w:val="22"/>
        </w:rPr>
        <w:t>.</w:t>
      </w:r>
    </w:p>
    <w:p w:rsidR="001C0BC4" w:rsidRPr="001C0BC4" w:rsidRDefault="001C0BC4" w:rsidP="00FA32E9">
      <w:pPr>
        <w:rPr>
          <w:szCs w:val="22"/>
          <w:u w:val="single"/>
        </w:rPr>
      </w:pPr>
    </w:p>
    <w:p w:rsidR="001C0BC4" w:rsidRDefault="00FA32E9" w:rsidP="00FA32E9">
      <w:pPr>
        <w:rPr>
          <w:szCs w:val="22"/>
          <w:u w:val="single"/>
        </w:rPr>
      </w:pPr>
      <w:r w:rsidRPr="00F75554">
        <w:rPr>
          <w:szCs w:val="22"/>
          <w:u w:val="single"/>
        </w:rPr>
        <w:t>Interakce s dalšími léčivými přípravky a další formy interakce:</w:t>
      </w:r>
    </w:p>
    <w:p w:rsidR="001C0BC4" w:rsidRDefault="001C0BC4" w:rsidP="00FA32E9">
      <w:pPr>
        <w:rPr>
          <w:szCs w:val="22"/>
          <w:u w:val="single"/>
        </w:rPr>
      </w:pPr>
    </w:p>
    <w:p w:rsidR="00FA32E9" w:rsidRPr="00665F87" w:rsidRDefault="00665F87" w:rsidP="00665F87">
      <w:pPr>
        <w:rPr>
          <w:szCs w:val="22"/>
        </w:rPr>
      </w:pPr>
      <w:r w:rsidRPr="00665F87">
        <w:rPr>
          <w:szCs w:val="22"/>
        </w:rPr>
        <w:t>Nejsou známé</w:t>
      </w:r>
    </w:p>
    <w:p w:rsidR="00FA32E9" w:rsidRPr="00F75554" w:rsidRDefault="00FA32E9" w:rsidP="00FA32E9">
      <w:pPr>
        <w:rPr>
          <w:szCs w:val="22"/>
        </w:rPr>
      </w:pPr>
    </w:p>
    <w:p w:rsidR="00FA32E9" w:rsidRPr="00F75554" w:rsidRDefault="00FA32E9" w:rsidP="00FA32E9">
      <w:pPr>
        <w:rPr>
          <w:szCs w:val="22"/>
        </w:rPr>
      </w:pPr>
      <w:r w:rsidRPr="00F75554">
        <w:rPr>
          <w:szCs w:val="22"/>
          <w:u w:val="single"/>
        </w:rPr>
        <w:t>Inkompatibility</w:t>
      </w:r>
      <w:r w:rsidR="001C0BC4">
        <w:rPr>
          <w:szCs w:val="22"/>
        </w:rPr>
        <w:t>:</w:t>
      </w:r>
    </w:p>
    <w:p w:rsidR="00665F87" w:rsidRPr="008D2542" w:rsidRDefault="00665F87" w:rsidP="00665F87">
      <w:pPr>
        <w:tabs>
          <w:tab w:val="left" w:pos="540"/>
        </w:tabs>
        <w:ind w:left="555"/>
        <w:jc w:val="both"/>
        <w:rPr>
          <w:szCs w:val="22"/>
        </w:rPr>
      </w:pPr>
    </w:p>
    <w:p w:rsidR="00665F87" w:rsidRDefault="00665F87" w:rsidP="00665F87">
      <w:pPr>
        <w:tabs>
          <w:tab w:val="left" w:pos="540"/>
        </w:tabs>
        <w:ind w:left="555"/>
        <w:jc w:val="both"/>
        <w:outlineLvl w:val="0"/>
      </w:pPr>
      <w:r w:rsidRPr="00615519">
        <w:t xml:space="preserve">Studie kompatibility nejsou k dispozici, a proto tento veterinární léčivý přípravek nesmí být mísen </w:t>
      </w:r>
    </w:p>
    <w:p w:rsidR="00665F87" w:rsidRPr="008D2542" w:rsidRDefault="00665F87" w:rsidP="00665F87">
      <w:pPr>
        <w:tabs>
          <w:tab w:val="left" w:pos="540"/>
        </w:tabs>
        <w:ind w:left="555"/>
        <w:jc w:val="both"/>
        <w:outlineLvl w:val="0"/>
        <w:rPr>
          <w:szCs w:val="22"/>
        </w:rPr>
      </w:pPr>
      <w:r w:rsidRPr="00615519">
        <w:t>s žádnými dalšími veterinárními léčivými přípravky.</w:t>
      </w:r>
      <w:r w:rsidRPr="008D2542">
        <w:rPr>
          <w:szCs w:val="22"/>
        </w:rPr>
        <w:t xml:space="preserve"> </w:t>
      </w:r>
    </w:p>
    <w:p w:rsidR="00FA32E9" w:rsidRPr="00F75554" w:rsidRDefault="00FA32E9" w:rsidP="00FA32E9"/>
    <w:p w:rsidR="00FA32E9" w:rsidRDefault="00665F87" w:rsidP="00FA32E9">
      <w:pPr>
        <w:rPr>
          <w:szCs w:val="22"/>
        </w:rPr>
      </w:pPr>
      <w:r w:rsidRPr="00F75554">
        <w:rPr>
          <w:szCs w:val="22"/>
          <w:u w:val="single"/>
        </w:rPr>
        <w:t>Předávkování (symptomy, první pomoc, antidota)</w:t>
      </w:r>
      <w:r>
        <w:rPr>
          <w:szCs w:val="22"/>
        </w:rPr>
        <w:t>:</w:t>
      </w:r>
    </w:p>
    <w:p w:rsidR="00665F87" w:rsidRDefault="00665F87" w:rsidP="00FA32E9"/>
    <w:p w:rsidR="00665F87" w:rsidRPr="008D2542" w:rsidRDefault="00665F87" w:rsidP="00665F87">
      <w:pPr>
        <w:jc w:val="both"/>
        <w:outlineLvl w:val="0"/>
        <w:rPr>
          <w:szCs w:val="22"/>
        </w:rPr>
      </w:pPr>
      <w:r w:rsidRPr="008D2542">
        <w:rPr>
          <w:szCs w:val="22"/>
        </w:rPr>
        <w:t>J</w:t>
      </w:r>
      <w:r w:rsidR="00B75FE7">
        <w:rPr>
          <w:szCs w:val="22"/>
        </w:rPr>
        <w:t>e dobře tolerovaný u telat i po</w:t>
      </w:r>
      <w:r w:rsidR="0044609F">
        <w:rPr>
          <w:szCs w:val="22"/>
        </w:rPr>
        <w:t xml:space="preserve"> trojnásobném předávkování bez </w:t>
      </w:r>
      <w:r w:rsidRPr="008D2542">
        <w:rPr>
          <w:szCs w:val="22"/>
        </w:rPr>
        <w:t>příznaků intolerance.</w:t>
      </w:r>
    </w:p>
    <w:p w:rsidR="00665F87" w:rsidRDefault="00665F87" w:rsidP="00665F87">
      <w:pPr>
        <w:jc w:val="both"/>
        <w:rPr>
          <w:szCs w:val="22"/>
        </w:rPr>
      </w:pPr>
      <w:r>
        <w:rPr>
          <w:szCs w:val="22"/>
        </w:rPr>
        <w:t xml:space="preserve">Nebyly pozorovány žádné příznaky u jehňat po trojnásobném </w:t>
      </w:r>
      <w:proofErr w:type="spellStart"/>
      <w:r>
        <w:rPr>
          <w:szCs w:val="22"/>
        </w:rPr>
        <w:t>předávkovánív</w:t>
      </w:r>
      <w:proofErr w:type="spellEnd"/>
      <w:r>
        <w:rPr>
          <w:szCs w:val="22"/>
        </w:rPr>
        <w:t xml:space="preserve"> jednorázové dávce a </w:t>
      </w:r>
    </w:p>
    <w:p w:rsidR="00665F87" w:rsidRDefault="00665F87" w:rsidP="00665F87">
      <w:pPr>
        <w:jc w:val="both"/>
        <w:rPr>
          <w:szCs w:val="22"/>
        </w:rPr>
      </w:pPr>
      <w:proofErr w:type="gramStart"/>
      <w:r>
        <w:rPr>
          <w:szCs w:val="22"/>
        </w:rPr>
        <w:t>dvojnásobném</w:t>
      </w:r>
      <w:proofErr w:type="gramEnd"/>
      <w:r>
        <w:rPr>
          <w:szCs w:val="22"/>
        </w:rPr>
        <w:t xml:space="preserve"> předávkování 2 dny po sobě.</w:t>
      </w:r>
    </w:p>
    <w:p w:rsidR="00665F87" w:rsidRDefault="00665F87" w:rsidP="00FA32E9"/>
    <w:p w:rsidR="00710264" w:rsidRPr="00F75554" w:rsidRDefault="00710264" w:rsidP="00FA32E9"/>
    <w:p w:rsidR="00FA32E9" w:rsidRPr="00F75554" w:rsidRDefault="00FA32E9" w:rsidP="00FA32E9">
      <w:pPr>
        <w:rPr>
          <w:b/>
        </w:rPr>
      </w:pPr>
      <w:r w:rsidRPr="00F75554">
        <w:rPr>
          <w:b/>
        </w:rPr>
        <w:t>13.</w:t>
      </w:r>
      <w:r w:rsidRPr="00F75554">
        <w:rPr>
          <w:b/>
        </w:rPr>
        <w:tab/>
        <w:t>ZVLÁŠTNÍ OPATŘENÍ PRO ZNEŠKODŇOVÁNÍ NEPOUŽITÝCH PŘÍPRAVKŮ NEBO ODPADU, POKUD JE JICH TŘEBA</w:t>
      </w:r>
    </w:p>
    <w:p w:rsidR="00FA32E9" w:rsidRPr="00F75554" w:rsidRDefault="00FA32E9" w:rsidP="00FA32E9">
      <w:pPr>
        <w:ind w:right="-318"/>
      </w:pPr>
    </w:p>
    <w:p w:rsidR="00FA32E9" w:rsidRPr="00F75554" w:rsidRDefault="00FA32E9" w:rsidP="00FA32E9">
      <w:pPr>
        <w:ind w:left="0" w:right="-318" w:firstLine="0"/>
      </w:pPr>
      <w:r w:rsidRPr="00F75554">
        <w:t>Léčivé přípravky se nesmí likvidovat prostřednictvím od</w:t>
      </w:r>
      <w:r w:rsidR="00665F87">
        <w:t>padní vody či domovního odpadu.</w:t>
      </w:r>
    </w:p>
    <w:p w:rsidR="00FA32E9" w:rsidRPr="00F75554" w:rsidRDefault="00FA32E9" w:rsidP="00FA32E9">
      <w:pPr>
        <w:ind w:left="0" w:right="-318" w:firstLine="0"/>
      </w:pPr>
      <w:r w:rsidRPr="00F75554">
        <w:t>O možnostech likvidace nepotřebných léčivých přípravků se poraďte s vaším veterinárním lékařem. Tato opatření napomá</w:t>
      </w:r>
      <w:r w:rsidR="00665F87">
        <w:t>hají chránit životní prostředí.</w:t>
      </w:r>
    </w:p>
    <w:p w:rsidR="00710264" w:rsidRPr="00F75554" w:rsidRDefault="00710264" w:rsidP="00FA32E9">
      <w:pPr>
        <w:rPr>
          <w:b/>
        </w:rPr>
      </w:pPr>
    </w:p>
    <w:p w:rsidR="00FA32E9" w:rsidRPr="00F75554" w:rsidRDefault="00FA32E9" w:rsidP="00FA32E9">
      <w:pPr>
        <w:rPr>
          <w:b/>
        </w:rPr>
      </w:pPr>
    </w:p>
    <w:p w:rsidR="00FA32E9" w:rsidRPr="00F75554" w:rsidRDefault="00FA32E9" w:rsidP="00FA32E9">
      <w:r w:rsidRPr="00F75554">
        <w:rPr>
          <w:b/>
        </w:rPr>
        <w:t>14.</w:t>
      </w:r>
      <w:r w:rsidRPr="00F75554">
        <w:rPr>
          <w:b/>
        </w:rPr>
        <w:tab/>
        <w:t>DATUM POSLEDNÍ REVIZE PŘÍBALOVÉ INFORMACE</w:t>
      </w:r>
    </w:p>
    <w:p w:rsidR="00FA32E9" w:rsidRPr="00F75554" w:rsidRDefault="00FA32E9" w:rsidP="00FA32E9">
      <w:pPr>
        <w:ind w:right="-318"/>
      </w:pPr>
    </w:p>
    <w:p w:rsidR="00445187" w:rsidRDefault="00445187" w:rsidP="00FA32E9">
      <w:pPr>
        <w:ind w:left="0" w:right="-318" w:firstLine="0"/>
      </w:pPr>
      <w:r>
        <w:t>Říjen 2017</w:t>
      </w:r>
    </w:p>
    <w:p w:rsidR="00FA32E9" w:rsidRPr="00F75554" w:rsidRDefault="00FA32E9" w:rsidP="00FA32E9">
      <w:pPr>
        <w:ind w:right="-318"/>
      </w:pPr>
    </w:p>
    <w:p w:rsidR="00FA32E9" w:rsidRPr="00F75554" w:rsidRDefault="00FA32E9" w:rsidP="00FA32E9">
      <w:pPr>
        <w:ind w:right="-318"/>
      </w:pPr>
    </w:p>
    <w:p w:rsidR="00FA32E9" w:rsidRPr="00F75554" w:rsidRDefault="00FA32E9" w:rsidP="00FA32E9">
      <w:r w:rsidRPr="00F75554">
        <w:rPr>
          <w:b/>
        </w:rPr>
        <w:sym w:font="Symbol" w:char="F03C"/>
      </w:r>
      <w:r w:rsidRPr="00F75554">
        <w:rPr>
          <w:b/>
        </w:rPr>
        <w:t>15.</w:t>
      </w:r>
      <w:r w:rsidRPr="00F75554">
        <w:rPr>
          <w:b/>
        </w:rPr>
        <w:tab/>
        <w:t>DALŠÍ INFORMACE</w:t>
      </w:r>
      <w:r w:rsidRPr="00F75554">
        <w:rPr>
          <w:b/>
        </w:rPr>
        <w:sym w:font="Symbol" w:char="F03E"/>
      </w:r>
    </w:p>
    <w:p w:rsidR="00445187" w:rsidRDefault="00445187" w:rsidP="00445187">
      <w:r>
        <w:lastRenderedPageBreak/>
        <w:t>Pouze pro zvířata.</w:t>
      </w:r>
    </w:p>
    <w:p w:rsidR="00445187" w:rsidRDefault="00445187" w:rsidP="00445187">
      <w:r>
        <w:t>Veterinární léčivý přípravek je vydáván pouze na předpis.</w:t>
      </w:r>
    </w:p>
    <w:p w:rsidR="00445187" w:rsidRDefault="00445187" w:rsidP="00445187"/>
    <w:p w:rsidR="00FA32E9" w:rsidRPr="00F75554" w:rsidRDefault="00B75FE7" w:rsidP="00FA32E9">
      <w:r>
        <w:t xml:space="preserve">Velikost balení: </w:t>
      </w:r>
      <w:r w:rsidR="00665F87">
        <w:t>lahve 100, 250 a 1000 ml</w:t>
      </w:r>
    </w:p>
    <w:p w:rsidR="00FA32E9" w:rsidRPr="00F75554" w:rsidRDefault="00FA32E9" w:rsidP="00FA32E9">
      <w:r w:rsidRPr="00F75554">
        <w:t>Na trhu nemus</w:t>
      </w:r>
      <w:r w:rsidR="00665F87">
        <w:t>í být všechny velikosti balení.</w:t>
      </w:r>
    </w:p>
    <w:p w:rsidR="00FA32E9" w:rsidRPr="00F75554" w:rsidRDefault="00FA32E9" w:rsidP="00FA32E9">
      <w:pPr>
        <w:ind w:left="0" w:right="-2" w:firstLine="0"/>
      </w:pPr>
      <w:r w:rsidRPr="00F75554">
        <w:t>Pokud chcete získat informace o tomto veterinárním léčivém přípravku, kontaktujte prosím příslušného místního zástupce držitele rozhodnutí o registraci.</w:t>
      </w:r>
    </w:p>
    <w:p w:rsidR="00FA32E9" w:rsidRDefault="00FA32E9" w:rsidP="00FA32E9">
      <w:pPr>
        <w:rPr>
          <w:noProof/>
        </w:rPr>
      </w:pPr>
    </w:p>
    <w:tbl>
      <w:tblPr>
        <w:tblW w:w="9356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4644"/>
        <w:gridCol w:w="4678"/>
      </w:tblGrid>
      <w:tr w:rsidR="00FA32E9" w:rsidTr="00027398">
        <w:trPr>
          <w:gridBefore w:val="1"/>
          <w:wBefore w:w="34" w:type="dxa"/>
        </w:trPr>
        <w:tc>
          <w:tcPr>
            <w:tcW w:w="4644" w:type="dxa"/>
          </w:tcPr>
          <w:p w:rsidR="00FA32E9" w:rsidRDefault="00FA32E9" w:rsidP="00027398">
            <w:pPr>
              <w:ind w:right="34"/>
            </w:pPr>
          </w:p>
        </w:tc>
        <w:tc>
          <w:tcPr>
            <w:tcW w:w="4678" w:type="dxa"/>
          </w:tcPr>
          <w:p w:rsidR="00FA32E9" w:rsidRDefault="00FA32E9" w:rsidP="00027398">
            <w:pPr>
              <w:suppressAutoHyphens/>
              <w:rPr>
                <w:lang w:val="fr-FR"/>
              </w:rPr>
            </w:pPr>
          </w:p>
        </w:tc>
      </w:tr>
      <w:tr w:rsidR="00FA32E9" w:rsidTr="00027398">
        <w:trPr>
          <w:gridBefore w:val="1"/>
          <w:wBefore w:w="34" w:type="dxa"/>
        </w:trPr>
        <w:tc>
          <w:tcPr>
            <w:tcW w:w="4644" w:type="dxa"/>
          </w:tcPr>
          <w:p w:rsidR="00FA32E9" w:rsidRDefault="00FA32E9" w:rsidP="00027398">
            <w:pPr>
              <w:tabs>
                <w:tab w:val="left" w:pos="-720"/>
              </w:tabs>
              <w:suppressAutoHyphens/>
            </w:pPr>
          </w:p>
        </w:tc>
        <w:tc>
          <w:tcPr>
            <w:tcW w:w="4678" w:type="dxa"/>
          </w:tcPr>
          <w:p w:rsidR="00FA32E9" w:rsidRDefault="00FA32E9" w:rsidP="00027398">
            <w:pPr>
              <w:tabs>
                <w:tab w:val="left" w:pos="-720"/>
              </w:tabs>
              <w:suppressAutoHyphens/>
              <w:rPr>
                <w:lang w:val="pt-PT"/>
              </w:rPr>
            </w:pPr>
          </w:p>
        </w:tc>
      </w:tr>
      <w:tr w:rsidR="00FA32E9" w:rsidTr="00027398">
        <w:trPr>
          <w:gridBefore w:val="1"/>
          <w:wBefore w:w="34" w:type="dxa"/>
          <w:trHeight w:val="1619"/>
        </w:trPr>
        <w:tc>
          <w:tcPr>
            <w:tcW w:w="4644" w:type="dxa"/>
          </w:tcPr>
          <w:p w:rsidR="00FA32E9" w:rsidRDefault="00FA32E9" w:rsidP="00027398">
            <w:pPr>
              <w:tabs>
                <w:tab w:val="left" w:pos="-720"/>
              </w:tabs>
              <w:suppressAutoHyphens/>
              <w:rPr>
                <w:lang w:val="fi-FI"/>
              </w:rPr>
            </w:pPr>
          </w:p>
        </w:tc>
        <w:tc>
          <w:tcPr>
            <w:tcW w:w="4678" w:type="dxa"/>
          </w:tcPr>
          <w:p w:rsidR="00FA32E9" w:rsidRPr="00665F87" w:rsidRDefault="00FA32E9" w:rsidP="00027398"/>
        </w:tc>
      </w:tr>
      <w:tr w:rsidR="00FA32E9" w:rsidTr="00027398">
        <w:trPr>
          <w:gridBefore w:val="1"/>
          <w:wBefore w:w="34" w:type="dxa"/>
        </w:trPr>
        <w:tc>
          <w:tcPr>
            <w:tcW w:w="4644" w:type="dxa"/>
          </w:tcPr>
          <w:p w:rsidR="00FA32E9" w:rsidRDefault="00FA32E9" w:rsidP="00027398">
            <w:pPr>
              <w:tabs>
                <w:tab w:val="left" w:pos="-720"/>
              </w:tabs>
              <w:suppressAutoHyphens/>
              <w:rPr>
                <w:lang w:val="pt-PT"/>
              </w:rPr>
            </w:pPr>
          </w:p>
        </w:tc>
        <w:tc>
          <w:tcPr>
            <w:tcW w:w="4678" w:type="dxa"/>
          </w:tcPr>
          <w:p w:rsidR="00FA32E9" w:rsidRPr="00665F87" w:rsidRDefault="00FA32E9" w:rsidP="00027398"/>
        </w:tc>
      </w:tr>
      <w:tr w:rsidR="00FA32E9" w:rsidTr="00027398">
        <w:trPr>
          <w:gridBefore w:val="1"/>
          <w:wBefore w:w="34" w:type="dxa"/>
        </w:trPr>
        <w:tc>
          <w:tcPr>
            <w:tcW w:w="4644" w:type="dxa"/>
          </w:tcPr>
          <w:p w:rsidR="00FA32E9" w:rsidRPr="00665F87" w:rsidRDefault="00FA32E9" w:rsidP="00027398">
            <w:pPr>
              <w:tabs>
                <w:tab w:val="left" w:pos="-720"/>
              </w:tabs>
              <w:suppressAutoHyphens/>
            </w:pPr>
          </w:p>
        </w:tc>
        <w:tc>
          <w:tcPr>
            <w:tcW w:w="4678" w:type="dxa"/>
          </w:tcPr>
          <w:p w:rsidR="00FA32E9" w:rsidRDefault="00FA32E9" w:rsidP="00027398">
            <w:pPr>
              <w:tabs>
                <w:tab w:val="left" w:pos="-720"/>
              </w:tabs>
              <w:suppressAutoHyphens/>
              <w:rPr>
                <w:lang w:val="nb-NO"/>
              </w:rPr>
            </w:pPr>
          </w:p>
        </w:tc>
      </w:tr>
      <w:tr w:rsidR="00FA32E9" w:rsidTr="00027398">
        <w:trPr>
          <w:gridBefore w:val="1"/>
          <w:wBefore w:w="34" w:type="dxa"/>
        </w:trPr>
        <w:tc>
          <w:tcPr>
            <w:tcW w:w="4644" w:type="dxa"/>
          </w:tcPr>
          <w:p w:rsidR="00FA32E9" w:rsidRDefault="00FA32E9" w:rsidP="00027398">
            <w:pPr>
              <w:tabs>
                <w:tab w:val="left" w:pos="-720"/>
              </w:tabs>
              <w:suppressAutoHyphens/>
              <w:rPr>
                <w:lang w:val="fi-FI"/>
              </w:rPr>
            </w:pPr>
          </w:p>
        </w:tc>
        <w:tc>
          <w:tcPr>
            <w:tcW w:w="4678" w:type="dxa"/>
          </w:tcPr>
          <w:p w:rsidR="00FA32E9" w:rsidRPr="00665F87" w:rsidRDefault="00FA32E9" w:rsidP="00027398"/>
        </w:tc>
      </w:tr>
      <w:tr w:rsidR="00FA32E9" w:rsidTr="00027398">
        <w:trPr>
          <w:gridBefore w:val="1"/>
          <w:wBefore w:w="34" w:type="dxa"/>
        </w:trPr>
        <w:tc>
          <w:tcPr>
            <w:tcW w:w="4644" w:type="dxa"/>
          </w:tcPr>
          <w:p w:rsidR="00FA32E9" w:rsidRDefault="00FA32E9" w:rsidP="00027398">
            <w:pPr>
              <w:tabs>
                <w:tab w:val="left" w:pos="-720"/>
              </w:tabs>
              <w:suppressAutoHyphens/>
              <w:rPr>
                <w:lang w:val="el-GR"/>
              </w:rPr>
            </w:pPr>
          </w:p>
        </w:tc>
        <w:tc>
          <w:tcPr>
            <w:tcW w:w="4678" w:type="dxa"/>
          </w:tcPr>
          <w:p w:rsidR="00FA32E9" w:rsidRDefault="00FA32E9" w:rsidP="00027398">
            <w:pPr>
              <w:tabs>
                <w:tab w:val="left" w:pos="-720"/>
              </w:tabs>
              <w:suppressAutoHyphens/>
              <w:rPr>
                <w:lang w:val="pl-PL"/>
              </w:rPr>
            </w:pPr>
          </w:p>
        </w:tc>
      </w:tr>
      <w:tr w:rsidR="00FA32E9" w:rsidTr="00027398">
        <w:tc>
          <w:tcPr>
            <w:tcW w:w="4678" w:type="dxa"/>
            <w:gridSpan w:val="2"/>
          </w:tcPr>
          <w:p w:rsidR="00FA32E9" w:rsidRDefault="00FA32E9" w:rsidP="00027398">
            <w:pPr>
              <w:tabs>
                <w:tab w:val="left" w:pos="-720"/>
              </w:tabs>
              <w:suppressAutoHyphens/>
              <w:rPr>
                <w:lang w:val="pl-PL"/>
              </w:rPr>
            </w:pPr>
          </w:p>
        </w:tc>
        <w:tc>
          <w:tcPr>
            <w:tcW w:w="4678" w:type="dxa"/>
          </w:tcPr>
          <w:p w:rsidR="00FA32E9" w:rsidRDefault="00FA32E9" w:rsidP="00027398">
            <w:pPr>
              <w:tabs>
                <w:tab w:val="left" w:pos="-720"/>
              </w:tabs>
              <w:suppressAutoHyphens/>
              <w:rPr>
                <w:lang w:val="fr-FR"/>
              </w:rPr>
            </w:pPr>
          </w:p>
        </w:tc>
      </w:tr>
      <w:tr w:rsidR="00FA32E9" w:rsidTr="00027398">
        <w:tc>
          <w:tcPr>
            <w:tcW w:w="4678" w:type="dxa"/>
            <w:gridSpan w:val="2"/>
          </w:tcPr>
          <w:p w:rsidR="00FA32E9" w:rsidRDefault="00FA32E9" w:rsidP="00027398">
            <w:pPr>
              <w:rPr>
                <w:b/>
                <w:lang w:val="fr-FR"/>
              </w:rPr>
            </w:pPr>
          </w:p>
        </w:tc>
        <w:tc>
          <w:tcPr>
            <w:tcW w:w="4678" w:type="dxa"/>
          </w:tcPr>
          <w:p w:rsidR="00FA32E9" w:rsidRDefault="00FA32E9" w:rsidP="00027398">
            <w:pPr>
              <w:tabs>
                <w:tab w:val="left" w:pos="-720"/>
              </w:tabs>
              <w:suppressAutoHyphens/>
              <w:rPr>
                <w:lang w:val="fr-FR"/>
              </w:rPr>
            </w:pPr>
          </w:p>
        </w:tc>
      </w:tr>
      <w:tr w:rsidR="00FA32E9" w:rsidTr="00027398">
        <w:tc>
          <w:tcPr>
            <w:tcW w:w="4678" w:type="dxa"/>
            <w:gridSpan w:val="2"/>
          </w:tcPr>
          <w:p w:rsidR="00FA32E9" w:rsidRDefault="00FA32E9" w:rsidP="00027398">
            <w:pPr>
              <w:tabs>
                <w:tab w:val="left" w:pos="-720"/>
              </w:tabs>
              <w:suppressAutoHyphens/>
              <w:rPr>
                <w:lang w:val="fr-FR"/>
              </w:rPr>
            </w:pPr>
          </w:p>
        </w:tc>
        <w:tc>
          <w:tcPr>
            <w:tcW w:w="4678" w:type="dxa"/>
          </w:tcPr>
          <w:p w:rsidR="00FA32E9" w:rsidRDefault="00FA32E9" w:rsidP="00027398">
            <w:pPr>
              <w:tabs>
                <w:tab w:val="left" w:pos="-720"/>
              </w:tabs>
              <w:suppressAutoHyphens/>
              <w:rPr>
                <w:lang w:val="it-IT"/>
              </w:rPr>
            </w:pPr>
          </w:p>
        </w:tc>
      </w:tr>
      <w:tr w:rsidR="00FA32E9" w:rsidTr="00027398">
        <w:tc>
          <w:tcPr>
            <w:tcW w:w="4678" w:type="dxa"/>
            <w:gridSpan w:val="2"/>
          </w:tcPr>
          <w:p w:rsidR="00FA32E9" w:rsidRDefault="00FA32E9" w:rsidP="00027398">
            <w:pPr>
              <w:tabs>
                <w:tab w:val="left" w:pos="-720"/>
              </w:tabs>
              <w:suppressAutoHyphens/>
              <w:rPr>
                <w:lang w:val="it-IT"/>
              </w:rPr>
            </w:pPr>
          </w:p>
        </w:tc>
        <w:tc>
          <w:tcPr>
            <w:tcW w:w="4678" w:type="dxa"/>
          </w:tcPr>
          <w:p w:rsidR="00FA32E9" w:rsidRDefault="00FA32E9" w:rsidP="00027398">
            <w:pPr>
              <w:tabs>
                <w:tab w:val="left" w:pos="-720"/>
              </w:tabs>
              <w:suppressAutoHyphens/>
              <w:rPr>
                <w:b/>
                <w:color w:val="008000"/>
                <w:szCs w:val="22"/>
                <w:lang w:val="it-IT"/>
              </w:rPr>
            </w:pPr>
          </w:p>
        </w:tc>
      </w:tr>
      <w:tr w:rsidR="00FA32E9" w:rsidTr="00027398">
        <w:tc>
          <w:tcPr>
            <w:tcW w:w="4678" w:type="dxa"/>
            <w:gridSpan w:val="2"/>
          </w:tcPr>
          <w:p w:rsidR="00FA32E9" w:rsidRDefault="00FA32E9" w:rsidP="00027398">
            <w:pPr>
              <w:rPr>
                <w:b/>
                <w:lang w:val="fi-FI"/>
              </w:rPr>
            </w:pPr>
          </w:p>
        </w:tc>
        <w:tc>
          <w:tcPr>
            <w:tcW w:w="4678" w:type="dxa"/>
          </w:tcPr>
          <w:p w:rsidR="00FA32E9" w:rsidRDefault="00FA32E9" w:rsidP="00027398">
            <w:pPr>
              <w:tabs>
                <w:tab w:val="left" w:pos="-720"/>
              </w:tabs>
              <w:suppressAutoHyphens/>
              <w:rPr>
                <w:lang w:val="el-GR"/>
              </w:rPr>
            </w:pPr>
          </w:p>
        </w:tc>
      </w:tr>
      <w:tr w:rsidR="00FA32E9" w:rsidTr="00027398">
        <w:tc>
          <w:tcPr>
            <w:tcW w:w="4678" w:type="dxa"/>
            <w:gridSpan w:val="2"/>
          </w:tcPr>
          <w:p w:rsidR="00FA32E9" w:rsidRDefault="00FA32E9" w:rsidP="00027398">
            <w:pPr>
              <w:rPr>
                <w:b/>
                <w:lang w:val="el-GR"/>
              </w:rPr>
            </w:pPr>
          </w:p>
        </w:tc>
        <w:tc>
          <w:tcPr>
            <w:tcW w:w="4678" w:type="dxa"/>
          </w:tcPr>
          <w:p w:rsidR="00FA32E9" w:rsidRDefault="00FA32E9" w:rsidP="00027398">
            <w:pPr>
              <w:tabs>
                <w:tab w:val="left" w:pos="-720"/>
                <w:tab w:val="left" w:pos="4536"/>
              </w:tabs>
              <w:suppressAutoHyphens/>
              <w:rPr>
                <w:b/>
                <w:lang w:val="el-GR"/>
              </w:rPr>
            </w:pPr>
          </w:p>
        </w:tc>
      </w:tr>
      <w:tr w:rsidR="00FA32E9" w:rsidTr="00027398">
        <w:tc>
          <w:tcPr>
            <w:tcW w:w="4678" w:type="dxa"/>
            <w:gridSpan w:val="2"/>
          </w:tcPr>
          <w:p w:rsidR="00FA32E9" w:rsidRDefault="00FA32E9" w:rsidP="00027398">
            <w:pPr>
              <w:tabs>
                <w:tab w:val="left" w:pos="-720"/>
              </w:tabs>
              <w:suppressAutoHyphens/>
              <w:rPr>
                <w:lang w:val="pt-PT"/>
              </w:rPr>
            </w:pPr>
          </w:p>
        </w:tc>
        <w:tc>
          <w:tcPr>
            <w:tcW w:w="4678" w:type="dxa"/>
          </w:tcPr>
          <w:p w:rsidR="00FA32E9" w:rsidRDefault="00FA32E9" w:rsidP="00027398"/>
        </w:tc>
      </w:tr>
      <w:tr w:rsidR="00FA32E9" w:rsidTr="00027398">
        <w:tc>
          <w:tcPr>
            <w:tcW w:w="4678" w:type="dxa"/>
            <w:gridSpan w:val="2"/>
          </w:tcPr>
          <w:p w:rsidR="00FA32E9" w:rsidRDefault="00FA32E9" w:rsidP="00027398">
            <w:pPr>
              <w:tabs>
                <w:tab w:val="left" w:pos="-720"/>
              </w:tabs>
              <w:suppressAutoHyphens/>
            </w:pPr>
          </w:p>
        </w:tc>
        <w:tc>
          <w:tcPr>
            <w:tcW w:w="4678" w:type="dxa"/>
          </w:tcPr>
          <w:p w:rsidR="00FA32E9" w:rsidRDefault="00FA32E9" w:rsidP="00027398">
            <w:pPr>
              <w:tabs>
                <w:tab w:val="left" w:pos="-720"/>
              </w:tabs>
              <w:suppressAutoHyphens/>
            </w:pPr>
          </w:p>
        </w:tc>
      </w:tr>
    </w:tbl>
    <w:p w:rsidR="00D963CB" w:rsidRDefault="00D963CB"/>
    <w:sectPr w:rsidR="00D96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2E9"/>
    <w:rsid w:val="00000949"/>
    <w:rsid w:val="00107117"/>
    <w:rsid w:val="001C0BC4"/>
    <w:rsid w:val="001F5B67"/>
    <w:rsid w:val="002C45DF"/>
    <w:rsid w:val="002E5357"/>
    <w:rsid w:val="00370FFF"/>
    <w:rsid w:val="003F6C77"/>
    <w:rsid w:val="00445187"/>
    <w:rsid w:val="0044609F"/>
    <w:rsid w:val="00516078"/>
    <w:rsid w:val="0055054E"/>
    <w:rsid w:val="00587E71"/>
    <w:rsid w:val="00665F87"/>
    <w:rsid w:val="00710264"/>
    <w:rsid w:val="007437B1"/>
    <w:rsid w:val="00746E4F"/>
    <w:rsid w:val="00837B5B"/>
    <w:rsid w:val="00B75FE7"/>
    <w:rsid w:val="00D83E2B"/>
    <w:rsid w:val="00D963CB"/>
    <w:rsid w:val="00DD4194"/>
    <w:rsid w:val="00E3100C"/>
    <w:rsid w:val="00FA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2E9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A32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10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0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32E9"/>
    <w:pPr>
      <w:spacing w:after="0" w:line="240" w:lineRule="auto"/>
      <w:ind w:left="567" w:hanging="567"/>
    </w:pPr>
    <w:rPr>
      <w:rFonts w:ascii="Times New Roman" w:eastAsia="Times New Roma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FA32E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10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10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6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1145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7887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Valova</dc:creator>
  <cp:lastModifiedBy>Vernerová Eva</cp:lastModifiedBy>
  <cp:revision>6</cp:revision>
  <cp:lastPrinted>2017-10-17T11:01:00Z</cp:lastPrinted>
  <dcterms:created xsi:type="dcterms:W3CDTF">2017-09-29T17:21:00Z</dcterms:created>
  <dcterms:modified xsi:type="dcterms:W3CDTF">2017-10-17T11:01:00Z</dcterms:modified>
</cp:coreProperties>
</file>