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B. PŘÍBALOVÁ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br w:type="page"/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lastRenderedPageBreak/>
        <w:t>PŘÍBALOVÁ INFORMACE PRO: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b/>
          <w:bCs/>
          <w:sz w:val="24"/>
          <w:szCs w:val="24"/>
        </w:rPr>
        <w:t>Osphos</w:t>
      </w:r>
      <w:proofErr w:type="spellEnd"/>
      <w:r w:rsidRPr="00076724">
        <w:rPr>
          <w:rFonts w:ascii="Arial" w:eastAsia="Times New Roman" w:hAnsi="Arial" w:cs="Arial"/>
          <w:b/>
          <w:bCs/>
          <w:sz w:val="24"/>
          <w:szCs w:val="24"/>
        </w:rPr>
        <w:t xml:space="preserve"> 51 mg/ml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Injekční roztok pro koně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C44484">
        <w:rPr>
          <w:rFonts w:ascii="Arial" w:eastAsia="Times New Roman" w:hAnsi="Arial" w:cs="Arial"/>
          <w:b/>
          <w:bCs/>
          <w:sz w:val="24"/>
          <w:szCs w:val="24"/>
        </w:rPr>
        <w:t>1.</w:t>
      </w:r>
      <w:r w:rsidRPr="00C44484">
        <w:rPr>
          <w:rFonts w:ascii="Arial" w:eastAsia="Times New Roman" w:hAnsi="Arial" w:cs="Arial"/>
          <w:b/>
          <w:bCs/>
          <w:sz w:val="24"/>
          <w:szCs w:val="24"/>
        </w:rPr>
        <w:tab/>
        <w:t>JMÉNO A ADRESA DRŽITELE ROZHODNUTÍ O REGISTRACI A DRŽITELE POVOLENÍ K VÝROBĚ ODPOVĚDNÉHO ZA UVOLNĚNÍ ŠARŽE, POKUD SE NESHODUJE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  <w:u w:val="single"/>
        </w:rPr>
        <w:t>Držitel rozhodnutí o registraci</w:t>
      </w:r>
      <w:r w:rsidRPr="00076724">
        <w:rPr>
          <w:rFonts w:ascii="Arial" w:eastAsia="Times New Roman" w:hAnsi="Arial" w:cs="Arial"/>
          <w:iCs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Dechra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Limited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Snaygill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Industrial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Estate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Keighley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Road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Skipton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North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Yorkshire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BD23 2RW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Spojené království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Výrobce odpovědný za uvolnění šarže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19F3">
        <w:rPr>
          <w:rFonts w:ascii="Arial" w:eastAsia="Times New Roman" w:hAnsi="Arial" w:cs="Arial"/>
          <w:sz w:val="24"/>
          <w:szCs w:val="24"/>
        </w:rPr>
        <w:t>Eurovet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Animal </w:t>
      </w:r>
      <w:proofErr w:type="spellStart"/>
      <w:proofErr w:type="gramStart"/>
      <w:r w:rsidRPr="002E19F3">
        <w:rPr>
          <w:rFonts w:ascii="Arial" w:eastAsia="Times New Roman" w:hAnsi="Arial" w:cs="Arial"/>
          <w:sz w:val="24"/>
          <w:szCs w:val="24"/>
        </w:rPr>
        <w:t>Health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B.V</w:t>
      </w:r>
      <w:proofErr w:type="gramEnd"/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E19F3">
        <w:rPr>
          <w:rFonts w:ascii="Arial" w:eastAsia="Times New Roman" w:hAnsi="Arial" w:cs="Arial"/>
          <w:sz w:val="24"/>
          <w:szCs w:val="24"/>
        </w:rPr>
        <w:t>Handelsweg</w:t>
      </w:r>
      <w:proofErr w:type="spellEnd"/>
      <w:r w:rsidRPr="002E19F3">
        <w:rPr>
          <w:rFonts w:ascii="Arial" w:eastAsia="Times New Roman" w:hAnsi="Arial" w:cs="Arial"/>
          <w:sz w:val="24"/>
          <w:szCs w:val="24"/>
        </w:rPr>
        <w:t xml:space="preserve"> 25</w:t>
      </w:r>
    </w:p>
    <w:p w:rsidR="002E19F3" w:rsidRPr="002E19F3" w:rsidRDefault="002E19F3" w:rsidP="002E19F3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19F3">
        <w:rPr>
          <w:rFonts w:ascii="Arial" w:eastAsia="Times New Roman" w:hAnsi="Arial" w:cs="Arial"/>
          <w:sz w:val="24"/>
          <w:szCs w:val="24"/>
        </w:rPr>
        <w:t xml:space="preserve">5531 AE </w:t>
      </w:r>
      <w:proofErr w:type="spellStart"/>
      <w:r w:rsidRPr="002E19F3">
        <w:rPr>
          <w:rFonts w:ascii="Arial" w:eastAsia="Times New Roman" w:hAnsi="Arial" w:cs="Arial"/>
          <w:sz w:val="24"/>
          <w:szCs w:val="24"/>
        </w:rPr>
        <w:t>Bladel</w:t>
      </w:r>
      <w:proofErr w:type="spellEnd"/>
    </w:p>
    <w:p w:rsidR="002E19F3" w:rsidRDefault="002E19F3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Nizozemí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NÁZEV VETERINÁRNÍHO LÉČIVÉHO PŘÍPRAVKU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Osphos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51 mg/ml injekční roztok pro koně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Acidum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clodronicum</w:t>
      </w:r>
      <w:proofErr w:type="spellEnd"/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3.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OBSAH LÉČIVÝCH A OSTATNÍCH LÁTEK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1 ml obsahuje: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sz w:val="24"/>
          <w:szCs w:val="24"/>
        </w:rPr>
        <w:t>Léčivá látka: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6724">
        <w:rPr>
          <w:rFonts w:ascii="Arial" w:eastAsia="Times New Roman" w:hAnsi="Arial" w:cs="Arial"/>
          <w:sz w:val="24"/>
          <w:szCs w:val="24"/>
        </w:rPr>
        <w:t>Acidum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clodronicum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51 mg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(ekvivalentní 74,98 mg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klodronátu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sodného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tetrahydrát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>)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>Čirý, bezbarvý injekční roztok.</w:t>
      </w:r>
      <w:r w:rsidRPr="00076724">
        <w:rPr>
          <w:rFonts w:ascii="Arial" w:eastAsia="Times New Roman" w:hAnsi="Arial" w:cs="Arial"/>
          <w:iCs/>
          <w:sz w:val="24"/>
          <w:szCs w:val="24"/>
        </w:rPr>
        <w:br/>
      </w: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4.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INDIKACE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Ke zmírnění klinicky zjevného kulhání předních končetin dospělých koní při resorpci kostní tkáně distální člunkovité (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) kosti.</w:t>
      </w: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5.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KONTRAINDIKACE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Nepodávejte nitrožilně.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Vzhledem k absenci údajů o účinku na zvířata v růstu nepodávejte koním mladším 4 let.</w:t>
      </w:r>
      <w:r w:rsidRPr="00076724">
        <w:rPr>
          <w:rFonts w:ascii="Arial" w:eastAsia="Times New Roman" w:hAnsi="Arial" w:cs="Arial"/>
          <w:sz w:val="24"/>
          <w:szCs w:val="24"/>
        </w:rPr>
        <w:br/>
        <w:t>Nepodávejte koním s poškozenou funkcí ledvin.</w:t>
      </w: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lastRenderedPageBreak/>
        <w:t>Nepoužívat v případě známé přecitlivělosti na léčivou látku nebo na některou z pomocných látek.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6.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NEŽÁDOUCÍ ÚČINKY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V terénní klinické studii způsobilo podání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v dávce 1,19 mg/kg 142 koním nežádoucí účinky s dále popsanou četností: nervozita, olizování pysků, zívání a koliky byly časté; trhání hlavou, přechodný otok nebo bolest v místě </w:t>
      </w:r>
      <w:r w:rsidRPr="00B60668">
        <w:rPr>
          <w:rFonts w:ascii="Arial" w:hAnsi="Arial"/>
          <w:sz w:val="24"/>
        </w:rPr>
        <w:t>injekčního podání</w:t>
      </w:r>
      <w:r w:rsidRPr="00076724">
        <w:rPr>
          <w:rFonts w:ascii="Arial" w:eastAsia="Times New Roman" w:hAnsi="Arial" w:cs="Arial"/>
          <w:sz w:val="24"/>
          <w:szCs w:val="24"/>
        </w:rPr>
        <w:t>, hrabání nohou, kopřivka a svědění byly méně časté.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Po schválení přípravku byly hlášeny vzácné případy nedostatečné funkce ledvin, častěji u zvířat, kterým byla souběžně podávána nesteroidní antiflogistika. V těchto případech je vhodné zajistit doplnění tekutin a monitorovat funkci ledvin.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Četnost nežádoucích účinků je charakterizována podle následujících pravidel:</w:t>
      </w:r>
    </w:p>
    <w:p w:rsidR="004D7898" w:rsidRDefault="004D7898" w:rsidP="004D78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672">
        <w:rPr>
          <w:rFonts w:ascii="Arial" w:eastAsia="Times New Roman" w:hAnsi="Arial" w:cs="Arial"/>
          <w:sz w:val="24"/>
          <w:szCs w:val="24"/>
        </w:rPr>
        <w:t>- velmi časté (</w:t>
      </w:r>
      <w:r w:rsidRPr="00780FC2">
        <w:rPr>
          <w:rFonts w:ascii="Arial" w:hAnsi="Arial" w:cs="Arial"/>
          <w:sz w:val="24"/>
          <w:szCs w:val="24"/>
        </w:rPr>
        <w:t xml:space="preserve">nežádoucí </w:t>
      </w:r>
      <w:r w:rsidRPr="002C22EF">
        <w:rPr>
          <w:rFonts w:ascii="Arial" w:hAnsi="Arial"/>
          <w:sz w:val="24"/>
        </w:rPr>
        <w:t>účinky</w:t>
      </w:r>
      <w:r w:rsidRPr="00780FC2">
        <w:rPr>
          <w:rFonts w:ascii="Arial" w:hAnsi="Arial" w:cs="Arial"/>
          <w:sz w:val="24"/>
          <w:szCs w:val="24"/>
        </w:rPr>
        <w:t xml:space="preserve"> se </w:t>
      </w:r>
      <w:r w:rsidRPr="002C22EF">
        <w:rPr>
          <w:rFonts w:ascii="Arial" w:hAnsi="Arial"/>
          <w:sz w:val="24"/>
        </w:rPr>
        <w:t xml:space="preserve">projevily </w:t>
      </w:r>
      <w:r w:rsidRPr="00780FC2">
        <w:rPr>
          <w:rFonts w:ascii="Arial" w:hAnsi="Arial" w:cs="Arial"/>
          <w:sz w:val="24"/>
          <w:szCs w:val="24"/>
        </w:rPr>
        <w:t xml:space="preserve">u více než 1 z 10 </w:t>
      </w:r>
      <w:r>
        <w:rPr>
          <w:rFonts w:ascii="Arial" w:hAnsi="Arial" w:cs="Arial"/>
          <w:sz w:val="24"/>
          <w:szCs w:val="24"/>
        </w:rPr>
        <w:t xml:space="preserve">ošetřených </w:t>
      </w:r>
      <w:r w:rsidRPr="00780FC2">
        <w:rPr>
          <w:rFonts w:ascii="Arial" w:hAnsi="Arial" w:cs="Arial"/>
          <w:sz w:val="24"/>
          <w:szCs w:val="24"/>
        </w:rPr>
        <w:t>zvířat</w:t>
      </w:r>
      <w:r w:rsidRPr="00BC2672">
        <w:rPr>
          <w:rFonts w:ascii="Arial" w:eastAsia="Times New Roman" w:hAnsi="Arial" w:cs="Arial"/>
          <w:sz w:val="24"/>
          <w:szCs w:val="24"/>
        </w:rPr>
        <w:t>)</w:t>
      </w:r>
    </w:p>
    <w:p w:rsidR="006E346D" w:rsidRDefault="004D7898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545FE">
        <w:rPr>
          <w:rFonts w:ascii="Arial" w:eastAsia="Times New Roman" w:hAnsi="Arial" w:cs="Arial"/>
          <w:sz w:val="24"/>
          <w:szCs w:val="24"/>
        </w:rPr>
        <w:t>– časté (u více než 1, ale méně než 10 ze 100 zvířat</w:t>
      </w:r>
      <w:r>
        <w:rPr>
          <w:rFonts w:ascii="Arial" w:eastAsia="Times New Roman" w:hAnsi="Arial" w:cs="Arial"/>
          <w:sz w:val="24"/>
          <w:szCs w:val="24"/>
        </w:rPr>
        <w:t xml:space="preserve"> vykazujících nežádoucí účinky během jedné léčby</w:t>
      </w:r>
      <w:r w:rsidRPr="00A545FE">
        <w:rPr>
          <w:rFonts w:ascii="Arial" w:eastAsia="Times New Roman" w:hAnsi="Arial" w:cs="Arial"/>
          <w:sz w:val="24"/>
          <w:szCs w:val="24"/>
        </w:rPr>
        <w:t>)</w:t>
      </w:r>
      <w:r w:rsidRPr="00A545FE">
        <w:rPr>
          <w:rFonts w:ascii="Arial" w:eastAsia="Times New Roman" w:hAnsi="Arial" w:cs="Arial"/>
          <w:sz w:val="24"/>
          <w:szCs w:val="24"/>
        </w:rPr>
        <w:br/>
      </w:r>
      <w:r w:rsidR="006E346D" w:rsidRPr="00A545FE">
        <w:rPr>
          <w:rFonts w:ascii="Arial" w:eastAsia="Times New Roman" w:hAnsi="Arial" w:cs="Arial"/>
          <w:sz w:val="24"/>
          <w:szCs w:val="24"/>
        </w:rPr>
        <w:t xml:space="preserve">– neobvyklé (u více než 1, ale méně než 10 z 1000 </w:t>
      </w:r>
      <w:r w:rsidR="006E346D" w:rsidRPr="00BC2672">
        <w:rPr>
          <w:rFonts w:ascii="Arial" w:eastAsia="Times New Roman" w:hAnsi="Arial" w:cs="Arial"/>
          <w:sz w:val="24"/>
          <w:szCs w:val="24"/>
        </w:rPr>
        <w:t xml:space="preserve">ošetřených </w:t>
      </w:r>
      <w:r w:rsidR="006E346D" w:rsidRPr="00A545FE">
        <w:rPr>
          <w:rFonts w:ascii="Arial" w:eastAsia="Times New Roman" w:hAnsi="Arial" w:cs="Arial"/>
          <w:sz w:val="24"/>
          <w:szCs w:val="24"/>
        </w:rPr>
        <w:t>zvířat)</w:t>
      </w:r>
    </w:p>
    <w:p w:rsidR="006E346D" w:rsidRDefault="006E346D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C1192">
        <w:rPr>
          <w:rFonts w:ascii="Arial" w:eastAsia="Times New Roman" w:hAnsi="Arial" w:cs="Arial"/>
          <w:sz w:val="24"/>
          <w:szCs w:val="24"/>
        </w:rPr>
        <w:t xml:space="preserve">– vzácné (u více než 1, ale méně než 10 z 10 000 </w:t>
      </w:r>
      <w:r w:rsidRPr="00BC2672">
        <w:rPr>
          <w:rFonts w:ascii="Arial" w:eastAsia="Times New Roman" w:hAnsi="Arial" w:cs="Arial"/>
          <w:sz w:val="24"/>
          <w:szCs w:val="24"/>
        </w:rPr>
        <w:t xml:space="preserve">ošetřených </w:t>
      </w:r>
      <w:r w:rsidRPr="004C1192">
        <w:rPr>
          <w:rFonts w:ascii="Arial" w:eastAsia="Times New Roman" w:hAnsi="Arial" w:cs="Arial"/>
          <w:sz w:val="24"/>
          <w:szCs w:val="24"/>
        </w:rPr>
        <w:t>zvířat)</w:t>
      </w:r>
    </w:p>
    <w:p w:rsidR="006E346D" w:rsidRDefault="006E346D" w:rsidP="006E34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C2672">
        <w:rPr>
          <w:rFonts w:ascii="Arial" w:eastAsia="Times New Roman" w:hAnsi="Arial" w:cs="Arial"/>
          <w:sz w:val="24"/>
          <w:szCs w:val="24"/>
        </w:rPr>
        <w:t>- velmi vzácné (u méně než 1 z 10000 ošetřených zvířat, včetně ojedinělých hlášení).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7.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CÍLOVÝ DRUH ZVÍŘAT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Koně.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8.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DÁVKOVÁNÍ PRO KAŽDÝ DRUH, </w:t>
      </w:r>
      <w:proofErr w:type="gramStart"/>
      <w:r w:rsidRPr="00076724">
        <w:rPr>
          <w:rFonts w:ascii="Arial" w:eastAsia="Times New Roman" w:hAnsi="Arial" w:cs="Arial"/>
          <w:b/>
          <w:bCs/>
          <w:sz w:val="24"/>
          <w:szCs w:val="24"/>
        </w:rPr>
        <w:t>CESTA(Y) A ZPŮSOB</w:t>
      </w:r>
      <w:proofErr w:type="gramEnd"/>
      <w:r w:rsidRPr="00076724">
        <w:rPr>
          <w:rFonts w:ascii="Arial" w:eastAsia="Times New Roman" w:hAnsi="Arial" w:cs="Arial"/>
          <w:b/>
          <w:bCs/>
          <w:sz w:val="24"/>
          <w:szCs w:val="24"/>
        </w:rPr>
        <w:t xml:space="preserve"> PODÁNÍ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Pouze intramuskulární podání. Kyselina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klodronová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1,53 mg/kg živé hmotnosti, což odpovídá 3 ml/100 kg živé hmotnosti.  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076724">
        <w:rPr>
          <w:rFonts w:ascii="Arial" w:eastAsia="Times New Roman" w:hAnsi="Arial" w:cs="Arial"/>
          <w:iCs/>
          <w:sz w:val="24"/>
          <w:szCs w:val="24"/>
        </w:rPr>
        <w:t xml:space="preserve">Maximální dávka je 765 mg kyseliny </w:t>
      </w:r>
      <w:proofErr w:type="spellStart"/>
      <w:r w:rsidRPr="00076724">
        <w:rPr>
          <w:rFonts w:ascii="Arial" w:eastAsia="Times New Roman" w:hAnsi="Arial" w:cs="Arial"/>
          <w:iCs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iCs/>
          <w:sz w:val="24"/>
          <w:szCs w:val="24"/>
        </w:rPr>
        <w:t xml:space="preserve"> na koně (jedna 15 ml lahvička na koně těžšího 500 kg). Nepřekračujte doporučenou dávku.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9.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POKYNY PRO SPRÁVNÉ PODÁNÍ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Celkový objem rovnoměrně rozdělte k podání do dvou až tří různých míst.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10.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 xml:space="preserve">OCHRANNÁ LHŮTA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t>Maso: Bez ochranných lhůt.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t>Nepoužívat u zvířat, jejichž mléko je určeno pro lidskou spotřebu.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11.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OPATŘENÍ PRO UCHOVÁVÁNÍ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Uchovávat mimo</w:t>
      </w:r>
      <w:r w:rsidR="002E19F3">
        <w:rPr>
          <w:rFonts w:ascii="Arial" w:eastAsia="Times New Roman" w:hAnsi="Arial" w:cs="Arial"/>
          <w:sz w:val="24"/>
          <w:szCs w:val="24"/>
        </w:rPr>
        <w:t xml:space="preserve"> dohled a</w:t>
      </w:r>
      <w:r w:rsidRPr="00076724">
        <w:rPr>
          <w:rFonts w:ascii="Arial" w:eastAsia="Times New Roman" w:hAnsi="Arial" w:cs="Arial"/>
          <w:sz w:val="24"/>
          <w:szCs w:val="24"/>
        </w:rPr>
        <w:t xml:space="preserve"> dosah dětí.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Uchovávejte při teplotě do 30</w:t>
      </w:r>
      <w:r w:rsidR="002E19F3">
        <w:rPr>
          <w:rFonts w:ascii="Arial" w:eastAsia="Times New Roman" w:hAnsi="Arial" w:cs="Arial"/>
          <w:sz w:val="24"/>
          <w:szCs w:val="24"/>
        </w:rPr>
        <w:t xml:space="preserve"> </w:t>
      </w:r>
      <w:r w:rsidRPr="00076724">
        <w:rPr>
          <w:rFonts w:ascii="Arial" w:eastAsia="Times New Roman" w:hAnsi="Arial" w:cs="Arial"/>
          <w:sz w:val="24"/>
          <w:szCs w:val="24"/>
        </w:rPr>
        <w:t>°C.</w:t>
      </w:r>
    </w:p>
    <w:p w:rsidR="006E346D" w:rsidRPr="00076724" w:rsidRDefault="006E346D" w:rsidP="006E346D">
      <w:pPr>
        <w:numPr>
          <w:ilvl w:val="12"/>
          <w:numId w:val="0"/>
        </w:num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Uchovávejte vnitřní obal v krabičce.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</w:rPr>
        <w:lastRenderedPageBreak/>
        <w:t>Nepoužívejte tento veterinární léčivý přípravek po uplynutí doby použitelnosti uvedené na krabičce a injekční lahvičce</w:t>
      </w:r>
      <w:r w:rsidR="002E19F3">
        <w:rPr>
          <w:rFonts w:ascii="Arial" w:eastAsia="Times New Roman" w:hAnsi="Arial" w:cs="Arial"/>
          <w:bCs/>
          <w:sz w:val="24"/>
          <w:szCs w:val="24"/>
        </w:rPr>
        <w:t xml:space="preserve"> po EXP</w:t>
      </w:r>
      <w:r w:rsidRPr="00076724">
        <w:rPr>
          <w:rFonts w:ascii="Arial" w:eastAsia="Times New Roman" w:hAnsi="Arial" w:cs="Arial"/>
          <w:bCs/>
          <w:sz w:val="24"/>
          <w:szCs w:val="24"/>
        </w:rPr>
        <w:t>.</w:t>
      </w:r>
      <w:r w:rsidRPr="00076724">
        <w:rPr>
          <w:rFonts w:ascii="Arial" w:eastAsia="Times New Roman" w:hAnsi="Arial" w:cs="Arial"/>
          <w:szCs w:val="20"/>
        </w:rPr>
        <w:t xml:space="preserve"> </w:t>
      </w:r>
      <w:r w:rsidRPr="00076724">
        <w:rPr>
          <w:rFonts w:ascii="Arial" w:eastAsia="Times New Roman" w:hAnsi="Arial" w:cs="Arial"/>
          <w:sz w:val="24"/>
          <w:szCs w:val="24"/>
        </w:rPr>
        <w:t>Doba použitelnosti končí posledním dnem v uvedeném měsíci.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Po </w:t>
      </w:r>
      <w:r w:rsidR="002E19F3">
        <w:rPr>
          <w:rFonts w:ascii="Arial" w:eastAsia="Times New Roman" w:hAnsi="Arial" w:cs="Arial"/>
          <w:sz w:val="24"/>
          <w:szCs w:val="24"/>
        </w:rPr>
        <w:t>prvním</w:t>
      </w:r>
      <w:r w:rsidRPr="00076724">
        <w:rPr>
          <w:rFonts w:ascii="Arial" w:eastAsia="Times New Roman" w:hAnsi="Arial" w:cs="Arial"/>
          <w:sz w:val="24"/>
          <w:szCs w:val="24"/>
        </w:rPr>
        <w:t xml:space="preserve"> otevření spotřebujte ihned.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Pouze k jednorázovému použití; jakýkoli nepoužitý přípravek zlikvidujte.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12.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upozornění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upozornění pro každý cílový druh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Tento veterinární léčivý přípravek lze použít až po řádném vyšetření kulhání včetně nervové blokády, popř. fixace kloubů a posouzení vhodnou zobrazovací metodou ke zjištění příčiny bolesti a povahy kostních lézí. Klinické zlepšení kulhání nemusí být doprovázeno zlepšením stavu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navikulární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kosti na RTG snímcích. 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keepLines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opatření pro použití u zvířat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podávání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bisfosfonátů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buďte opatrní u koní s potížemi, které mají dopad na regulaci minerálů nebo elektrolytů v těle, například při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hyperkalemické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periodické paralýze či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hypokalcémii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7D6E6B">
        <w:rPr>
          <w:rFonts w:ascii="Arial" w:eastAsia="Times New Roman" w:hAnsi="Arial" w:cs="Arial"/>
          <w:sz w:val="24"/>
          <w:szCs w:val="24"/>
        </w:rPr>
        <w:t xml:space="preserve">Při použití přípravku je třeba zajistit dostatečný přístup k pitné vodě. </w:t>
      </w:r>
      <w:r w:rsidRPr="00C1141F">
        <w:rPr>
          <w:rFonts w:ascii="Arial" w:eastAsia="Times New Roman" w:hAnsi="Arial" w:cs="Arial"/>
          <w:sz w:val="24"/>
          <w:szCs w:val="24"/>
        </w:rPr>
        <w:t>Pokud jsou</w:t>
      </w:r>
      <w:r>
        <w:rPr>
          <w:rFonts w:ascii="Arial" w:eastAsia="Times New Roman" w:hAnsi="Arial" w:cs="Arial"/>
          <w:sz w:val="24"/>
          <w:szCs w:val="24"/>
        </w:rPr>
        <w:t xml:space="preserve"> pochybnosti o renální funkci, před podáním by měli být posouzené renální parametry. Příjem vody a výdeje moči by měl být po podání monitorovaný</w:t>
      </w:r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keepNext/>
        <w:keepLines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Zvláštní opatření určené osobám, které podávají veterinární léčivý přípravek zvířatům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Náhodné sebepoškození injekčně aplikovaným přípravkem může zvýšit riziko porodní obstrukce u těhotných žen a negativně ovlivnit plodnost u mužů.</w:t>
      </w:r>
    </w:p>
    <w:p w:rsidR="006E346D" w:rsidRPr="00076724" w:rsidRDefault="006E346D" w:rsidP="006E346D">
      <w:pPr>
        <w:tabs>
          <w:tab w:val="left" w:pos="0"/>
        </w:tabs>
        <w:spacing w:after="0" w:line="240" w:lineRule="auto"/>
        <w:ind w:hanging="714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ab/>
        <w:t xml:space="preserve">Při manipulaci s přípravkem předcházejte náhodnému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samopodání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injekce. </w:t>
      </w:r>
    </w:p>
    <w:p w:rsidR="006E346D" w:rsidRPr="00076724" w:rsidRDefault="006E346D" w:rsidP="006E346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 případě náhodného sebepoškození injekčně aplikovaným přípravkem vyhledejte ihned lékařskou pomoc a ukažte příbalovou informaci nebo etiketu praktickému lékaři.</w:t>
      </w:r>
    </w:p>
    <w:p w:rsidR="006E346D" w:rsidRPr="00076724" w:rsidRDefault="006E346D" w:rsidP="006E346D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Březost a laktace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6E346D" w:rsidRPr="00076724" w:rsidRDefault="006E346D" w:rsidP="006E346D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Laboratorní studie u potkanů a králíků prokázaly </w:t>
      </w:r>
      <w:proofErr w:type="spellStart"/>
      <w:r w:rsidRPr="00076724">
        <w:rPr>
          <w:rFonts w:ascii="Arial" w:eastAsia="Times New Roman" w:hAnsi="Arial" w:cs="Arial"/>
          <w:sz w:val="24"/>
          <w:szCs w:val="24"/>
          <w:lang w:eastAsia="de-DE"/>
        </w:rPr>
        <w:t>maternální</w:t>
      </w:r>
      <w:proofErr w:type="spellEnd"/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 toxicitu, zejména v pozdních fázích březosti. Laboratorní studie u potkanů a králíků nepodaly důkaz o teratogenním a </w:t>
      </w:r>
      <w:proofErr w:type="spellStart"/>
      <w:r w:rsidRPr="00076724">
        <w:rPr>
          <w:rFonts w:ascii="Arial" w:eastAsia="Times New Roman" w:hAnsi="Arial" w:cs="Arial"/>
          <w:sz w:val="24"/>
          <w:szCs w:val="24"/>
          <w:lang w:eastAsia="de-DE"/>
        </w:rPr>
        <w:t>fetotoxickém</w:t>
      </w:r>
      <w:proofErr w:type="spellEnd"/>
      <w:r w:rsidRPr="00076724">
        <w:rPr>
          <w:rFonts w:ascii="Arial" w:eastAsia="Times New Roman" w:hAnsi="Arial" w:cs="Arial"/>
          <w:sz w:val="24"/>
          <w:szCs w:val="24"/>
          <w:lang w:eastAsia="de-DE"/>
        </w:rPr>
        <w:t xml:space="preserve"> účinku.</w:t>
      </w:r>
    </w:p>
    <w:p w:rsidR="006E346D" w:rsidRPr="00076724" w:rsidRDefault="006E346D" w:rsidP="006E34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Nebyla stanovena bezpečnost veterinárního léčivého přípravku pro použití během březosti a laktace klisen. Použití v tomto období laktace se proto nedoporučuje.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>Interakce s dalšími léčivými přípravky a další formy interakce: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Léky, jejichž toxicitu zhoršuje snížená hladina vápníku v krvi/séru (např.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aminoglykosidová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antibiotika) a přípravky snižující sérovou hladinu vápníku (např. tetracyklinová antibiotika), nepodávejte 72 hodin po podání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souběžném podávání potenciálně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nefrotoxických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léků, např. nesteroidních antiflogistik, postupujte se zvýšenou opatrností a zajistěte monitoraci ledvinové funkce.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  <w:u w:val="single"/>
        </w:rPr>
        <w:t xml:space="preserve">Předávkování (symptomy, první pomoc, </w:t>
      </w:r>
      <w:proofErr w:type="spellStart"/>
      <w:r w:rsidRPr="00076724">
        <w:rPr>
          <w:rFonts w:ascii="Arial" w:eastAsia="Times New Roman" w:hAnsi="Arial" w:cs="Arial"/>
          <w:sz w:val="24"/>
          <w:szCs w:val="24"/>
          <w:u w:val="single"/>
        </w:rPr>
        <w:t>antidota</w:t>
      </w:r>
      <w:proofErr w:type="spellEnd"/>
      <w:r w:rsidRPr="00076724">
        <w:rPr>
          <w:rFonts w:ascii="Arial" w:eastAsia="Times New Roman" w:hAnsi="Arial" w:cs="Arial"/>
          <w:sz w:val="24"/>
          <w:szCs w:val="24"/>
          <w:u w:val="single"/>
        </w:rPr>
        <w:t>)</w:t>
      </w:r>
      <w:r w:rsidRPr="00076724">
        <w:rPr>
          <w:rFonts w:ascii="Arial" w:eastAsia="Times New Roman" w:hAnsi="Arial" w:cs="Arial"/>
          <w:sz w:val="24"/>
          <w:szCs w:val="24"/>
        </w:rPr>
        <w:t>: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Při překročení dávky může dojít k nežádoucím účinkům. Při dvoj-, troj- a pětinásobku dávky se může objevit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flémování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, potřásání hlavou, pohyby krčního svalstva jako při dávení, hrabání, neklid, deprese, svalové záškuby a kolika. Může také dojít </w:t>
      </w:r>
      <w:r w:rsidRPr="00076724">
        <w:rPr>
          <w:rFonts w:ascii="Arial" w:eastAsia="Times New Roman" w:hAnsi="Arial" w:cs="Arial"/>
          <w:sz w:val="24"/>
          <w:szCs w:val="24"/>
        </w:rPr>
        <w:lastRenderedPageBreak/>
        <w:t xml:space="preserve">k postupnému nárůstu hladiny močovinového dusíku (BUN) a kreatininu v séru úměrně dávce. Při pětinásobné dávce kyseliny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klodronové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se u tří ze šesti koní objevily dočasné abnormality chůze –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hypermetrie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076724">
        <w:rPr>
          <w:rFonts w:ascii="Arial" w:eastAsia="Times New Roman" w:hAnsi="Arial" w:cs="Arial"/>
          <w:sz w:val="24"/>
          <w:szCs w:val="24"/>
        </w:rPr>
        <w:t>spasticita</w:t>
      </w:r>
      <w:proofErr w:type="spellEnd"/>
      <w:r w:rsidRPr="00076724">
        <w:rPr>
          <w:rFonts w:ascii="Arial" w:eastAsia="Times New Roman" w:hAnsi="Arial" w:cs="Arial"/>
          <w:sz w:val="24"/>
          <w:szCs w:val="24"/>
        </w:rPr>
        <w:t xml:space="preserve"> nebo mírná ataxie.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U dvou z osmi zvířat, která dostala trojnásobek doporučené dávky, došlo k erozi žláz v žaludeční sliznici. Tento jev nebyl pozorován u skupin s doporučenou dávkou nebo jejím dvojnásobkem.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U jednoho z osmi koní s trojnásobkem doporučené dávky byla na jednom z místa vpichu pozorována svalová atrofie o průměru 3 cm. 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 klinické studii ověřující u 48 zvířat bezpečnost látky byly u 94 % zvířat po podání trojnásobné dávky pozorovány příznaky koliky. Ve většině případů stačilo ke zmírnění příznaků opakované provedení koně na ohlávce.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2B84">
        <w:rPr>
          <w:rFonts w:ascii="Arial" w:eastAsia="Times New Roman" w:hAnsi="Arial" w:cs="Arial"/>
          <w:sz w:val="24"/>
          <w:szCs w:val="24"/>
        </w:rPr>
        <w:t>Měsíční podávání jedné dávky v průběhu šesti měsíců nevedlo ke známkám předávkování</w:t>
      </w:r>
      <w:r w:rsidRPr="00076724">
        <w:rPr>
          <w:rFonts w:ascii="Arial" w:eastAsia="Times New Roman" w:hAnsi="Arial" w:cs="Arial"/>
          <w:sz w:val="24"/>
          <w:szCs w:val="24"/>
        </w:rPr>
        <w:t>.</w:t>
      </w:r>
    </w:p>
    <w:p w:rsidR="006E346D" w:rsidRPr="00076724" w:rsidRDefault="006E346D" w:rsidP="006E346D">
      <w:pPr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keepLines/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Cs/>
          <w:sz w:val="24"/>
          <w:szCs w:val="24"/>
          <w:u w:val="single"/>
        </w:rPr>
        <w:t>Inkompatibility</w:t>
      </w:r>
      <w:r w:rsidRPr="00076724">
        <w:rPr>
          <w:rFonts w:ascii="Arial" w:eastAsia="Times New Roman" w:hAnsi="Arial" w:cs="Arial"/>
          <w:bCs/>
          <w:sz w:val="24"/>
          <w:szCs w:val="24"/>
        </w:rPr>
        <w:t>:</w:t>
      </w:r>
    </w:p>
    <w:p w:rsidR="006E346D" w:rsidRPr="00076724" w:rsidRDefault="006E346D" w:rsidP="006E346D">
      <w:pPr>
        <w:spacing w:after="22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 xml:space="preserve">Studie kompatibility nejsou k dispozici, a proto tento veterinární léčivý přípravek nesmí být mísen s žádnými dalšími veterinárními léčivými přípravky. </w:t>
      </w: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13.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Zvláštní opatření pro zneškodňování nepoužitých přípravků nebo odpadu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Všechen nepoužitý veterinární léčivý přípravek nebo odpad, který pochází z tohoto přípravku, musí být likvidován podle místních právních předpisů.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14.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Datum poslední revize příbalové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Default="002A6E97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Prosinec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E346D">
        <w:rPr>
          <w:rFonts w:ascii="Arial" w:eastAsia="Times New Roman" w:hAnsi="Arial" w:cs="Arial"/>
          <w:sz w:val="24"/>
          <w:szCs w:val="24"/>
        </w:rPr>
        <w:t>2017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keepNext/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b/>
          <w:bCs/>
          <w:sz w:val="24"/>
          <w:szCs w:val="24"/>
        </w:rPr>
        <w:t>15.</w:t>
      </w:r>
      <w:r w:rsidRPr="00076724">
        <w:rPr>
          <w:rFonts w:ascii="Arial" w:eastAsia="Times New Roman" w:hAnsi="Arial" w:cs="Arial"/>
          <w:b/>
          <w:bCs/>
          <w:sz w:val="24"/>
          <w:szCs w:val="24"/>
        </w:rPr>
        <w:tab/>
        <w:t>Další informace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rPr>
          <w:rFonts w:ascii="Arial" w:hAnsi="Arial" w:cs="Arial"/>
          <w:sz w:val="24"/>
          <w:szCs w:val="24"/>
        </w:rPr>
      </w:pPr>
      <w:r w:rsidRPr="00076724">
        <w:rPr>
          <w:rFonts w:ascii="Arial" w:hAnsi="Arial" w:cs="Arial"/>
          <w:sz w:val="24"/>
          <w:szCs w:val="24"/>
        </w:rPr>
        <w:t>Pouze pro zvířata.</w:t>
      </w:r>
    </w:p>
    <w:p w:rsidR="006E346D" w:rsidRPr="00076724" w:rsidRDefault="006E346D" w:rsidP="006E346D">
      <w:pPr>
        <w:rPr>
          <w:rFonts w:ascii="Arial" w:hAnsi="Arial" w:cs="Arial"/>
          <w:sz w:val="24"/>
          <w:szCs w:val="24"/>
        </w:rPr>
      </w:pPr>
      <w:r w:rsidRPr="00076724">
        <w:rPr>
          <w:rFonts w:ascii="Arial" w:hAnsi="Arial" w:cs="Arial"/>
          <w:sz w:val="24"/>
          <w:szCs w:val="24"/>
        </w:rPr>
        <w:t>Veterinární léčivý přípravek je vydáván pouze na předpis.</w:t>
      </w:r>
    </w:p>
    <w:p w:rsidR="006E346D" w:rsidRPr="00076724" w:rsidRDefault="006E346D" w:rsidP="006E346D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Jedna 15ml injekční lahvička v papírové krabičce.</w:t>
      </w:r>
    </w:p>
    <w:p w:rsidR="006E346D" w:rsidRPr="00076724" w:rsidRDefault="006E346D" w:rsidP="006E346D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6724">
        <w:rPr>
          <w:rFonts w:ascii="Arial" w:eastAsia="Times New Roman" w:hAnsi="Arial" w:cs="Arial"/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E346D" w:rsidRPr="00076724" w:rsidRDefault="006E346D" w:rsidP="006E346D">
      <w:pPr>
        <w:tabs>
          <w:tab w:val="left" w:pos="567"/>
        </w:tabs>
        <w:spacing w:after="0" w:line="26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E346D" w:rsidRPr="00076724" w:rsidRDefault="006E346D" w:rsidP="006E346D">
      <w:pPr>
        <w:jc w:val="both"/>
        <w:rPr>
          <w:rFonts w:ascii="Arial" w:hAnsi="Arial" w:cs="Arial"/>
        </w:rPr>
      </w:pPr>
    </w:p>
    <w:p w:rsidR="00976750" w:rsidRPr="00076724" w:rsidRDefault="00976750" w:rsidP="00D45775">
      <w:pPr>
        <w:jc w:val="both"/>
        <w:rPr>
          <w:rFonts w:ascii="Arial" w:hAnsi="Arial" w:cs="Arial"/>
        </w:rPr>
      </w:pPr>
    </w:p>
    <w:sectPr w:rsidR="00976750" w:rsidRPr="000767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48" w:rsidRDefault="00CC5548" w:rsidP="00DA7333">
      <w:pPr>
        <w:spacing w:after="0" w:line="240" w:lineRule="auto"/>
      </w:pPr>
      <w:r>
        <w:separator/>
      </w:r>
    </w:p>
  </w:endnote>
  <w:endnote w:type="continuationSeparator" w:id="0">
    <w:p w:rsidR="00CC5548" w:rsidRDefault="00CC5548" w:rsidP="00D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48" w:rsidRDefault="00CC5548" w:rsidP="00DA7333">
      <w:pPr>
        <w:spacing w:after="0" w:line="240" w:lineRule="auto"/>
      </w:pPr>
      <w:r>
        <w:separator/>
      </w:r>
    </w:p>
  </w:footnote>
  <w:footnote w:type="continuationSeparator" w:id="0">
    <w:p w:rsidR="00CC5548" w:rsidRDefault="00CC5548" w:rsidP="00D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33" w:rsidRDefault="00DA7333">
    <w:pPr>
      <w:pStyle w:val="Zhlav"/>
    </w:pPr>
    <w:r>
      <w:t xml:space="preserve">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lma Gulbinaite">
    <w15:presenceInfo w15:providerId="AD" w15:userId="S-1-5-21-866424155-3593848799-2785557441-110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E"/>
    <w:rsid w:val="00076724"/>
    <w:rsid w:val="00086282"/>
    <w:rsid w:val="000937E2"/>
    <w:rsid w:val="000A19F9"/>
    <w:rsid w:val="000B11AA"/>
    <w:rsid w:val="000D61B2"/>
    <w:rsid w:val="000D775F"/>
    <w:rsid w:val="000F2FF3"/>
    <w:rsid w:val="00121056"/>
    <w:rsid w:val="00192424"/>
    <w:rsid w:val="00227CFB"/>
    <w:rsid w:val="0026004F"/>
    <w:rsid w:val="002A6E97"/>
    <w:rsid w:val="002C2984"/>
    <w:rsid w:val="002E19F3"/>
    <w:rsid w:val="002E66F2"/>
    <w:rsid w:val="00301551"/>
    <w:rsid w:val="0031013E"/>
    <w:rsid w:val="00356134"/>
    <w:rsid w:val="00373E4A"/>
    <w:rsid w:val="00381405"/>
    <w:rsid w:val="00392BF6"/>
    <w:rsid w:val="003B1227"/>
    <w:rsid w:val="00420785"/>
    <w:rsid w:val="00430D05"/>
    <w:rsid w:val="004D7898"/>
    <w:rsid w:val="004E2708"/>
    <w:rsid w:val="004E47C1"/>
    <w:rsid w:val="005171FE"/>
    <w:rsid w:val="00577162"/>
    <w:rsid w:val="005948C6"/>
    <w:rsid w:val="005D15B3"/>
    <w:rsid w:val="00677A04"/>
    <w:rsid w:val="006E346D"/>
    <w:rsid w:val="007506F1"/>
    <w:rsid w:val="0075528D"/>
    <w:rsid w:val="007554DA"/>
    <w:rsid w:val="007A08FD"/>
    <w:rsid w:val="007A12D4"/>
    <w:rsid w:val="007D6E6B"/>
    <w:rsid w:val="00816570"/>
    <w:rsid w:val="008B2136"/>
    <w:rsid w:val="008B6432"/>
    <w:rsid w:val="00962A39"/>
    <w:rsid w:val="00976750"/>
    <w:rsid w:val="00A0763A"/>
    <w:rsid w:val="00A0788E"/>
    <w:rsid w:val="00A20A4D"/>
    <w:rsid w:val="00A545FE"/>
    <w:rsid w:val="00AB6F62"/>
    <w:rsid w:val="00AE7DCC"/>
    <w:rsid w:val="00B056CC"/>
    <w:rsid w:val="00B36178"/>
    <w:rsid w:val="00C1141F"/>
    <w:rsid w:val="00C24C24"/>
    <w:rsid w:val="00C44484"/>
    <w:rsid w:val="00C655EF"/>
    <w:rsid w:val="00CC5548"/>
    <w:rsid w:val="00CC731A"/>
    <w:rsid w:val="00CE2421"/>
    <w:rsid w:val="00D45775"/>
    <w:rsid w:val="00D5315D"/>
    <w:rsid w:val="00DA7333"/>
    <w:rsid w:val="00DF120E"/>
    <w:rsid w:val="00E17E60"/>
    <w:rsid w:val="00EC7D3D"/>
    <w:rsid w:val="00EF72A4"/>
    <w:rsid w:val="00F54A88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character" w:styleId="Odkaznakoment">
    <w:name w:val="annotation reference"/>
    <w:basedOn w:val="Standardnpsmoodstavce"/>
    <w:uiPriority w:val="99"/>
    <w:semiHidden/>
    <w:unhideWhenUsed/>
    <w:rsid w:val="002C2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98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1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333"/>
  </w:style>
  <w:style w:type="paragraph" w:styleId="Zpat">
    <w:name w:val="footer"/>
    <w:basedOn w:val="Normln"/>
    <w:link w:val="ZpatChar"/>
    <w:uiPriority w:val="99"/>
    <w:unhideWhenUsed/>
    <w:rsid w:val="00DA7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333"/>
  </w:style>
  <w:style w:type="character" w:styleId="Odkaznakoment">
    <w:name w:val="annotation reference"/>
    <w:basedOn w:val="Standardnpsmoodstavce"/>
    <w:uiPriority w:val="99"/>
    <w:semiHidden/>
    <w:unhideWhenUsed/>
    <w:rsid w:val="002C2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2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29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2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29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02E8-42E8-49B1-A30A-19BFD89D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1085</Words>
  <Characters>6405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9</cp:revision>
  <cp:lastPrinted>2017-12-14T08:11:00Z</cp:lastPrinted>
  <dcterms:created xsi:type="dcterms:W3CDTF">2017-11-27T10:35:00Z</dcterms:created>
  <dcterms:modified xsi:type="dcterms:W3CDTF">2017-12-14T08:11:00Z</dcterms:modified>
</cp:coreProperties>
</file>