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9F" w:rsidRPr="0013074F" w:rsidRDefault="00EE689F" w:rsidP="00EE689F">
      <w:pPr>
        <w:pStyle w:val="Nadpis5"/>
        <w:rPr>
          <w:rFonts w:asciiTheme="majorBidi" w:hAnsiTheme="majorBidi" w:cstheme="majorBidi"/>
          <w:sz w:val="22"/>
          <w:szCs w:val="22"/>
        </w:rPr>
      </w:pPr>
    </w:p>
    <w:p w:rsidR="00EE689F" w:rsidRPr="0013074F" w:rsidRDefault="00EE689F" w:rsidP="00EE689F">
      <w:pPr>
        <w:pStyle w:val="Nadpis5"/>
        <w:rPr>
          <w:rFonts w:asciiTheme="majorBidi" w:hAnsiTheme="majorBidi" w:cstheme="majorBidi"/>
          <w:sz w:val="22"/>
          <w:szCs w:val="22"/>
        </w:rPr>
      </w:pPr>
    </w:p>
    <w:p w:rsidR="00EE689F" w:rsidRPr="0013074F" w:rsidRDefault="00EE689F" w:rsidP="00EE689F">
      <w:pPr>
        <w:pStyle w:val="Nadpis5"/>
        <w:rPr>
          <w:rFonts w:asciiTheme="majorBidi" w:hAnsiTheme="majorBidi" w:cstheme="majorBidi"/>
          <w:sz w:val="22"/>
          <w:szCs w:val="22"/>
        </w:rPr>
      </w:pPr>
    </w:p>
    <w:p w:rsidR="00EE689F" w:rsidRPr="0013074F" w:rsidRDefault="00EE689F" w:rsidP="00EE689F">
      <w:pPr>
        <w:pStyle w:val="Nadpis5"/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ind w:right="113"/>
        <w:jc w:val="center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B. PŘÍBALOVÁ INFORMACE</w:t>
      </w: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br w:type="page"/>
      </w:r>
    </w:p>
    <w:p w:rsidR="00FE2434" w:rsidRPr="0013074F" w:rsidRDefault="00FE2434" w:rsidP="00FE2434">
      <w:pPr>
        <w:spacing w:before="96" w:after="96"/>
        <w:jc w:val="center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lastRenderedPageBreak/>
        <w:t>PŘÍBALOVÁ INFORMACE</w:t>
      </w:r>
      <w:r w:rsidRPr="0013074F">
        <w:rPr>
          <w:rFonts w:asciiTheme="majorBidi" w:hAnsiTheme="majorBidi" w:cstheme="majorBidi"/>
          <w:sz w:val="22"/>
          <w:szCs w:val="22"/>
        </w:rPr>
        <w:t xml:space="preserve"> </w:t>
      </w:r>
    </w:p>
    <w:p w:rsidR="00FE2434" w:rsidRPr="0013074F" w:rsidRDefault="00FE2434" w:rsidP="00FE2434">
      <w:pPr>
        <w:spacing w:before="96" w:after="96"/>
        <w:jc w:val="center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NALGOSED 10 mg/ml injekční roztok</w:t>
      </w: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1.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Bioveta, a. s.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Komenského 212/12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683 23 Ivanovice na Hané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Česká republika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2.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NÁZEV VETERINÁRNÍHO LÉČIVÉHO PŘÍPRAVKU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NALGOSED 10 mg/ml injekční roztok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Butorphanolum  </w:t>
      </w: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3.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OBSAH LÉČIVÝCH A OSTATNÍCH LÁTEK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Přípravek obsahuje v 1 ml: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tabs>
          <w:tab w:val="left" w:pos="3119"/>
        </w:tabs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Léčiv</w:t>
      </w:r>
      <w:r w:rsidR="00196432">
        <w:rPr>
          <w:rFonts w:asciiTheme="majorBidi" w:hAnsiTheme="majorBidi" w:cstheme="majorBidi"/>
          <w:b/>
          <w:sz w:val="22"/>
          <w:szCs w:val="22"/>
        </w:rPr>
        <w:t>á</w:t>
      </w:r>
      <w:r w:rsidRPr="0013074F">
        <w:rPr>
          <w:rFonts w:asciiTheme="majorBidi" w:hAnsiTheme="majorBidi" w:cstheme="majorBidi"/>
          <w:b/>
          <w:sz w:val="22"/>
          <w:szCs w:val="22"/>
        </w:rPr>
        <w:t xml:space="preserve"> látk</w:t>
      </w:r>
      <w:r w:rsidR="00196432">
        <w:rPr>
          <w:rFonts w:asciiTheme="majorBidi" w:hAnsiTheme="majorBidi" w:cstheme="majorBidi"/>
          <w:b/>
          <w:sz w:val="22"/>
          <w:szCs w:val="22"/>
        </w:rPr>
        <w:t>a</w:t>
      </w:r>
      <w:r w:rsidRPr="0013074F">
        <w:rPr>
          <w:rFonts w:asciiTheme="majorBidi" w:hAnsiTheme="majorBidi" w:cstheme="majorBidi"/>
          <w:b/>
          <w:sz w:val="22"/>
          <w:szCs w:val="22"/>
        </w:rPr>
        <w:t>:</w:t>
      </w:r>
      <w:r w:rsidRPr="0013074F">
        <w:rPr>
          <w:rFonts w:asciiTheme="majorBidi" w:hAnsiTheme="majorBidi" w:cstheme="majorBidi"/>
          <w:b/>
          <w:sz w:val="22"/>
          <w:szCs w:val="22"/>
        </w:rPr>
        <w:br/>
      </w:r>
      <w:r w:rsidRPr="0013074F">
        <w:rPr>
          <w:rFonts w:asciiTheme="majorBidi" w:hAnsiTheme="majorBidi" w:cstheme="majorBidi"/>
          <w:sz w:val="22"/>
          <w:szCs w:val="22"/>
        </w:rPr>
        <w:t xml:space="preserve">Butorphanolum </w:t>
      </w:r>
      <w:r w:rsidRPr="0013074F">
        <w:rPr>
          <w:rFonts w:asciiTheme="majorBidi" w:hAnsiTheme="majorBidi" w:cstheme="majorBidi"/>
          <w:sz w:val="22"/>
          <w:szCs w:val="22"/>
        </w:rPr>
        <w:tab/>
      </w:r>
      <w:r w:rsidRPr="0013074F">
        <w:rPr>
          <w:rFonts w:asciiTheme="majorBidi" w:hAnsiTheme="majorBidi" w:cstheme="majorBidi"/>
          <w:sz w:val="22"/>
          <w:szCs w:val="22"/>
        </w:rPr>
        <w:tab/>
        <w:t xml:space="preserve">10 mg </w:t>
      </w:r>
    </w:p>
    <w:p w:rsidR="00FE2434" w:rsidRPr="0013074F" w:rsidRDefault="00FE2434" w:rsidP="00FE2434">
      <w:pPr>
        <w:tabs>
          <w:tab w:val="left" w:pos="3119"/>
        </w:tabs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(ut Butorphanoli tartras 14,58 mg)</w:t>
      </w:r>
    </w:p>
    <w:p w:rsidR="00FE2434" w:rsidRPr="0013074F" w:rsidRDefault="00FE2434" w:rsidP="00FE2434">
      <w:pPr>
        <w:tabs>
          <w:tab w:val="left" w:pos="3119"/>
        </w:tabs>
        <w:spacing w:before="96" w:after="96"/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0F1645">
      <w:pPr>
        <w:tabs>
          <w:tab w:val="left" w:pos="3544"/>
        </w:tabs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Pomocné látky:</w:t>
      </w:r>
      <w:r w:rsidRPr="0013074F">
        <w:rPr>
          <w:rFonts w:asciiTheme="majorBidi" w:hAnsiTheme="majorBidi" w:cstheme="majorBidi"/>
          <w:sz w:val="22"/>
          <w:szCs w:val="22"/>
        </w:rPr>
        <w:br/>
        <w:t>Benzethonium</w:t>
      </w:r>
      <w:r w:rsidR="00196432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 xml:space="preserve">chlorid </w:t>
      </w:r>
      <w:r w:rsidRPr="0013074F">
        <w:rPr>
          <w:rFonts w:asciiTheme="majorBidi" w:hAnsiTheme="majorBidi" w:cstheme="majorBidi"/>
          <w:sz w:val="22"/>
          <w:szCs w:val="22"/>
        </w:rPr>
        <w:tab/>
        <w:t>0,1 mg</w:t>
      </w:r>
    </w:p>
    <w:p w:rsidR="00FE2434" w:rsidRPr="0013074F" w:rsidRDefault="00FE2434" w:rsidP="00FE2434">
      <w:pPr>
        <w:tabs>
          <w:tab w:val="left" w:pos="3544"/>
        </w:tabs>
        <w:spacing w:before="96" w:after="96"/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tabs>
          <w:tab w:val="left" w:pos="3544"/>
        </w:tabs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Čirý bezbarvý, injekční roztok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4.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INDIKACE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 xml:space="preserve">Přípravek je u koní indikován k vedení analgezie a sedace, u psů a koček k vedení analgezie, sedace a preanestezie. </w:t>
      </w:r>
    </w:p>
    <w:p w:rsidR="00FE2434" w:rsidRPr="0013074F" w:rsidRDefault="00FE2434" w:rsidP="00FE2434">
      <w:pPr>
        <w:spacing w:before="144" w:after="72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>KŮŇ: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t>Analgetikum</w:t>
      </w:r>
      <w:r w:rsidRPr="0013074F">
        <w:rPr>
          <w:rFonts w:asciiTheme="majorBidi" w:hAnsiTheme="majorBidi" w:cstheme="majorBidi"/>
          <w:bCs/>
          <w:sz w:val="22"/>
          <w:szCs w:val="22"/>
        </w:rPr>
        <w:t>: Tlumení mírné až silné abdominální bolesti gastrointestinálního původu včetně koliky. Přípravek tlumí bolest vzniklou v souvislosti s kolikou nebo porodními stavy.</w:t>
      </w:r>
      <w:r w:rsidRPr="0013074F">
        <w:rPr>
          <w:rFonts w:asciiTheme="majorBidi" w:hAnsiTheme="majorBidi" w:cstheme="majorBidi"/>
          <w:bCs/>
          <w:sz w:val="22"/>
          <w:szCs w:val="22"/>
          <w:highlight w:val="green"/>
        </w:rPr>
        <w:t xml:space="preserve"> </w:t>
      </w:r>
    </w:p>
    <w:p w:rsidR="00FE2434" w:rsidRPr="0013074F" w:rsidRDefault="00FE2434" w:rsidP="00FE2434">
      <w:pPr>
        <w:spacing w:before="144" w:after="72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t>Sedativum:</w:t>
      </w:r>
      <w:r w:rsidRPr="0013074F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3074F">
        <w:rPr>
          <w:rFonts w:asciiTheme="majorBidi" w:hAnsiTheme="majorBidi" w:cstheme="majorBidi"/>
          <w:sz w:val="22"/>
          <w:szCs w:val="22"/>
        </w:rPr>
        <w:t>K sedaci po podání stanovených agonistů alfa2-adreno</w:t>
      </w:r>
      <w:r w:rsidR="000F1645" w:rsidRPr="0013074F">
        <w:rPr>
          <w:rFonts w:asciiTheme="majorBidi" w:hAnsiTheme="majorBidi" w:cstheme="majorBidi"/>
          <w:sz w:val="22"/>
          <w:szCs w:val="22"/>
        </w:rPr>
        <w:t>re</w:t>
      </w:r>
      <w:r w:rsidRPr="0013074F">
        <w:rPr>
          <w:rFonts w:asciiTheme="majorBidi" w:hAnsiTheme="majorBidi" w:cstheme="majorBidi"/>
          <w:sz w:val="22"/>
          <w:szCs w:val="22"/>
        </w:rPr>
        <w:t>ceptoru (detomidin hydrochlorid, romifidin).</w:t>
      </w:r>
      <w:r w:rsidRPr="0013074F">
        <w:rPr>
          <w:rFonts w:asciiTheme="majorBidi" w:hAnsiTheme="majorBidi" w:cstheme="majorBidi"/>
          <w:i/>
          <w:sz w:val="22"/>
          <w:szCs w:val="22"/>
        </w:rPr>
        <w:br/>
      </w:r>
      <w:r w:rsidRPr="0013074F">
        <w:rPr>
          <w:rFonts w:asciiTheme="majorBidi" w:hAnsiTheme="majorBidi" w:cstheme="majorBidi"/>
          <w:sz w:val="22"/>
          <w:szCs w:val="22"/>
        </w:rPr>
        <w:t>Sedace při léčebných a diagnostických postupech na stojícím zvířeti.</w:t>
      </w:r>
    </w:p>
    <w:p w:rsidR="00FE2434" w:rsidRPr="0013074F" w:rsidRDefault="00FE2434" w:rsidP="00FE2434">
      <w:pPr>
        <w:spacing w:before="144" w:after="72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>PES: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t>Analgetikum:</w:t>
      </w:r>
      <w:r w:rsidRPr="0013074F">
        <w:rPr>
          <w:rFonts w:asciiTheme="majorBidi" w:hAnsiTheme="majorBidi" w:cstheme="majorBidi"/>
          <w:bCs/>
          <w:sz w:val="22"/>
          <w:szCs w:val="22"/>
        </w:rPr>
        <w:t xml:space="preserve"> Tlumení mírné až silné bolesti související s pooperačními postupy, zejména po ortopedických operacích nebo operacích měkkých tkání.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t>Sedativum:</w:t>
      </w:r>
      <w:r w:rsidRPr="0013074F">
        <w:rPr>
          <w:rFonts w:asciiTheme="majorBidi" w:hAnsiTheme="majorBidi" w:cstheme="majorBidi"/>
          <w:bCs/>
          <w:sz w:val="22"/>
          <w:szCs w:val="22"/>
        </w:rPr>
        <w:t xml:space="preserve"> V kombinaci s medetomidin hydrochloridem.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t>Preanestetikum</w:t>
      </w:r>
      <w:r w:rsidRPr="0013074F">
        <w:rPr>
          <w:rFonts w:asciiTheme="majorBidi" w:hAnsiTheme="majorBidi" w:cstheme="majorBidi"/>
          <w:bCs/>
          <w:sz w:val="22"/>
          <w:szCs w:val="22"/>
        </w:rPr>
        <w:t>: Podání přípravku v preanestezii snižuje dávku celkových anestetik, zejména thiopentalu sodného. Přípravek je podáván jako součást anestetického protokolu v kombinaci </w:t>
      </w:r>
      <w:r w:rsidR="004148FC" w:rsidRPr="0013074F">
        <w:rPr>
          <w:rFonts w:asciiTheme="majorBidi" w:hAnsiTheme="majorBidi" w:cstheme="majorBidi"/>
          <w:bCs/>
          <w:sz w:val="22"/>
          <w:szCs w:val="22"/>
        </w:rPr>
        <w:t xml:space="preserve">s </w:t>
      </w:r>
      <w:r w:rsidRPr="0013074F">
        <w:rPr>
          <w:rFonts w:asciiTheme="majorBidi" w:hAnsiTheme="majorBidi" w:cstheme="majorBidi"/>
          <w:bCs/>
          <w:sz w:val="22"/>
          <w:szCs w:val="22"/>
        </w:rPr>
        <w:t>medetomidin hydrochloridem a ketaminem.</w:t>
      </w:r>
    </w:p>
    <w:p w:rsidR="00FE2434" w:rsidRPr="0013074F" w:rsidRDefault="00FE2434" w:rsidP="00FE2434">
      <w:pPr>
        <w:spacing w:before="144" w:after="72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>KOČKA: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lastRenderedPageBreak/>
        <w:t>Analgetikum:</w:t>
      </w:r>
      <w:r w:rsidRPr="0013074F">
        <w:rPr>
          <w:rFonts w:asciiTheme="majorBidi" w:hAnsiTheme="majorBidi" w:cstheme="majorBidi"/>
          <w:bCs/>
          <w:sz w:val="22"/>
          <w:szCs w:val="22"/>
        </w:rPr>
        <w:t xml:space="preserve"> Tlumení mírné až silné bolesti související s operačními postupy, zejména po kastraci, ortopedických operacích nebo operacích měkkých tkání.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t>Sedativum</w:t>
      </w:r>
      <w:r w:rsidRPr="0013074F">
        <w:rPr>
          <w:rFonts w:asciiTheme="majorBidi" w:hAnsiTheme="majorBidi" w:cstheme="majorBidi"/>
          <w:bCs/>
          <w:sz w:val="22"/>
          <w:szCs w:val="22"/>
        </w:rPr>
        <w:t>: V kombinaci s medetomidin hydrochloridem.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t>Preanestetikum:</w:t>
      </w:r>
      <w:r w:rsidRPr="0013074F">
        <w:rPr>
          <w:rFonts w:asciiTheme="majorBidi" w:hAnsiTheme="majorBidi" w:cstheme="majorBidi"/>
          <w:bCs/>
          <w:sz w:val="22"/>
          <w:szCs w:val="22"/>
        </w:rPr>
        <w:t xml:space="preserve"> Podání přípravku v preanestezii snižuje dávku celkových anestetik, zejména thiopentalu sodného. Přípravek je podáván jako součást anestetického protokolu v kombinaci s medetomidin hydrochloridem a ketaminem.</w:t>
      </w: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 xml:space="preserve">5. 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KONTRAINDIKACE</w:t>
      </w:r>
    </w:p>
    <w:p w:rsidR="00FE2434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 xml:space="preserve">Nepoužívat v případě známé přecitlivělosti na léčivou látku nebo na některou z pomocných látek. </w:t>
      </w:r>
    </w:p>
    <w:p w:rsidR="00F7563D" w:rsidRPr="00530644" w:rsidRDefault="00F7563D" w:rsidP="00F7563D">
      <w:pPr>
        <w:rPr>
          <w:szCs w:val="22"/>
        </w:rPr>
      </w:pPr>
      <w:r w:rsidRPr="00530644">
        <w:rPr>
          <w:szCs w:val="22"/>
        </w:rPr>
        <w:t>Nepoužívat pro léčbu zvířa</w:t>
      </w:r>
      <w:r>
        <w:rPr>
          <w:szCs w:val="22"/>
        </w:rPr>
        <w:t xml:space="preserve">t s těžkou dysfunkcí </w:t>
      </w:r>
      <w:r w:rsidRPr="00530644">
        <w:rPr>
          <w:szCs w:val="22"/>
        </w:rPr>
        <w:t>ledvin.</w:t>
      </w:r>
    </w:p>
    <w:p w:rsidR="00F7563D" w:rsidRDefault="00F7563D" w:rsidP="00F7563D">
      <w:pPr>
        <w:rPr>
          <w:szCs w:val="22"/>
        </w:rPr>
      </w:pPr>
    </w:p>
    <w:p w:rsidR="00F7563D" w:rsidRDefault="00F7563D" w:rsidP="00F7563D">
      <w:pPr>
        <w:rPr>
          <w:szCs w:val="22"/>
        </w:rPr>
      </w:pPr>
      <w:r>
        <w:rPr>
          <w:szCs w:val="22"/>
        </w:rPr>
        <w:t xml:space="preserve">Použití butorfanolu je kontraindikováno v případě poranění mozku, přítomností organických lézí na mozku a u zvířat trpících obstrukčními onemocněními dýchacího ústrojí, srdeční dysfunkcí nebo v případě křečových stavů. </w:t>
      </w:r>
    </w:p>
    <w:p w:rsidR="00F7563D" w:rsidRPr="0013074F" w:rsidRDefault="00F7563D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KŮŇ:</w:t>
      </w:r>
    </w:p>
    <w:p w:rsidR="001A5947" w:rsidRPr="0013074F" w:rsidRDefault="001A5947" w:rsidP="001A5947">
      <w:pPr>
        <w:rPr>
          <w:rFonts w:asciiTheme="majorBidi" w:hAnsiTheme="majorBidi" w:cstheme="majorBidi"/>
          <w:i/>
          <w:sz w:val="22"/>
          <w:szCs w:val="22"/>
          <w:lang w:eastAsia="nl-NL"/>
        </w:rPr>
      </w:pPr>
      <w:r w:rsidRPr="0013074F">
        <w:rPr>
          <w:rFonts w:asciiTheme="majorBidi" w:hAnsiTheme="majorBidi" w:cstheme="majorBidi"/>
          <w:i/>
          <w:sz w:val="22"/>
          <w:szCs w:val="22"/>
          <w:lang w:eastAsia="nl-NL"/>
        </w:rPr>
        <w:t>Samostatně a v kombinaci:</w:t>
      </w:r>
    </w:p>
    <w:p w:rsidR="001A5947" w:rsidRPr="0013074F" w:rsidRDefault="001A5947" w:rsidP="001A5947">
      <w:pPr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Nepoužívat u zvířat s anamnézou onemocnění jater.</w:t>
      </w:r>
    </w:p>
    <w:p w:rsidR="001A5947" w:rsidRPr="0013074F" w:rsidRDefault="001A5947" w:rsidP="001A594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A5947" w:rsidRPr="0013074F" w:rsidRDefault="001A5947" w:rsidP="001A5947">
      <w:pPr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13074F">
        <w:rPr>
          <w:rFonts w:asciiTheme="majorBidi" w:hAnsiTheme="majorBidi" w:cstheme="majorBidi"/>
          <w:i/>
          <w:iCs/>
          <w:sz w:val="22"/>
          <w:szCs w:val="22"/>
        </w:rPr>
        <w:t xml:space="preserve">Kombinace butorfanol-detomidin hydrochlorid: </w:t>
      </w:r>
    </w:p>
    <w:p w:rsidR="001A5947" w:rsidRPr="0013074F" w:rsidRDefault="001A5947" w:rsidP="001A5947">
      <w:pPr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Nepoužívat u zvířat s kolikou.</w:t>
      </w:r>
    </w:p>
    <w:p w:rsidR="001A5947" w:rsidRPr="0013074F" w:rsidRDefault="001A5947" w:rsidP="001A5947">
      <w:pPr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Nepoužívat u zvířat se zjištěnou srdeční arytmií nebo bradykardií.</w:t>
      </w:r>
    </w:p>
    <w:p w:rsidR="001A5947" w:rsidRPr="0013074F" w:rsidRDefault="001A5947" w:rsidP="001A594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A5947" w:rsidRPr="0013074F" w:rsidRDefault="001A5947" w:rsidP="001A5947">
      <w:pPr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PES, KOČKA:</w:t>
      </w:r>
    </w:p>
    <w:p w:rsidR="001A5947" w:rsidRPr="0013074F" w:rsidRDefault="001A5947" w:rsidP="001A5947">
      <w:pPr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Nepoužívat u psů a koček s anamnézou onemocnění jater.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6.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NEŽÁDOUCÍ ÚČINKY</w:t>
      </w:r>
    </w:p>
    <w:p w:rsidR="00730026" w:rsidRDefault="00730026" w:rsidP="00730026">
      <w:pPr>
        <w:rPr>
          <w:b/>
          <w:szCs w:val="22"/>
          <w:u w:val="single"/>
        </w:rPr>
      </w:pPr>
    </w:p>
    <w:p w:rsidR="00D14831" w:rsidRPr="002A01F2" w:rsidRDefault="00D14831" w:rsidP="00D14831">
      <w:pPr>
        <w:rPr>
          <w:i/>
          <w:sz w:val="22"/>
          <w:szCs w:val="22"/>
        </w:rPr>
      </w:pPr>
      <w:r w:rsidRPr="002A01F2">
        <w:rPr>
          <w:i/>
          <w:sz w:val="22"/>
          <w:szCs w:val="22"/>
        </w:rPr>
        <w:t>VŠECHNY DRUHY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Ve vzácných případech může být po intramuskulárním podání v místě injekčního podání pozorována bolestivost.</w:t>
      </w:r>
    </w:p>
    <w:p w:rsidR="00D14831" w:rsidRPr="00A01517" w:rsidRDefault="00D14831" w:rsidP="00D14831">
      <w:pPr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:rsidR="00D14831" w:rsidRPr="00A01517" w:rsidRDefault="00D14831" w:rsidP="00D14831">
      <w:pPr>
        <w:jc w:val="both"/>
        <w:rPr>
          <w:rFonts w:asciiTheme="majorBidi" w:hAnsiTheme="majorBidi" w:cstheme="majorBidi"/>
          <w:sz w:val="22"/>
          <w:szCs w:val="22"/>
        </w:rPr>
      </w:pPr>
      <w:r w:rsidRPr="00A01517">
        <w:rPr>
          <w:rFonts w:asciiTheme="majorBidi" w:hAnsiTheme="majorBidi" w:cstheme="majorBidi"/>
          <w:i/>
          <w:iCs/>
          <w:sz w:val="22"/>
          <w:szCs w:val="22"/>
        </w:rPr>
        <w:t>KŮŇ</w:t>
      </w:r>
      <w:r w:rsidRPr="00A01517">
        <w:rPr>
          <w:rFonts w:asciiTheme="majorBidi" w:hAnsiTheme="majorBidi" w:cstheme="majorBidi"/>
          <w:sz w:val="22"/>
          <w:szCs w:val="22"/>
        </w:rPr>
        <w:t xml:space="preserve"> </w:t>
      </w:r>
    </w:p>
    <w:p w:rsidR="00D14831" w:rsidRPr="002A01F2" w:rsidRDefault="00D14831" w:rsidP="00D14831">
      <w:pPr>
        <w:rPr>
          <w:sz w:val="22"/>
          <w:szCs w:val="22"/>
        </w:rPr>
      </w:pPr>
      <w:r w:rsidRPr="00A01517">
        <w:rPr>
          <w:rFonts w:asciiTheme="majorBidi" w:hAnsiTheme="majorBidi" w:cstheme="majorBidi"/>
          <w:sz w:val="22"/>
          <w:szCs w:val="22"/>
        </w:rPr>
        <w:t xml:space="preserve">Nejběžnějším nežádoucím účinkem je mírná ataxie, která může trvat 3 až 10 minut. </w:t>
      </w:r>
      <w:r w:rsidRPr="002A01F2">
        <w:rPr>
          <w:sz w:val="22"/>
          <w:szCs w:val="22"/>
        </w:rPr>
        <w:t>V případě kombinace přípravku s detomidinem se může dostavit mírná až těžká ataxie, ale v klinických studiích se ukázalo, že je nepravděpodobné, aby u koní došlo k ulehnutí. Je nutno dodržovat běžná opatření, aby bylo zabráněno poranění koní.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Ve velmi vzácných případech může mít butorfanol rovněž nepříznivý účinek na motilitu gastrointestinálního traktu u koní, ačkoli nedochází k ovlivnění času průchodnosti gastrointestinálního traktu. Tyto účinky jsou závislé na podané dávce a obecně jsou mírné a přechodné.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Velmi vzácně může butorfanol způsobit excitaci lokomočních reflexů (pacing).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 xml:space="preserve">Při použití v kombinaci </w:t>
      </w:r>
      <w:r w:rsidRPr="002A01F2">
        <w:rPr>
          <w:sz w:val="22"/>
          <w:szCs w:val="22"/>
          <w:u w:val="single"/>
        </w:rPr>
        <w:t>s agonisty α2-adrenoceptoru</w:t>
      </w:r>
      <w:r w:rsidRPr="002A01F2">
        <w:rPr>
          <w:sz w:val="22"/>
          <w:szCs w:val="22"/>
        </w:rPr>
        <w:t xml:space="preserve"> může velmi vzácně dojít k depresi kardiopulmonálního systému. </w:t>
      </w:r>
      <w:r w:rsidRPr="002A01F2">
        <w:rPr>
          <w:sz w:val="22"/>
          <w:szCs w:val="22"/>
          <w:u w:val="single"/>
        </w:rPr>
        <w:t>To může mít ve vzácných případech fatální následky</w:t>
      </w:r>
      <w:r w:rsidRPr="002A01F2">
        <w:rPr>
          <w:sz w:val="22"/>
          <w:szCs w:val="22"/>
        </w:rPr>
        <w:t>.</w:t>
      </w:r>
    </w:p>
    <w:p w:rsidR="00D14831" w:rsidRPr="0013074F" w:rsidRDefault="00D14831" w:rsidP="00D1483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14831" w:rsidRPr="0013074F" w:rsidRDefault="00D14831" w:rsidP="00D14831">
      <w:pPr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13074F">
        <w:rPr>
          <w:rFonts w:asciiTheme="majorBidi" w:hAnsiTheme="majorBidi" w:cstheme="majorBidi"/>
          <w:i/>
          <w:iCs/>
          <w:sz w:val="22"/>
          <w:szCs w:val="22"/>
        </w:rPr>
        <w:t xml:space="preserve">PES </w:t>
      </w:r>
    </w:p>
    <w:p w:rsidR="00D14831" w:rsidRPr="002A01F2" w:rsidRDefault="00D14831" w:rsidP="00D14831">
      <w:pPr>
        <w:tabs>
          <w:tab w:val="left" w:pos="360"/>
          <w:tab w:val="num" w:pos="720"/>
        </w:tabs>
        <w:rPr>
          <w:sz w:val="22"/>
          <w:szCs w:val="22"/>
        </w:rPr>
      </w:pPr>
      <w:r w:rsidRPr="002A01F2">
        <w:rPr>
          <w:sz w:val="22"/>
          <w:szCs w:val="22"/>
        </w:rPr>
        <w:t xml:space="preserve">Ve vzácných případech byl hlášen výskyt přechodné poruchy koordinace pohybů, nechutenství a průjmu. </w:t>
      </w:r>
    </w:p>
    <w:p w:rsidR="00D14831" w:rsidRPr="002A01F2" w:rsidRDefault="00D14831" w:rsidP="00D14831">
      <w:pPr>
        <w:tabs>
          <w:tab w:val="left" w:pos="360"/>
          <w:tab w:val="num" w:pos="720"/>
        </w:tabs>
        <w:rPr>
          <w:sz w:val="22"/>
          <w:szCs w:val="22"/>
        </w:rPr>
      </w:pPr>
      <w:r w:rsidRPr="002A01F2">
        <w:rPr>
          <w:sz w:val="22"/>
          <w:szCs w:val="22"/>
        </w:rPr>
        <w:t>Ve velmi vzácných případech se může dostavit deprese dechové a srdeční činnosti (projevující se snížením dechové frekvence, vývojem bradykardie a poklesem diastolického tlaku). Stupeň deprese je závislý na dávce.</w:t>
      </w:r>
    </w:p>
    <w:p w:rsidR="00D14831" w:rsidRPr="002A01F2" w:rsidRDefault="00D14831" w:rsidP="00D14831">
      <w:pPr>
        <w:tabs>
          <w:tab w:val="left" w:pos="720"/>
        </w:tabs>
        <w:jc w:val="both"/>
        <w:rPr>
          <w:sz w:val="22"/>
          <w:szCs w:val="22"/>
        </w:rPr>
      </w:pPr>
      <w:r w:rsidRPr="002A01F2">
        <w:rPr>
          <w:sz w:val="22"/>
          <w:szCs w:val="22"/>
        </w:rPr>
        <w:t>Ve velmi vzácných případech může dojít ke snížení gastrointestinální motility.</w:t>
      </w:r>
    </w:p>
    <w:p w:rsidR="00D14831" w:rsidRPr="0013074F" w:rsidRDefault="00D14831" w:rsidP="00D1483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14831" w:rsidRPr="0013074F" w:rsidRDefault="00D14831" w:rsidP="00D14831">
      <w:pPr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13074F">
        <w:rPr>
          <w:rFonts w:asciiTheme="majorBidi" w:hAnsiTheme="majorBidi" w:cstheme="majorBidi"/>
          <w:i/>
          <w:iCs/>
          <w:sz w:val="22"/>
          <w:szCs w:val="22"/>
        </w:rPr>
        <w:t xml:space="preserve">KOČKA </w:t>
      </w:r>
    </w:p>
    <w:p w:rsidR="00D14831" w:rsidRPr="002A01F2" w:rsidRDefault="00D14831" w:rsidP="00D14831">
      <w:pPr>
        <w:tabs>
          <w:tab w:val="left" w:pos="360"/>
          <w:tab w:val="num" w:pos="720"/>
        </w:tabs>
        <w:rPr>
          <w:sz w:val="22"/>
          <w:szCs w:val="22"/>
        </w:rPr>
      </w:pPr>
      <w:r w:rsidRPr="002A01F2">
        <w:rPr>
          <w:sz w:val="22"/>
          <w:szCs w:val="22"/>
        </w:rPr>
        <w:lastRenderedPageBreak/>
        <w:t>Ve velmi vzácných případech se může dostavit deprese dýchání.</w:t>
      </w:r>
    </w:p>
    <w:p w:rsidR="00D14831" w:rsidRPr="002A01F2" w:rsidRDefault="00D14831" w:rsidP="00D14831">
      <w:pPr>
        <w:tabs>
          <w:tab w:val="left" w:pos="720"/>
        </w:tabs>
        <w:jc w:val="both"/>
        <w:rPr>
          <w:sz w:val="22"/>
          <w:szCs w:val="22"/>
        </w:rPr>
      </w:pPr>
      <w:r w:rsidRPr="002A01F2">
        <w:rPr>
          <w:sz w:val="22"/>
          <w:szCs w:val="22"/>
        </w:rPr>
        <w:t>Velmi vzácně se může po podání butorfanoludostavit excitace, úzkost, dezorientace, dysforie a mydriasa.</w:t>
      </w:r>
    </w:p>
    <w:p w:rsidR="00D14831" w:rsidRPr="0013074F" w:rsidRDefault="00D14831" w:rsidP="00D1483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&lt;Četnost nežádoucích účinků je charakterizována podle následujících pravidel: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- velmi časté (nežádoucí účinek (nky) se projevil(y) u více než 1 z 10 ošetřených zvířat)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- časté (u více než 1, ale méně než 10 ze 100 ošetřených zvířat)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- neobvyklé (u více než 1, ale méně než 10 z 1000 ošetřených zvířat)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- vzácné (u více než 1, ale méně než 10 z 10000 ošetřených zvířat)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- velmi vzácné (u méně než 1 z 10000 ošetřených zvířat, včetně ojedinělých hlášení).&gt;</w:t>
      </w:r>
    </w:p>
    <w:p w:rsidR="001443BA" w:rsidRDefault="001443BA" w:rsidP="00907245">
      <w:pPr>
        <w:rPr>
          <w:sz w:val="22"/>
          <w:szCs w:val="22"/>
        </w:rPr>
      </w:pPr>
    </w:p>
    <w:p w:rsidR="00907245" w:rsidRPr="0013074F" w:rsidRDefault="00907245" w:rsidP="00907245">
      <w:pPr>
        <w:rPr>
          <w:sz w:val="22"/>
          <w:szCs w:val="22"/>
        </w:rPr>
      </w:pPr>
      <w:r w:rsidRPr="0013074F">
        <w:rPr>
          <w:sz w:val="22"/>
          <w:szCs w:val="22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D14831" w:rsidRPr="00BB6292" w:rsidRDefault="00D14831" w:rsidP="00D14831">
      <w:pPr>
        <w:rPr>
          <w:sz w:val="22"/>
          <w:szCs w:val="22"/>
        </w:rPr>
      </w:pPr>
      <w:r w:rsidRPr="00BB6292">
        <w:rPr>
          <w:sz w:val="22"/>
          <w:szCs w:val="22"/>
        </w:rPr>
        <w:t>Můžete také hlásit prostřednictvím národního systému hlášení nežádoucích účinků www.uskvbl.cz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7.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CÍLOVÝ DRUH ZVÍŘAT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Koně, psi, kočky.</w:t>
      </w: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8.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DÁVKOVÁNÍ PRO KAŽDÝ DRUH, CESTA(Y) A ZPŮSOB PODÁNÍ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bCs/>
          <w:sz w:val="22"/>
          <w:szCs w:val="22"/>
          <w:u w:val="single"/>
        </w:rPr>
        <w:t>Způsob podání: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 xml:space="preserve">KŮŇ: </w:t>
      </w:r>
      <w:r w:rsidR="00D14831">
        <w:rPr>
          <w:rFonts w:asciiTheme="majorBidi" w:hAnsiTheme="majorBidi" w:cstheme="majorBidi"/>
          <w:bCs/>
          <w:sz w:val="22"/>
          <w:szCs w:val="22"/>
        </w:rPr>
        <w:t>Pouze</w:t>
      </w:r>
      <w:r w:rsidR="00D14831" w:rsidRPr="0013074F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13074F">
        <w:rPr>
          <w:rFonts w:asciiTheme="majorBidi" w:hAnsiTheme="majorBidi" w:cstheme="majorBidi"/>
          <w:bCs/>
          <w:sz w:val="22"/>
          <w:szCs w:val="22"/>
        </w:rPr>
        <w:t>intravenózní podání (i.v.)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 xml:space="preserve">PES, KOČKA: </w:t>
      </w:r>
      <w:r w:rsidR="00D14831">
        <w:rPr>
          <w:rFonts w:asciiTheme="majorBidi" w:hAnsiTheme="majorBidi" w:cstheme="majorBidi"/>
          <w:bCs/>
          <w:sz w:val="22"/>
          <w:szCs w:val="22"/>
        </w:rPr>
        <w:t>I</w:t>
      </w:r>
      <w:r w:rsidRPr="0013074F">
        <w:rPr>
          <w:rFonts w:asciiTheme="majorBidi" w:hAnsiTheme="majorBidi" w:cstheme="majorBidi"/>
          <w:bCs/>
          <w:sz w:val="22"/>
          <w:szCs w:val="22"/>
        </w:rPr>
        <w:t>ntravenózní (i.v.), subkutánní (s.c.) nebo intramuskulární (i.m.) podání</w:t>
      </w:r>
    </w:p>
    <w:p w:rsidR="00FE2434" w:rsidRPr="0013074F" w:rsidRDefault="00FE2434" w:rsidP="00FE2434">
      <w:pPr>
        <w:spacing w:before="144" w:after="72"/>
        <w:jc w:val="both"/>
        <w:outlineLvl w:val="3"/>
        <w:rPr>
          <w:rFonts w:asciiTheme="majorBidi" w:hAnsiTheme="majorBidi" w:cstheme="majorBidi"/>
          <w:bCs/>
          <w:sz w:val="22"/>
          <w:szCs w:val="22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>V případě i.v. podání nepodávejte jako bolus. Vyvarujte se příliš rychlému i.v. podání. Při opakovaném s.c. nebo i.m. podání aplikujte na různá místa.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Dávkování pro každý druh: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bCs/>
          <w:sz w:val="22"/>
          <w:szCs w:val="22"/>
        </w:rPr>
        <w:t>KŮŇ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Jako analgetikum: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samostatně: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Aplikujte v dávce 0,1 mg/kg ž. hm., což odpovídá dávce 0,01 ml přípravku/kg ž. hm., tj. 1 ml/100 kg ž. hm. i.v.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Dávku lze opakovat podle potřeby. Analgetický efekt nastupuje během 15 minut po aplikaci.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Jako sedativum: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v kombinaci s detomidin</w:t>
      </w:r>
      <w:r w:rsidR="005A04A1" w:rsidRPr="0013074F">
        <w:rPr>
          <w:rFonts w:asciiTheme="majorBidi" w:hAnsiTheme="majorBidi" w:cstheme="majorBidi"/>
          <w:b/>
          <w:sz w:val="22"/>
          <w:szCs w:val="22"/>
        </w:rPr>
        <w:t xml:space="preserve"> hydrochlorid</w:t>
      </w:r>
      <w:r w:rsidRPr="0013074F">
        <w:rPr>
          <w:rFonts w:asciiTheme="majorBidi" w:hAnsiTheme="majorBidi" w:cstheme="majorBidi"/>
          <w:b/>
          <w:sz w:val="22"/>
          <w:szCs w:val="22"/>
        </w:rPr>
        <w:t>em:</w:t>
      </w:r>
      <w:r w:rsidRPr="0013074F">
        <w:rPr>
          <w:rFonts w:asciiTheme="majorBidi" w:hAnsiTheme="majorBidi" w:cstheme="majorBidi"/>
          <w:sz w:val="22"/>
          <w:szCs w:val="22"/>
        </w:rPr>
        <w:t xml:space="preserve"> 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Aplikujte detomidin hydrochlorid v dávce 0,012 mg/kg ž. hm. i.v. Následně za 5 minut poté aplikujte butorfanol v dávce 0,025 mg/kg ž. hm., což odpovídá dávce 0,0025 ml přípravku/kg ž. hm., tj. 0,25 ml přípravku/100 kg ž. hm. i.v.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v kombinaci s romifidinem:</w:t>
      </w:r>
      <w:r w:rsidRPr="0013074F">
        <w:rPr>
          <w:rFonts w:asciiTheme="majorBidi" w:hAnsiTheme="majorBidi" w:cstheme="majorBidi"/>
          <w:sz w:val="22"/>
          <w:szCs w:val="22"/>
        </w:rPr>
        <w:t xml:space="preserve"> </w:t>
      </w:r>
    </w:p>
    <w:p w:rsidR="00FE2434" w:rsidRPr="0013074F" w:rsidRDefault="00FE2434" w:rsidP="005A04A1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Aplikujte romifidin v dávce 0,04</w:t>
      </w:r>
      <w:r w:rsidR="005A04A1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 xml:space="preserve">0,12 mg/kg ž. hm. i.v. Následně </w:t>
      </w:r>
      <w:r w:rsidR="005A04A1" w:rsidRPr="0013074F">
        <w:rPr>
          <w:rFonts w:asciiTheme="majorBidi" w:hAnsiTheme="majorBidi" w:cstheme="majorBidi"/>
          <w:sz w:val="22"/>
          <w:szCs w:val="22"/>
        </w:rPr>
        <w:t>za</w:t>
      </w:r>
      <w:r w:rsidRPr="0013074F">
        <w:rPr>
          <w:rFonts w:asciiTheme="majorBidi" w:hAnsiTheme="majorBidi" w:cstheme="majorBidi"/>
          <w:sz w:val="22"/>
          <w:szCs w:val="22"/>
        </w:rPr>
        <w:t xml:space="preserve"> 5 minut aplikujte butorfanol v dávce 0,02 mg/kg ž. hm., což odpovídá dávce 0,002 ml přípravku/kg ž. hm., tj. 0,2 ml přípravku/100 kg ž. hm. i.v.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PES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Jako analgetikum: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samostatně:</w:t>
      </w:r>
    </w:p>
    <w:p w:rsidR="00FE2434" w:rsidRPr="0013074F" w:rsidRDefault="00FE2434" w:rsidP="00CA5E01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lastRenderedPageBreak/>
        <w:t>Aplikujte v dávce 0,2</w:t>
      </w:r>
      <w:r w:rsidR="00CA5E01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>0,3 mg/kg ž. hm., což odpovídá dávce 0,02</w:t>
      </w:r>
      <w:r w:rsidR="00CA5E01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>0,03 ml přípravku/kg ž. hm., tj. 0,2</w:t>
      </w:r>
      <w:r w:rsidR="00CA5E01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>0,3 ml přípravku/10 kg ž. hm. i.v., i.m. nebo s.c.</w:t>
      </w:r>
    </w:p>
    <w:p w:rsidR="00FE2434" w:rsidRPr="0013074F" w:rsidRDefault="00FE2434" w:rsidP="00CA5E01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Přípravek aplikujte 15 min</w:t>
      </w:r>
      <w:r w:rsidR="00CA5E01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před ukončením anestezie, aby došlo k analgetickému účinku ve fázi zotavení. Analgetický účinek lze pozorovat během 15 min</w:t>
      </w:r>
      <w:r w:rsidR="00CA5E01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>. Na kontinuální analgezii lze opakovat dávku přípravku podle potřeby.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Jako sedativum: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v kombinaci s medetomidinem:</w:t>
      </w:r>
      <w:r w:rsidRPr="0013074F">
        <w:rPr>
          <w:rFonts w:asciiTheme="majorBidi" w:hAnsiTheme="majorBidi" w:cstheme="majorBidi"/>
          <w:sz w:val="22"/>
          <w:szCs w:val="22"/>
        </w:rPr>
        <w:t xml:space="preserve"> </w:t>
      </w:r>
    </w:p>
    <w:p w:rsidR="00FE2434" w:rsidRPr="0013074F" w:rsidRDefault="00FE2434" w:rsidP="00CA5E01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Aplikujte butorfanol v dávce 0,1 mg/kg ž. hm., což odpovídá dávce 0,01 ml přípravku/kg ž. hm. i.v. nebo i.m. Bezprostředně poté aplikujte medetomidin hydrochlorid v dávce 0,01</w:t>
      </w:r>
      <w:r w:rsidR="00CA5E01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 xml:space="preserve">0,025 mg/kg ž. hm.  i.v. nebo i.m. Obě léčiva podávejte odděleně, nikoli v jedné injekční stříkačce (viz bod </w:t>
      </w:r>
      <w:r w:rsidR="002B0027">
        <w:rPr>
          <w:rFonts w:asciiTheme="majorBidi" w:hAnsiTheme="majorBidi" w:cstheme="majorBidi"/>
          <w:sz w:val="22"/>
          <w:szCs w:val="22"/>
        </w:rPr>
        <w:t>12</w:t>
      </w:r>
      <w:r w:rsidRPr="0013074F">
        <w:rPr>
          <w:rFonts w:asciiTheme="majorBidi" w:hAnsiTheme="majorBidi" w:cstheme="majorBidi"/>
          <w:sz w:val="22"/>
          <w:szCs w:val="22"/>
        </w:rPr>
        <w:t>).</w:t>
      </w:r>
    </w:p>
    <w:p w:rsidR="00B80321" w:rsidRPr="0013074F" w:rsidRDefault="00B80321" w:rsidP="00B80321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Před zahájením léčebného zákroku čekejte 20 minut po aplikaci na dostatečný nástup sedace.  </w:t>
      </w:r>
    </w:p>
    <w:p w:rsidR="00FE2434" w:rsidRPr="0013074F" w:rsidRDefault="00FE2434" w:rsidP="00EA7B1E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Pro návrat z anestezie aplikujte atipamezol, v dávce 0,05</w:t>
      </w:r>
      <w:r w:rsidR="00EA7B1E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>0,125 mg/kg ž. hm. Přibližně do 5 min</w:t>
      </w:r>
      <w:r w:rsidR="00EA7B1E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dostává do sternální polohy a za další 2 min</w:t>
      </w:r>
      <w:r w:rsidR="00EA7B1E" w:rsidRPr="0013074F">
        <w:rPr>
          <w:rFonts w:asciiTheme="majorBidi" w:hAnsiTheme="majorBidi" w:cstheme="majorBidi"/>
          <w:sz w:val="22"/>
          <w:szCs w:val="22"/>
        </w:rPr>
        <w:t>uty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postaví.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Jako preanestetikum: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samostatně:</w:t>
      </w:r>
    </w:p>
    <w:p w:rsidR="00FE2434" w:rsidRPr="0013074F" w:rsidRDefault="00FE2434" w:rsidP="00700F67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Aplikujte v dávce 0,1</w:t>
      </w:r>
      <w:r w:rsidR="00EA7B1E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>0,2 mg/kg ž. hm., což odpovídá dávce 0,01</w:t>
      </w:r>
      <w:r w:rsidR="00700F67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>0,02 ml přípravku/kg ž. hm. i.v., i.m. nebo s.c.</w:t>
      </w:r>
    </w:p>
    <w:p w:rsidR="00FE2434" w:rsidRPr="0013074F" w:rsidRDefault="00FE2434" w:rsidP="00EA7B1E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Aplikujte 15 min</w:t>
      </w:r>
      <w:r w:rsidR="00EA7B1E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před navozením anestezie.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 xml:space="preserve">Jako sedativum a preanestetikum – premedikace barbiturátové anestezie: 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v kombinaci s medetomidinem</w:t>
      </w:r>
      <w:r w:rsidRPr="0013074F">
        <w:rPr>
          <w:rFonts w:asciiTheme="majorBidi" w:hAnsiTheme="majorBidi" w:cstheme="majorBidi"/>
          <w:sz w:val="22"/>
          <w:szCs w:val="22"/>
        </w:rPr>
        <w:t xml:space="preserve">: 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Aplikujte butorfanol v dávce 0,1 mg/kg ž. hm., což odpovídá dávce 0,01 ml příravku/kg ž. hm. i.v. nebo i.m. Bezprostředně poté aplikujte medetomidin hydrochlorid v dávce 0,01 mg/kg ž. hm.  i.v. nebo i.m. Obě léčiva podávejte odděleně, nikoli v jedné injekční stříkačce (viz bod </w:t>
      </w:r>
      <w:r w:rsidR="002B0027">
        <w:rPr>
          <w:rFonts w:asciiTheme="majorBidi" w:hAnsiTheme="majorBidi" w:cstheme="majorBidi"/>
          <w:sz w:val="22"/>
          <w:szCs w:val="22"/>
        </w:rPr>
        <w:t>1</w:t>
      </w:r>
      <w:r w:rsidRPr="0013074F">
        <w:rPr>
          <w:rFonts w:asciiTheme="majorBidi" w:hAnsiTheme="majorBidi" w:cstheme="majorBidi"/>
          <w:sz w:val="22"/>
          <w:szCs w:val="22"/>
        </w:rPr>
        <w:t>2).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 xml:space="preserve">Jako součást anestetické protokolu: 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v kombinaci s medetomidinem a ketaminem</w:t>
      </w:r>
      <w:r w:rsidRPr="0013074F">
        <w:rPr>
          <w:rFonts w:asciiTheme="majorBidi" w:hAnsiTheme="majorBidi" w:cstheme="majorBidi"/>
          <w:sz w:val="22"/>
          <w:szCs w:val="22"/>
        </w:rPr>
        <w:t xml:space="preserve">: </w:t>
      </w:r>
    </w:p>
    <w:p w:rsidR="00FE2434" w:rsidRPr="0013074F" w:rsidRDefault="00FE2434" w:rsidP="00EA7B1E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Aplikujte butorfanol v dávce 0,1 mg/kg ž. hm., což odpovídá dávce 0,01 ml přípravku/kg ž. hm. i.m. Bezprostředně poté aplikujte medetomidin hydrochlorid v dávce 0,025 mg/kg ž. hm. i.m. Obě léčiva podávejte odděleně, nikoli v jedné stříkačce (viz bod </w:t>
      </w:r>
      <w:r w:rsidR="002B0027">
        <w:rPr>
          <w:rFonts w:asciiTheme="majorBidi" w:hAnsiTheme="majorBidi" w:cstheme="majorBidi"/>
          <w:sz w:val="22"/>
          <w:szCs w:val="22"/>
        </w:rPr>
        <w:t>1</w:t>
      </w:r>
      <w:r w:rsidRPr="0013074F">
        <w:rPr>
          <w:rFonts w:asciiTheme="majorBidi" w:hAnsiTheme="majorBidi" w:cstheme="majorBidi"/>
          <w:sz w:val="22"/>
          <w:szCs w:val="22"/>
        </w:rPr>
        <w:t>2 ). Po 15 min</w:t>
      </w:r>
      <w:r w:rsidR="00EA7B1E" w:rsidRPr="0013074F">
        <w:rPr>
          <w:rFonts w:asciiTheme="majorBidi" w:hAnsiTheme="majorBidi" w:cstheme="majorBidi"/>
          <w:sz w:val="22"/>
          <w:szCs w:val="22"/>
        </w:rPr>
        <w:t>utách</w:t>
      </w:r>
      <w:r w:rsidRPr="0013074F">
        <w:rPr>
          <w:rFonts w:asciiTheme="majorBidi" w:hAnsiTheme="majorBidi" w:cstheme="majorBidi"/>
          <w:sz w:val="22"/>
          <w:szCs w:val="22"/>
        </w:rPr>
        <w:t xml:space="preserve"> aplikujte ketamin v dávce 5 mg/kg ž. hm. i.m. </w:t>
      </w:r>
    </w:p>
    <w:p w:rsidR="00FE2434" w:rsidRPr="0013074F" w:rsidRDefault="00FE2434" w:rsidP="003F6D06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Sedace a nástup anestezie se dostaví přibližně do 6 min</w:t>
      </w:r>
      <w:r w:rsidR="00EA7B1E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od první aplikace. Přibližně za 14 min</w:t>
      </w:r>
      <w:r w:rsidR="003F6D06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ztrácí </w:t>
      </w:r>
      <w:r w:rsidR="003F6D06" w:rsidRPr="0013074F">
        <w:rPr>
          <w:rFonts w:asciiTheme="majorBidi" w:hAnsiTheme="majorBidi" w:cstheme="majorBidi"/>
          <w:sz w:val="22"/>
          <w:szCs w:val="22"/>
        </w:rPr>
        <w:t>pedálový</w:t>
      </w:r>
      <w:r w:rsidRPr="0013074F">
        <w:rPr>
          <w:rFonts w:asciiTheme="majorBidi" w:hAnsiTheme="majorBidi" w:cstheme="majorBidi"/>
          <w:sz w:val="22"/>
          <w:szCs w:val="22"/>
        </w:rPr>
        <w:t xml:space="preserve"> reflex. Anestezie odeznívá přibližně za 53 min</w:t>
      </w:r>
      <w:r w:rsidR="003F6D06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po aplikaci ketaminu – vrací se </w:t>
      </w:r>
      <w:r w:rsidR="003F6D06" w:rsidRPr="0013074F">
        <w:rPr>
          <w:rFonts w:asciiTheme="majorBidi" w:hAnsiTheme="majorBidi" w:cstheme="majorBidi"/>
          <w:sz w:val="22"/>
          <w:szCs w:val="22"/>
        </w:rPr>
        <w:t>pedálový</w:t>
      </w:r>
      <w:r w:rsidRPr="0013074F">
        <w:rPr>
          <w:rFonts w:asciiTheme="majorBidi" w:hAnsiTheme="majorBidi" w:cstheme="majorBidi"/>
          <w:sz w:val="22"/>
          <w:szCs w:val="22"/>
        </w:rPr>
        <w:t xml:space="preserve"> reflex. Do sternální polohy se pacient vrací přibližně za 35 min</w:t>
      </w:r>
      <w:r w:rsidR="003F6D06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a za dalších 36 min</w:t>
      </w:r>
      <w:r w:rsidR="003F6D06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postaví. 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Pro zrušení anestezie po použití kombinace butorfanol-medetomindin-ketamin se nedoporučuje použití atipamezolu. 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br/>
        <w:t>KOČKA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Jako analgetikum předoperační: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samostatně: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Aplikujte v dávce 0,4 mg/kg ž. hm., což odpovídá dávce 0,04 ml přípravku/kg ž. hm., tj. 0,2 ml/5 kg ž. hm. i.m. nebo s.c.</w:t>
      </w:r>
    </w:p>
    <w:p w:rsidR="00FE2434" w:rsidRPr="0013074F" w:rsidRDefault="00FE2434" w:rsidP="003F6D06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Při použití intravenózní indukce anestezie aplikujte butorfanol s předstihem 15–30 min</w:t>
      </w:r>
      <w:r w:rsidR="003F6D06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před anestetikem.</w:t>
      </w:r>
    </w:p>
    <w:p w:rsidR="00FE2434" w:rsidRPr="0013074F" w:rsidRDefault="00FE2434" w:rsidP="003F6D06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Při použití intramuskulární indukce anestezie (acepromazin-ketamin nebo xylazin-ketamin) aplikujte butorfanol s předstihem 5 min</w:t>
      </w:r>
      <w:r w:rsidR="003F6D06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před aplikací anestetika. Doba probouzení se použitím butorfanolu nijak výrazně nenarušuje. 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lastRenderedPageBreak/>
        <w:t>Jako analgetikum pooperační:</w:t>
      </w:r>
    </w:p>
    <w:p w:rsidR="00FE2434" w:rsidRPr="0013074F" w:rsidRDefault="00FE2434" w:rsidP="00FE2434">
      <w:pPr>
        <w:pStyle w:val="Odstavecseseznamem"/>
        <w:numPr>
          <w:ilvl w:val="0"/>
          <w:numId w:val="2"/>
        </w:numPr>
        <w:spacing w:before="96" w:after="96" w:line="240" w:lineRule="auto"/>
        <w:jc w:val="both"/>
        <w:rPr>
          <w:rFonts w:asciiTheme="majorBidi" w:hAnsiTheme="majorBidi" w:cstheme="majorBidi"/>
        </w:rPr>
      </w:pPr>
      <w:r w:rsidRPr="0013074F">
        <w:rPr>
          <w:rFonts w:asciiTheme="majorBidi" w:hAnsiTheme="majorBidi" w:cstheme="majorBidi"/>
          <w:b/>
        </w:rPr>
        <w:t>intramuskulární, subkutánní podání:</w:t>
      </w:r>
      <w:r w:rsidRPr="0013074F">
        <w:rPr>
          <w:rFonts w:asciiTheme="majorBidi" w:hAnsiTheme="majorBidi" w:cstheme="majorBidi"/>
        </w:rPr>
        <w:t xml:space="preserve"> Aplikujte butorfanol v dávce 0,4 mg/kg ž. hm., což odpovídá dávce 0,04 ml přípravku/kg ž. hm., tj. 0,2 ml/5 kg ž. hm. s.c. nebo i.m.</w:t>
      </w:r>
    </w:p>
    <w:p w:rsidR="00FE2434" w:rsidRPr="0013074F" w:rsidRDefault="00FE2434" w:rsidP="00A45AB0">
      <w:pPr>
        <w:pStyle w:val="Odstavecseseznamem"/>
        <w:numPr>
          <w:ilvl w:val="0"/>
          <w:numId w:val="2"/>
        </w:numPr>
        <w:spacing w:before="96" w:after="96" w:line="240" w:lineRule="auto"/>
        <w:jc w:val="both"/>
        <w:rPr>
          <w:rFonts w:asciiTheme="majorBidi" w:hAnsiTheme="majorBidi" w:cstheme="majorBidi"/>
        </w:rPr>
      </w:pPr>
      <w:r w:rsidRPr="0013074F">
        <w:rPr>
          <w:rFonts w:asciiTheme="majorBidi" w:hAnsiTheme="majorBidi" w:cstheme="majorBidi"/>
          <w:b/>
        </w:rPr>
        <w:t>intravenózní podání:</w:t>
      </w:r>
      <w:r w:rsidRPr="0013074F">
        <w:rPr>
          <w:rFonts w:asciiTheme="majorBidi" w:hAnsiTheme="majorBidi" w:cstheme="majorBidi"/>
        </w:rPr>
        <w:t xml:space="preserve"> Aplikujte butorfanol v dávce 0,1 mg/kg ž. hm., což odpovídá dávce 0,01 ml</w:t>
      </w:r>
      <w:r w:rsidR="00A45AB0" w:rsidRPr="0013074F">
        <w:rPr>
          <w:rFonts w:asciiTheme="majorBidi" w:hAnsiTheme="majorBidi" w:cstheme="majorBidi"/>
        </w:rPr>
        <w:t xml:space="preserve"> </w:t>
      </w:r>
      <w:r w:rsidRPr="0013074F">
        <w:rPr>
          <w:rFonts w:asciiTheme="majorBidi" w:hAnsiTheme="majorBidi" w:cstheme="majorBidi"/>
        </w:rPr>
        <w:t>přípravku/kg ž. hm., tj. 0,05 ml přípravku/5 kg ž. hm. i.v.</w:t>
      </w:r>
    </w:p>
    <w:p w:rsidR="00FE2434" w:rsidRPr="0013074F" w:rsidRDefault="00FE2434" w:rsidP="00A45AB0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Aplikujte 15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před probouzením z anestezie.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Jako sedativum: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butorfanol v kombinaci s medetomidinem</w:t>
      </w:r>
      <w:r w:rsidRPr="0013074F">
        <w:rPr>
          <w:rFonts w:asciiTheme="majorBidi" w:hAnsiTheme="majorBidi" w:cstheme="majorBidi"/>
          <w:sz w:val="22"/>
          <w:szCs w:val="22"/>
        </w:rPr>
        <w:t xml:space="preserve">: </w:t>
      </w:r>
    </w:p>
    <w:p w:rsidR="00FE2434" w:rsidRPr="0013074F" w:rsidRDefault="00FE2434" w:rsidP="00A45AB0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Aplikujte butorfanol v dávce 0,4 mg/kg ž. hm., což odpovídá dávce 0,04 ml přípravku/kg ž. hm.  i.m. nebo s.c. Bezprostředně poté aplikujte medetomidin hydrochlorid v dávce 0,05 mg/kg ž. hm. s.c.  nebo i.m. Obě léčiva podávejte odděleně, nikoli v jedné injekční stříkačce (viz bod </w:t>
      </w:r>
      <w:r w:rsidR="002B0027">
        <w:rPr>
          <w:rFonts w:asciiTheme="majorBidi" w:hAnsiTheme="majorBidi" w:cstheme="majorBidi"/>
          <w:sz w:val="22"/>
          <w:szCs w:val="22"/>
        </w:rPr>
        <w:t>1</w:t>
      </w:r>
      <w:r w:rsidRPr="0013074F">
        <w:rPr>
          <w:rFonts w:asciiTheme="majorBidi" w:hAnsiTheme="majorBidi" w:cstheme="majorBidi"/>
          <w:sz w:val="22"/>
          <w:szCs w:val="22"/>
        </w:rPr>
        <w:t>2 ).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Pro použití u chirurgického šití ran by měla být použita lokální anestezie. </w:t>
      </w:r>
    </w:p>
    <w:p w:rsidR="00FE2434" w:rsidRPr="0013074F" w:rsidRDefault="00FE2434" w:rsidP="00A45AB0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Pro návrat z anestezie aplikujte atipamezol v dávce 0,125 mg/kg ž. hm. Přibližně po 4 min</w:t>
      </w:r>
      <w:r w:rsidR="00A45AB0" w:rsidRPr="0013074F">
        <w:rPr>
          <w:rFonts w:asciiTheme="majorBidi" w:hAnsiTheme="majorBidi" w:cstheme="majorBidi"/>
          <w:sz w:val="22"/>
          <w:szCs w:val="22"/>
        </w:rPr>
        <w:t>utách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dostává do sternální polohy a za další 1 min</w:t>
      </w:r>
      <w:r w:rsidR="00A45AB0" w:rsidRPr="0013074F">
        <w:rPr>
          <w:rFonts w:asciiTheme="majorBidi" w:hAnsiTheme="majorBidi" w:cstheme="majorBidi"/>
          <w:sz w:val="22"/>
          <w:szCs w:val="22"/>
        </w:rPr>
        <w:t>utu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postaví.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  <w:u w:val="single"/>
        </w:rPr>
        <w:t>Jako součást anestetického protokolu: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 xml:space="preserve">butorfanol v kombinaci s medetomidinem a ketaminem: </w:t>
      </w:r>
    </w:p>
    <w:p w:rsidR="00FE2434" w:rsidRPr="0013074F" w:rsidRDefault="00FE2434" w:rsidP="00870BD4">
      <w:pPr>
        <w:pStyle w:val="Odstavecseseznamem"/>
        <w:numPr>
          <w:ilvl w:val="0"/>
          <w:numId w:val="1"/>
        </w:numPr>
        <w:spacing w:before="96" w:after="96" w:line="240" w:lineRule="auto"/>
        <w:ind w:left="0" w:firstLine="0"/>
        <w:rPr>
          <w:rFonts w:asciiTheme="majorBidi" w:hAnsiTheme="majorBidi" w:cstheme="majorBidi"/>
        </w:rPr>
      </w:pPr>
      <w:r w:rsidRPr="0013074F">
        <w:rPr>
          <w:rFonts w:asciiTheme="majorBidi" w:hAnsiTheme="majorBidi" w:cstheme="majorBidi"/>
          <w:b/>
        </w:rPr>
        <w:t>intravenózní podání:</w:t>
      </w:r>
      <w:r w:rsidRPr="0013074F">
        <w:rPr>
          <w:rFonts w:asciiTheme="majorBidi" w:hAnsiTheme="majorBidi" w:cstheme="majorBidi"/>
        </w:rPr>
        <w:t xml:space="preserve"> </w:t>
      </w:r>
      <w:r w:rsidRPr="0013074F">
        <w:rPr>
          <w:rFonts w:asciiTheme="majorBidi" w:hAnsiTheme="majorBidi" w:cstheme="majorBidi"/>
        </w:rPr>
        <w:br/>
        <w:t>Aplikujte butorfanol v dávce 0,1 mg/kg ž. hm., což odpovídá dávce 0,01 ml přípravku/kg ž. hm. i.v. Bezprostředně poté aplikujte medetomidin hydrochlorid v dávce 0,04 mg/kg ž. hm. i.v. a ketamin v dávce 1,25</w:t>
      </w:r>
      <w:r w:rsidR="00870BD4" w:rsidRPr="0013074F">
        <w:rPr>
          <w:rFonts w:asciiTheme="majorBidi" w:hAnsiTheme="majorBidi" w:cstheme="majorBidi"/>
        </w:rPr>
        <w:t>-</w:t>
      </w:r>
      <w:r w:rsidRPr="0013074F">
        <w:rPr>
          <w:rFonts w:asciiTheme="majorBidi" w:hAnsiTheme="majorBidi" w:cstheme="majorBidi"/>
        </w:rPr>
        <w:t xml:space="preserve">2,5 mg/kg ž. hm. i.v.; ketamin dávkujte podle potřebné hloubky anestezie. Léčiva podávejte odděleně, nikoli v jedné injekční stříkačce (viz bod </w:t>
      </w:r>
      <w:r w:rsidR="002B0027">
        <w:rPr>
          <w:rFonts w:asciiTheme="majorBidi" w:hAnsiTheme="majorBidi" w:cstheme="majorBidi"/>
        </w:rPr>
        <w:t>1</w:t>
      </w:r>
      <w:r w:rsidRPr="0013074F">
        <w:rPr>
          <w:rFonts w:asciiTheme="majorBidi" w:hAnsiTheme="majorBidi" w:cstheme="majorBidi"/>
        </w:rPr>
        <w:t>2 ).</w:t>
      </w:r>
    </w:p>
    <w:p w:rsidR="00FE2434" w:rsidRPr="0013074F" w:rsidRDefault="00FE2434" w:rsidP="00A45AB0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Pacient ulehne během 2</w:t>
      </w:r>
      <w:r w:rsidR="00A45AB0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>3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po aplikaci. Ztráta pedálního reflexu nastává za 3 min</w:t>
      </w:r>
      <w:r w:rsidR="00A45AB0" w:rsidRPr="0013074F">
        <w:rPr>
          <w:rFonts w:asciiTheme="majorBidi" w:hAnsiTheme="majorBidi" w:cstheme="majorBidi"/>
          <w:sz w:val="22"/>
          <w:szCs w:val="22"/>
        </w:rPr>
        <w:t>uty</w:t>
      </w:r>
      <w:r w:rsidRPr="0013074F">
        <w:rPr>
          <w:rFonts w:asciiTheme="majorBidi" w:hAnsiTheme="majorBidi" w:cstheme="majorBidi"/>
          <w:sz w:val="22"/>
          <w:szCs w:val="22"/>
        </w:rPr>
        <w:t xml:space="preserve"> po aplikaci. Pro návrat z anestezie aplikujte atipamezol v dávce 0,2 mg/kg ž. hm. Přibližně do 2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obnoví pedální reflex, přibližně za 6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dostává do sternální polohy a za dalších 18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postaví. </w:t>
      </w:r>
    </w:p>
    <w:p w:rsidR="00FE2434" w:rsidRPr="0013074F" w:rsidRDefault="00FE2434" w:rsidP="00FE2434">
      <w:pPr>
        <w:pStyle w:val="Odstavecseseznamem"/>
        <w:numPr>
          <w:ilvl w:val="0"/>
          <w:numId w:val="1"/>
        </w:numPr>
        <w:spacing w:before="96" w:after="96" w:line="240" w:lineRule="auto"/>
        <w:ind w:left="0" w:firstLine="0"/>
        <w:rPr>
          <w:rFonts w:asciiTheme="majorBidi" w:hAnsiTheme="majorBidi" w:cstheme="majorBidi"/>
        </w:rPr>
      </w:pPr>
      <w:r w:rsidRPr="0013074F">
        <w:rPr>
          <w:rFonts w:asciiTheme="majorBidi" w:hAnsiTheme="majorBidi" w:cstheme="majorBidi"/>
          <w:b/>
        </w:rPr>
        <w:t>intramuskulární podání:</w:t>
      </w:r>
      <w:r w:rsidRPr="0013074F">
        <w:rPr>
          <w:rFonts w:asciiTheme="majorBidi" w:hAnsiTheme="majorBidi" w:cstheme="majorBidi"/>
        </w:rPr>
        <w:t xml:space="preserve"> </w:t>
      </w:r>
      <w:r w:rsidRPr="0013074F">
        <w:rPr>
          <w:rFonts w:asciiTheme="majorBidi" w:hAnsiTheme="majorBidi" w:cstheme="majorBidi"/>
        </w:rPr>
        <w:br/>
        <w:t xml:space="preserve">Aplikujte butorfanol v dávce 0,4 mg/kg ž. hm., což odpovídá dávce 0,04 ml přípravku/kg ž. hm. i.m. Bezprostředně poté aplikujte medetomidin hydrochlorid v dávce 0,08 mg/kg ž. hm. i.m. a ketamin v dávce 5 mg/kg ž. hm. i.m. Léčiva podávejte odděleně, nikoli v jedné injekční stříkačce (viz bod </w:t>
      </w:r>
      <w:r w:rsidR="002B0027">
        <w:rPr>
          <w:rFonts w:asciiTheme="majorBidi" w:hAnsiTheme="majorBidi" w:cstheme="majorBidi"/>
        </w:rPr>
        <w:t>1</w:t>
      </w:r>
      <w:r w:rsidRPr="0013074F">
        <w:rPr>
          <w:rFonts w:asciiTheme="majorBidi" w:hAnsiTheme="majorBidi" w:cstheme="majorBidi"/>
        </w:rPr>
        <w:t>2 ).</w:t>
      </w:r>
    </w:p>
    <w:p w:rsidR="00FE2434" w:rsidRPr="0013074F" w:rsidRDefault="00FE2434" w:rsidP="00700F67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Nástup účinku a návrat je závislý na podané dávce ketaminu. Pacient ulehne do 1 min</w:t>
      </w:r>
      <w:r w:rsidR="00A45AB0" w:rsidRPr="0013074F">
        <w:rPr>
          <w:rFonts w:asciiTheme="majorBidi" w:hAnsiTheme="majorBidi" w:cstheme="majorBidi"/>
          <w:sz w:val="22"/>
          <w:szCs w:val="22"/>
        </w:rPr>
        <w:t>uty</w:t>
      </w:r>
      <w:r w:rsidRPr="0013074F">
        <w:rPr>
          <w:rFonts w:asciiTheme="majorBidi" w:hAnsiTheme="majorBidi" w:cstheme="majorBidi"/>
          <w:sz w:val="22"/>
          <w:szCs w:val="22"/>
        </w:rPr>
        <w:t xml:space="preserve"> včetně ztráty pedálního reflexu. Bez další medikace </w:t>
      </w:r>
      <w:r w:rsidR="00870BD4" w:rsidRPr="0013074F">
        <w:rPr>
          <w:rFonts w:asciiTheme="majorBidi" w:hAnsiTheme="majorBidi" w:cstheme="majorBidi"/>
          <w:sz w:val="22"/>
          <w:szCs w:val="22"/>
        </w:rPr>
        <w:t xml:space="preserve">trvá </w:t>
      </w:r>
      <w:r w:rsidRPr="0013074F">
        <w:rPr>
          <w:rFonts w:asciiTheme="majorBidi" w:hAnsiTheme="majorBidi" w:cstheme="majorBidi"/>
          <w:sz w:val="22"/>
          <w:szCs w:val="22"/>
        </w:rPr>
        <w:t>anestezie až 60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(návrat do sternální polohy) a pacient se postaví během 70</w:t>
      </w:r>
      <w:r w:rsidR="00700F67" w:rsidRPr="0013074F">
        <w:rPr>
          <w:rFonts w:asciiTheme="majorBidi" w:hAnsiTheme="majorBidi" w:cstheme="majorBidi"/>
          <w:sz w:val="22"/>
          <w:szCs w:val="22"/>
        </w:rPr>
        <w:t>-</w:t>
      </w:r>
      <w:r w:rsidRPr="0013074F">
        <w:rPr>
          <w:rFonts w:asciiTheme="majorBidi" w:hAnsiTheme="majorBidi" w:cstheme="majorBidi"/>
          <w:sz w:val="22"/>
          <w:szCs w:val="22"/>
        </w:rPr>
        <w:t>83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>. Pro návrat z anestezie aplikujte atipamezol v dávce 0,1 mg/kg ž. hm. Přibližně do 4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obnoví pedální reflex, přibližně za 7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dostává do sternální polohy a za 18 min</w:t>
      </w:r>
      <w:r w:rsidR="00A45AB0" w:rsidRPr="0013074F">
        <w:rPr>
          <w:rFonts w:asciiTheme="majorBidi" w:hAnsiTheme="majorBidi" w:cstheme="majorBidi"/>
          <w:sz w:val="22"/>
          <w:szCs w:val="22"/>
        </w:rPr>
        <w:t>ut</w:t>
      </w:r>
      <w:r w:rsidRPr="0013074F">
        <w:rPr>
          <w:rFonts w:asciiTheme="majorBidi" w:hAnsiTheme="majorBidi" w:cstheme="majorBidi"/>
          <w:sz w:val="22"/>
          <w:szCs w:val="22"/>
        </w:rPr>
        <w:t xml:space="preserve"> se pacient postaví. 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Zátku lze propíchnout maximálně 50krát.</w:t>
      </w:r>
    </w:p>
    <w:p w:rsidR="00FE2434" w:rsidRPr="0013074F" w:rsidRDefault="00FE2434" w:rsidP="00FE2434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9.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POKYNY PRO SPRÁVNÉ PODÁNÍ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Pro zajištění podání správné dávky by měla být co nejpřesněji stanovena živá hmotnost.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Zátku lze propíchnout maximálně 50krát.</w:t>
      </w:r>
    </w:p>
    <w:p w:rsidR="00FE2434" w:rsidRPr="0013074F" w:rsidRDefault="00FE2434" w:rsidP="005A5B18">
      <w:pPr>
        <w:rPr>
          <w:rFonts w:asciiTheme="majorBidi" w:hAnsiTheme="majorBidi" w:cstheme="majorBidi"/>
          <w:sz w:val="22"/>
          <w:szCs w:val="22"/>
          <w:u w:val="single"/>
        </w:rPr>
      </w:pPr>
      <w:r w:rsidRPr="0013074F">
        <w:rPr>
          <w:rFonts w:asciiTheme="majorBidi" w:hAnsiTheme="majorBidi" w:cstheme="majorBidi"/>
          <w:sz w:val="22"/>
          <w:szCs w:val="22"/>
        </w:rPr>
        <w:br/>
      </w:r>
      <w:r w:rsidRPr="0013074F">
        <w:rPr>
          <w:rFonts w:asciiTheme="majorBidi" w:hAnsiTheme="majorBidi" w:cstheme="majorBidi"/>
          <w:b/>
          <w:sz w:val="22"/>
          <w:szCs w:val="22"/>
        </w:rPr>
        <w:t>10.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</w:r>
      <w:r w:rsidR="005A5B18" w:rsidRPr="0013074F">
        <w:rPr>
          <w:b/>
        </w:rPr>
        <w:t xml:space="preserve">OCHRANNÁ(É) LHŮTA(Y) 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Kůň: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Maso: Bez ochranných lhůt.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Mléko: Bez ochranných lhůt.</w:t>
      </w:r>
    </w:p>
    <w:p w:rsidR="00FE2434" w:rsidRPr="0013074F" w:rsidRDefault="00FE2434" w:rsidP="00FE2434">
      <w:pPr>
        <w:rPr>
          <w:rFonts w:asciiTheme="majorBidi" w:hAnsiTheme="majorBidi" w:cstheme="majorBidi"/>
          <w:iCs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11.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ZVLÁŠTNÍ OPATŘENÍ PRO UCHOVÁVÁNÍ</w:t>
      </w:r>
    </w:p>
    <w:p w:rsidR="00FE2434" w:rsidRPr="0013074F" w:rsidRDefault="00FE2434" w:rsidP="00FE2434">
      <w:pPr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Uchovávat mimo </w:t>
      </w:r>
      <w:r w:rsidR="005A5B18" w:rsidRPr="0013074F">
        <w:rPr>
          <w:rFonts w:asciiTheme="majorBidi" w:hAnsiTheme="majorBidi" w:cstheme="majorBidi"/>
          <w:sz w:val="22"/>
          <w:szCs w:val="22"/>
        </w:rPr>
        <w:t xml:space="preserve">dohled a </w:t>
      </w:r>
      <w:r w:rsidRPr="0013074F">
        <w:rPr>
          <w:rFonts w:asciiTheme="majorBidi" w:hAnsiTheme="majorBidi" w:cstheme="majorBidi"/>
          <w:sz w:val="22"/>
          <w:szCs w:val="22"/>
        </w:rPr>
        <w:t>dosah dětí.</w:t>
      </w:r>
    </w:p>
    <w:p w:rsidR="00FE2434" w:rsidRPr="0013074F" w:rsidRDefault="00FE2434" w:rsidP="00FE2434">
      <w:pPr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Tento veterinární léčivý přípravek nevyžaduje žádné zvláštní podmínky pro uchovávání.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lastRenderedPageBreak/>
        <w:t>Chraňte před světlem.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Nepoužívejte po uplynutí doby použitelnosti uvedené na obalu.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Doba použitelnosti po prvním otevření vnitřního obalu: 28 dní.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</w:p>
    <w:p w:rsidR="00FE2434" w:rsidRPr="0013074F" w:rsidRDefault="00FE2434" w:rsidP="00FE2434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12.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ZVLÁŠTNÍ UPOZORNĚNÍ</w:t>
      </w:r>
    </w:p>
    <w:p w:rsidR="00825526" w:rsidRPr="0013074F" w:rsidRDefault="00825526" w:rsidP="00825526">
      <w:pPr>
        <w:tabs>
          <w:tab w:val="left" w:pos="0"/>
        </w:tabs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Butorfanol je určen k použití v případech, kdy je třeba navodit krátkodobou analgezii (koně, psi) nebo krátkodobou až střednědobou analgezii (kočky). </w:t>
      </w:r>
    </w:p>
    <w:p w:rsidR="00825526" w:rsidRPr="0013074F" w:rsidRDefault="00825526" w:rsidP="00825526">
      <w:pPr>
        <w:tabs>
          <w:tab w:val="left" w:pos="0"/>
        </w:tabs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U koček může být individuální reakce na butorfanol různá. Při absenci adekvátní reakce na analgetikum je nutné použít jiné analgetikum. </w:t>
      </w:r>
    </w:p>
    <w:p w:rsidR="00825526" w:rsidRPr="0013074F" w:rsidRDefault="00825526" w:rsidP="00825526">
      <w:pPr>
        <w:tabs>
          <w:tab w:val="left" w:pos="0"/>
        </w:tabs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Zvýšení dávky u koček nezvyšuje intenzitu ani neprodlužuje dobu trvání požadovaných účinků. </w:t>
      </w:r>
    </w:p>
    <w:p w:rsidR="00825526" w:rsidRPr="0013074F" w:rsidRDefault="00825526" w:rsidP="00FE2434">
      <w:pPr>
        <w:jc w:val="both"/>
        <w:outlineLvl w:val="3"/>
        <w:rPr>
          <w:rFonts w:asciiTheme="majorBidi" w:hAnsiTheme="majorBidi" w:cstheme="majorBidi"/>
          <w:b/>
          <w:bCs/>
          <w:sz w:val="22"/>
          <w:szCs w:val="22"/>
        </w:rPr>
      </w:pP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BB6292">
        <w:rPr>
          <w:rFonts w:asciiTheme="majorBidi" w:hAnsiTheme="majorBidi" w:cstheme="majorBidi"/>
          <w:sz w:val="22"/>
          <w:szCs w:val="22"/>
          <w:u w:val="single"/>
        </w:rPr>
        <w:t>Zvláštní opatření pro použití u zvířat</w:t>
      </w:r>
      <w:r w:rsidR="00EA6045">
        <w:rPr>
          <w:rFonts w:asciiTheme="majorBidi" w:hAnsiTheme="majorBidi" w:cstheme="majorBidi"/>
          <w:sz w:val="22"/>
          <w:szCs w:val="22"/>
          <w:u w:val="single"/>
        </w:rPr>
        <w:t>:</w:t>
      </w:r>
      <w:r w:rsidRPr="00BB6292">
        <w:rPr>
          <w:rFonts w:asciiTheme="majorBidi" w:hAnsiTheme="majorBidi" w:cstheme="majorBidi"/>
          <w:sz w:val="22"/>
          <w:szCs w:val="22"/>
          <w:u w:val="single"/>
        </w:rPr>
        <w:br/>
      </w:r>
      <w:r w:rsidRPr="0013074F">
        <w:rPr>
          <w:rFonts w:asciiTheme="majorBidi" w:hAnsiTheme="majorBidi" w:cstheme="majorBidi"/>
          <w:sz w:val="22"/>
          <w:szCs w:val="22"/>
        </w:rPr>
        <w:t>Před použitím přípravku v kombinaci s jakýmikoli jinými léčivy je potřebné zohlednit kontraindikace a upozornění uvedené v příbalových informacích těchto léčiv.</w:t>
      </w:r>
    </w:p>
    <w:p w:rsidR="00FE2434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Butorfanol je derivát morfia a vykazuje tak opiátovou aktivitu. Nebyla stanovena bezpečnost přípravku u štěňat, koťat a hříbat. Použití přípravku u těchto skupin by mělo být založeno na zvážení terapeutického prospěchu a rizika příslušným veterinárním lékařem.</w:t>
      </w: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 xml:space="preserve">Kvůli svým antitusickým vlastnostem může butorfanol vést k hromadění hlenu v respiračním traktu. Použití butorfanolu u zvířat </w:t>
      </w:r>
      <w:r>
        <w:rPr>
          <w:sz w:val="22"/>
          <w:szCs w:val="22"/>
        </w:rPr>
        <w:t>s onemocněními</w:t>
      </w:r>
      <w:r w:rsidRPr="002A01F2">
        <w:rPr>
          <w:sz w:val="22"/>
          <w:szCs w:val="22"/>
        </w:rPr>
        <w:t xml:space="preserve"> spojenými se zvýšenou tvorbou hlenu v respiračním traktu by proto mělo být založeno na zvážení terapeutického prospěchu a rizika příslušným veterinárním lékařem.</w:t>
      </w:r>
    </w:p>
    <w:p w:rsidR="00D14831" w:rsidRPr="002A01F2" w:rsidRDefault="00D14831" w:rsidP="00D14831">
      <w:pPr>
        <w:rPr>
          <w:sz w:val="22"/>
          <w:szCs w:val="22"/>
        </w:rPr>
      </w:pPr>
    </w:p>
    <w:p w:rsidR="00D14831" w:rsidRPr="002A01F2" w:rsidRDefault="00D14831" w:rsidP="00D14831">
      <w:pPr>
        <w:rPr>
          <w:sz w:val="22"/>
          <w:szCs w:val="22"/>
        </w:rPr>
      </w:pPr>
      <w:r w:rsidRPr="002A01F2">
        <w:rPr>
          <w:sz w:val="22"/>
          <w:szCs w:val="22"/>
        </w:rPr>
        <w:t>Před každým použitím v kombinaci s agonisty α2-adrenoceptoru by měl být proveden poslech srdeční činnosti. Butorfanol v kombinaci s agonisty α2-adrenoceptoru by měl být u zvířat s kardiovaskulárním onemocněním používán obezřetně. Mělo by být zváženo souběžné podání anticholinergních přípravků, např. atropinu.</w:t>
      </w:r>
    </w:p>
    <w:p w:rsidR="00D14831" w:rsidRPr="0013074F" w:rsidRDefault="00D14831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</w:p>
    <w:p w:rsidR="00881995" w:rsidRPr="002A01F2" w:rsidRDefault="00881995" w:rsidP="00881995">
      <w:pPr>
        <w:rPr>
          <w:sz w:val="22"/>
          <w:szCs w:val="22"/>
        </w:rPr>
      </w:pPr>
      <w:r w:rsidRPr="00C555F6">
        <w:rPr>
          <w:rFonts w:asciiTheme="majorBidi" w:hAnsiTheme="majorBidi" w:cstheme="majorBidi"/>
          <w:sz w:val="22"/>
          <w:szCs w:val="22"/>
        </w:rPr>
        <w:t>KŮŇ:</w:t>
      </w:r>
      <w:r w:rsidRPr="00C555F6">
        <w:rPr>
          <w:rFonts w:asciiTheme="majorBidi" w:hAnsiTheme="majorBidi" w:cstheme="majorBidi"/>
          <w:sz w:val="22"/>
          <w:szCs w:val="22"/>
        </w:rPr>
        <w:br/>
      </w:r>
      <w:r w:rsidRPr="002A01F2">
        <w:rPr>
          <w:sz w:val="22"/>
          <w:szCs w:val="22"/>
        </w:rPr>
        <w:t>Použití přípravku v doporučené dávce může vést k přechodné ataxii nebo excitaci. Abyste při léčbě koní předešli poranění pacientů a ošetřujícího personálu, zvolte vhodné prostory pro podání přípravku.</w:t>
      </w:r>
    </w:p>
    <w:p w:rsidR="00881995" w:rsidRPr="00C555F6" w:rsidRDefault="00881995" w:rsidP="00881995">
      <w:pPr>
        <w:spacing w:before="96" w:after="96"/>
        <w:rPr>
          <w:rFonts w:asciiTheme="majorBidi" w:hAnsiTheme="majorBidi" w:cstheme="majorBidi"/>
          <w:sz w:val="22"/>
          <w:szCs w:val="22"/>
        </w:rPr>
      </w:pPr>
    </w:p>
    <w:p w:rsidR="00881995" w:rsidRPr="00C555F6" w:rsidRDefault="00881995" w:rsidP="00881995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C555F6">
        <w:rPr>
          <w:rFonts w:asciiTheme="majorBidi" w:hAnsiTheme="majorBidi" w:cstheme="majorBidi"/>
          <w:sz w:val="22"/>
          <w:szCs w:val="22"/>
        </w:rPr>
        <w:t>PES:</w:t>
      </w:r>
    </w:p>
    <w:p w:rsidR="00881995" w:rsidRPr="00C555F6" w:rsidRDefault="00881995" w:rsidP="00881995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C555F6">
        <w:rPr>
          <w:rFonts w:asciiTheme="majorBidi" w:hAnsiTheme="majorBidi" w:cstheme="majorBidi"/>
          <w:sz w:val="22"/>
          <w:szCs w:val="22"/>
        </w:rPr>
        <w:t xml:space="preserve">Intravenózní </w:t>
      </w:r>
      <w:r>
        <w:rPr>
          <w:rFonts w:asciiTheme="majorBidi" w:hAnsiTheme="majorBidi" w:cstheme="majorBidi"/>
          <w:sz w:val="22"/>
          <w:szCs w:val="22"/>
        </w:rPr>
        <w:t>podání</w:t>
      </w:r>
      <w:r w:rsidRPr="00C555F6">
        <w:rPr>
          <w:rFonts w:asciiTheme="majorBidi" w:hAnsiTheme="majorBidi" w:cstheme="majorBidi"/>
          <w:sz w:val="22"/>
          <w:szCs w:val="22"/>
        </w:rPr>
        <w:t xml:space="preserve"> je třeba provádět pomalu, ne jako rychlý bolus.</w:t>
      </w:r>
    </w:p>
    <w:p w:rsidR="00881995" w:rsidRPr="002A01F2" w:rsidRDefault="00881995" w:rsidP="00881995">
      <w:pPr>
        <w:rPr>
          <w:sz w:val="22"/>
          <w:szCs w:val="22"/>
        </w:rPr>
      </w:pPr>
      <w:r w:rsidRPr="002A01F2">
        <w:rPr>
          <w:sz w:val="22"/>
          <w:szCs w:val="22"/>
        </w:rPr>
        <w:t>U psů s mutací MDR1 snižte dávku o 25-50 %.</w:t>
      </w:r>
    </w:p>
    <w:p w:rsidR="00FE2434" w:rsidRPr="0013074F" w:rsidRDefault="00FE2434" w:rsidP="00FE2434">
      <w:pPr>
        <w:spacing w:before="96" w:after="96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KOČKA: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Dodržujte přesné dávkování. Dávku podávejte na základě přesně stanovené živé hmotnosti zvířete. Pro přesné dávkování je vhodné používat injekční stříkačku s vhodnou stupnicí (např. inzulínová stříkačka).</w:t>
      </w:r>
    </w:p>
    <w:p w:rsidR="00FE2434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Při depresi dýchání se může použít naloxon jako antidotum.</w:t>
      </w:r>
    </w:p>
    <w:p w:rsidR="00EA6045" w:rsidRPr="0013074F" w:rsidRDefault="00EA6045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</w:p>
    <w:p w:rsidR="00FE2434" w:rsidRPr="00BB6292" w:rsidRDefault="00FE2434" w:rsidP="00BB6292">
      <w:pPr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BB6292">
        <w:rPr>
          <w:rFonts w:asciiTheme="majorBidi" w:hAnsiTheme="majorBidi" w:cstheme="majorBidi"/>
          <w:sz w:val="22"/>
          <w:szCs w:val="22"/>
          <w:u w:val="single"/>
        </w:rPr>
        <w:t>Zvláštní opatření určené osobám, které podávají veterinární léčivý přípravek zvířatům</w:t>
      </w:r>
      <w:r w:rsidR="00EA6045">
        <w:rPr>
          <w:rFonts w:asciiTheme="majorBidi" w:hAnsiTheme="majorBidi" w:cstheme="majorBidi"/>
          <w:sz w:val="22"/>
          <w:szCs w:val="22"/>
          <w:u w:val="single"/>
        </w:rPr>
        <w:t>:</w:t>
      </w:r>
    </w:p>
    <w:p w:rsidR="00FE2434" w:rsidRPr="0013074F" w:rsidRDefault="00FE2434" w:rsidP="00BB6292">
      <w:pPr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Předcházejte náhodnému samopodání. Chraňte jehlu až do okamžiku podání přípravku. V případě náhodného sebepoškození injekčně aplikovaným přípravkem vyhledejte ihned lékařskou pomoc a ukažte příbalovou informaci nebo etiketu praktickému lékaři. 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NEŘIĎTE MOTOROVÉ VOZIDLO, neboť se může dostavit sedace, závrať a dezorientace. Jako antidotum lze použít opioidního antagonistu.</w:t>
      </w:r>
    </w:p>
    <w:p w:rsidR="00FE2434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Předcházejte náhodnému kontaktu přípravku s kůží a očima. V případě potřísnění kůže nebo zasažení očí vypláchněte ihned velkým množstvím vody.</w:t>
      </w:r>
    </w:p>
    <w:p w:rsidR="00EA6045" w:rsidRPr="0013074F" w:rsidRDefault="00EA6045" w:rsidP="00BB629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E2434" w:rsidRPr="00BB6292" w:rsidRDefault="00DE0E07" w:rsidP="00DE0E07">
      <w:pPr>
        <w:spacing w:before="144" w:after="72"/>
        <w:outlineLvl w:val="3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BB6292">
        <w:rPr>
          <w:rFonts w:asciiTheme="majorBidi" w:hAnsiTheme="majorBidi" w:cstheme="majorBidi"/>
          <w:bCs/>
          <w:sz w:val="22"/>
          <w:szCs w:val="22"/>
          <w:u w:val="single"/>
        </w:rPr>
        <w:t>B</w:t>
      </w:r>
      <w:r w:rsidR="00FE2434" w:rsidRPr="00BB6292">
        <w:rPr>
          <w:rFonts w:asciiTheme="majorBidi" w:hAnsiTheme="majorBidi" w:cstheme="majorBidi"/>
          <w:bCs/>
          <w:sz w:val="22"/>
          <w:szCs w:val="22"/>
          <w:u w:val="single"/>
        </w:rPr>
        <w:t>řezost a laktace</w:t>
      </w:r>
      <w:r w:rsidR="00EA6045">
        <w:rPr>
          <w:rFonts w:asciiTheme="majorBidi" w:hAnsiTheme="majorBidi" w:cstheme="majorBidi"/>
          <w:bCs/>
          <w:sz w:val="22"/>
          <w:szCs w:val="22"/>
          <w:u w:val="single"/>
        </w:rPr>
        <w:t>:</w:t>
      </w:r>
      <w:r w:rsidR="00FE2434" w:rsidRPr="00BB6292">
        <w:rPr>
          <w:rFonts w:asciiTheme="majorBidi" w:hAnsiTheme="majorBidi" w:cstheme="majorBidi"/>
          <w:bCs/>
          <w:sz w:val="22"/>
          <w:szCs w:val="22"/>
          <w:u w:val="single"/>
        </w:rPr>
        <w:t xml:space="preserve"> </w:t>
      </w:r>
    </w:p>
    <w:p w:rsidR="00881995" w:rsidRDefault="00881995" w:rsidP="00881995">
      <w:pPr>
        <w:rPr>
          <w:sz w:val="22"/>
          <w:szCs w:val="22"/>
        </w:rPr>
      </w:pPr>
      <w:r w:rsidRPr="002A01F2">
        <w:rPr>
          <w:sz w:val="22"/>
          <w:szCs w:val="22"/>
        </w:rPr>
        <w:t xml:space="preserve">Nebyla stanovena bezpečnost veterinárního léčivého přípravku pro použití během březosti a laktace. Použití butorfanolu během březosti a laktace </w:t>
      </w:r>
      <w:r>
        <w:rPr>
          <w:sz w:val="22"/>
          <w:szCs w:val="22"/>
        </w:rPr>
        <w:t>se nedoporučuje</w:t>
      </w:r>
      <w:r w:rsidRPr="002A01F2">
        <w:rPr>
          <w:sz w:val="22"/>
          <w:szCs w:val="22"/>
        </w:rPr>
        <w:t>.</w:t>
      </w:r>
    </w:p>
    <w:p w:rsidR="00EA6045" w:rsidRPr="002A01F2" w:rsidRDefault="00EA6045" w:rsidP="00881995">
      <w:pPr>
        <w:rPr>
          <w:sz w:val="22"/>
          <w:szCs w:val="22"/>
        </w:rPr>
      </w:pPr>
    </w:p>
    <w:p w:rsidR="00FE2434" w:rsidRPr="00BB6292" w:rsidRDefault="00FE2434" w:rsidP="00FE2434">
      <w:pPr>
        <w:spacing w:before="144" w:after="72"/>
        <w:outlineLvl w:val="3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BB6292">
        <w:rPr>
          <w:rFonts w:asciiTheme="majorBidi" w:hAnsiTheme="majorBidi" w:cstheme="majorBidi"/>
          <w:bCs/>
          <w:sz w:val="22"/>
          <w:szCs w:val="22"/>
          <w:u w:val="single"/>
        </w:rPr>
        <w:t>Interakce s dalšími léčivými přípravky a další formy interakce</w:t>
      </w:r>
      <w:r w:rsidR="00EA6045">
        <w:rPr>
          <w:rFonts w:asciiTheme="majorBidi" w:hAnsiTheme="majorBidi" w:cstheme="majorBidi"/>
          <w:bCs/>
          <w:sz w:val="22"/>
          <w:szCs w:val="22"/>
          <w:u w:val="single"/>
        </w:rPr>
        <w:t>:</w:t>
      </w:r>
    </w:p>
    <w:p w:rsidR="00881995" w:rsidRPr="002A01F2" w:rsidRDefault="00881995" w:rsidP="00881995">
      <w:pPr>
        <w:rPr>
          <w:sz w:val="22"/>
          <w:szCs w:val="22"/>
        </w:rPr>
      </w:pPr>
      <w:r w:rsidRPr="002A01F2">
        <w:rPr>
          <w:sz w:val="22"/>
          <w:szCs w:val="22"/>
        </w:rPr>
        <w:t xml:space="preserve">Při použití butorfanolu v kombinaci s určitými agonisty α2-adrenoceptoru (romifidin nebo detomidin u koní, medetomidin u psů a koček) se objevují synergistické účinky, které vyžadují snížení dávky butorfanolu (viz </w:t>
      </w:r>
      <w:r>
        <w:rPr>
          <w:sz w:val="22"/>
          <w:szCs w:val="22"/>
        </w:rPr>
        <w:t>bod 8</w:t>
      </w:r>
      <w:r w:rsidRPr="002A01F2">
        <w:rPr>
          <w:sz w:val="22"/>
          <w:szCs w:val="22"/>
        </w:rPr>
        <w:t>).</w:t>
      </w:r>
    </w:p>
    <w:p w:rsidR="00881995" w:rsidRPr="002A01F2" w:rsidRDefault="00881995" w:rsidP="00881995">
      <w:pPr>
        <w:rPr>
          <w:sz w:val="22"/>
          <w:szCs w:val="22"/>
        </w:rPr>
      </w:pPr>
      <w:r w:rsidRPr="002A01F2">
        <w:rPr>
          <w:sz w:val="22"/>
          <w:szCs w:val="22"/>
        </w:rPr>
        <w:t>Butorfanol má antitusické vlastnosti a neměl by být používán v kombinaci s přípravky usnadňujícími vykašlávání, protože by to mohlo vést ke hromadění hlenu v dýchacích cestách.</w:t>
      </w:r>
    </w:p>
    <w:p w:rsidR="00881995" w:rsidRPr="002A01F2" w:rsidRDefault="00881995" w:rsidP="00881995">
      <w:pPr>
        <w:rPr>
          <w:sz w:val="22"/>
          <w:szCs w:val="22"/>
        </w:rPr>
      </w:pPr>
      <w:r w:rsidRPr="002A01F2">
        <w:rPr>
          <w:sz w:val="22"/>
          <w:szCs w:val="22"/>
        </w:rPr>
        <w:t>Butorfanol má antagonistické účinky na opiátový mí (μ) receptor, což může rušit analgetický účinek čistých opiátových mí (μ) agonistů (např. morfinu/oxymorfinu) u zvířat, kterým již byly tyto látky podány.</w:t>
      </w:r>
    </w:p>
    <w:p w:rsidR="00881995" w:rsidRDefault="00881995" w:rsidP="00881995">
      <w:pPr>
        <w:rPr>
          <w:sz w:val="22"/>
          <w:szCs w:val="22"/>
        </w:rPr>
      </w:pPr>
      <w:r w:rsidRPr="002A01F2">
        <w:rPr>
          <w:sz w:val="22"/>
          <w:szCs w:val="22"/>
        </w:rPr>
        <w:t>Při současném použití depresorů centrálního nervového systému lze očekávat, že dojde k potenciaci účinků butorfanolu. Takové přípravky musejí být používány opatrně. Při současném podání s těmito látkami by měla být použita snížená dávka butorfanolu.</w:t>
      </w:r>
    </w:p>
    <w:p w:rsidR="00EA6045" w:rsidRPr="002A01F2" w:rsidRDefault="00EA6045" w:rsidP="00881995">
      <w:pPr>
        <w:rPr>
          <w:sz w:val="22"/>
          <w:szCs w:val="22"/>
        </w:rPr>
      </w:pPr>
    </w:p>
    <w:p w:rsidR="00FE2434" w:rsidRPr="00BB6292" w:rsidRDefault="00FE2434" w:rsidP="00FE2434">
      <w:pPr>
        <w:spacing w:before="144" w:after="72"/>
        <w:outlineLvl w:val="3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BB6292">
        <w:rPr>
          <w:rFonts w:asciiTheme="majorBidi" w:hAnsiTheme="majorBidi" w:cstheme="majorBidi"/>
          <w:bCs/>
          <w:sz w:val="22"/>
          <w:szCs w:val="22"/>
          <w:u w:val="single"/>
        </w:rPr>
        <w:t>Předávkování (symptomy, první pomoc, antidota), pokud je to nutné</w:t>
      </w:r>
      <w:r w:rsidR="00EA6045">
        <w:rPr>
          <w:rFonts w:asciiTheme="majorBidi" w:hAnsiTheme="majorBidi" w:cstheme="majorBidi"/>
          <w:bCs/>
          <w:sz w:val="22"/>
          <w:szCs w:val="22"/>
          <w:u w:val="single"/>
        </w:rPr>
        <w:t>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Nejvýznamnější následek předávkování je deprese dechu. Vhodným antidotem jsou antagonisté opiodidních recepterů (např. naloxon). </w:t>
      </w:r>
    </w:p>
    <w:p w:rsidR="00FE2434" w:rsidRDefault="00FE2434" w:rsidP="003C0F10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Při předávkování butorfanol</w:t>
      </w:r>
      <w:r w:rsidR="003C0F10" w:rsidRPr="0013074F">
        <w:rPr>
          <w:rFonts w:asciiTheme="majorBidi" w:hAnsiTheme="majorBidi" w:cstheme="majorBidi"/>
          <w:sz w:val="22"/>
          <w:szCs w:val="22"/>
        </w:rPr>
        <w:t>em</w:t>
      </w:r>
      <w:r w:rsidRPr="0013074F">
        <w:rPr>
          <w:rFonts w:asciiTheme="majorBidi" w:hAnsiTheme="majorBidi" w:cstheme="majorBidi"/>
          <w:sz w:val="22"/>
          <w:szCs w:val="22"/>
        </w:rPr>
        <w:t xml:space="preserve"> v kombinaci s medetomidin hydrochloridem, případně ketaminem, je vhodným antidotem atipemazol</w:t>
      </w:r>
      <w:r w:rsidR="007743A4" w:rsidRPr="0013074F">
        <w:rPr>
          <w:rFonts w:asciiTheme="majorBidi" w:hAnsiTheme="majorBidi" w:cstheme="majorBidi"/>
          <w:sz w:val="22"/>
          <w:szCs w:val="22"/>
        </w:rPr>
        <w:t>,</w:t>
      </w:r>
      <w:r w:rsidRPr="0013074F">
        <w:rPr>
          <w:rFonts w:asciiTheme="majorBidi" w:hAnsiTheme="majorBidi" w:cstheme="majorBidi"/>
          <w:sz w:val="22"/>
          <w:szCs w:val="22"/>
        </w:rPr>
        <w:t xml:space="preserve"> s výjimkou intramuskulárního podání kombinace butorfanol-medetomidin-ketamin u psů. </w:t>
      </w:r>
    </w:p>
    <w:p w:rsidR="00EA6045" w:rsidRPr="0013074F" w:rsidRDefault="00EA6045" w:rsidP="003C0F10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</w:p>
    <w:p w:rsidR="00FE2434" w:rsidRPr="00BB6292" w:rsidRDefault="00FE2434" w:rsidP="00FE2434">
      <w:pPr>
        <w:keepNext/>
        <w:spacing w:before="144" w:after="72"/>
        <w:outlineLvl w:val="3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BB6292">
        <w:rPr>
          <w:rFonts w:asciiTheme="majorBidi" w:hAnsiTheme="majorBidi" w:cstheme="majorBidi"/>
          <w:bCs/>
          <w:sz w:val="22"/>
          <w:szCs w:val="22"/>
          <w:u w:val="single"/>
        </w:rPr>
        <w:t>Inkompatibility</w:t>
      </w:r>
      <w:r w:rsidR="00EA6045">
        <w:rPr>
          <w:rFonts w:asciiTheme="majorBidi" w:hAnsiTheme="majorBidi" w:cstheme="majorBidi"/>
          <w:bCs/>
          <w:sz w:val="22"/>
          <w:szCs w:val="22"/>
          <w:u w:val="single"/>
        </w:rPr>
        <w:t>: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Studie kompatibility nejsou k dispozici, a proto tento veterinární léčivý přípravek nesmí být mísen s žádnými dalšími veterinárními léčivými přípravky.</w:t>
      </w: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13.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ZVLÁŠTNÍ OPATŘENÍ PRO ZNEŠKODŇOVÁNÍ NEPOUŽITÝCH PŘÍPRAVKŮ NEBO ODPADU, POKUD JE JICH TŘEBA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 xml:space="preserve">Léčivé přípravky se nesmí likvidovat prostřednictví odpadní vody či domovního odpadu. </w:t>
      </w:r>
    </w:p>
    <w:p w:rsidR="00FE2434" w:rsidRPr="0013074F" w:rsidRDefault="00FE2434" w:rsidP="00FE2434">
      <w:pPr>
        <w:spacing w:before="96" w:after="96"/>
        <w:jc w:val="both"/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O možnostech likvidace nepotřebných léčivých přípravků se poraďte s vaším veterinárním lékařem. Tato opatření napomáhají chránit životní prostředí.</w:t>
      </w: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14.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DATUM POSLEDNÍ REVIZE PŘÍBALOVÉ INFORMACE</w:t>
      </w:r>
    </w:p>
    <w:p w:rsidR="00FE2434" w:rsidRPr="0013074F" w:rsidRDefault="002839FE" w:rsidP="00FE2434">
      <w:pPr>
        <w:ind w:right="-318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Červen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881995">
        <w:rPr>
          <w:rFonts w:asciiTheme="majorBidi" w:hAnsiTheme="majorBidi" w:cstheme="majorBidi"/>
          <w:sz w:val="22"/>
          <w:szCs w:val="22"/>
        </w:rPr>
        <w:t>2018</w:t>
      </w:r>
    </w:p>
    <w:p w:rsidR="00FE2434" w:rsidRPr="0013074F" w:rsidRDefault="00FE2434" w:rsidP="00FE2434">
      <w:pPr>
        <w:rPr>
          <w:rFonts w:asciiTheme="majorBidi" w:hAnsiTheme="majorBidi" w:cstheme="majorBidi"/>
          <w:b/>
          <w:sz w:val="22"/>
          <w:szCs w:val="22"/>
        </w:rPr>
      </w:pP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b/>
          <w:sz w:val="22"/>
          <w:szCs w:val="22"/>
        </w:rPr>
        <w:t>15.</w:t>
      </w:r>
      <w:r w:rsidRPr="0013074F">
        <w:rPr>
          <w:rFonts w:asciiTheme="majorBidi" w:hAnsiTheme="majorBidi" w:cstheme="majorBidi"/>
          <w:b/>
          <w:sz w:val="22"/>
          <w:szCs w:val="22"/>
        </w:rPr>
        <w:tab/>
        <w:t>DALŠÍ INFORMACE</w:t>
      </w:r>
    </w:p>
    <w:p w:rsidR="00FE2434" w:rsidRPr="0013074F" w:rsidRDefault="00FE2434" w:rsidP="00FE243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Pouze pro zvířata.</w:t>
      </w:r>
    </w:p>
    <w:p w:rsidR="007743A4" w:rsidRPr="0013074F" w:rsidRDefault="00FE2434" w:rsidP="007743A4">
      <w:pPr>
        <w:rPr>
          <w:rFonts w:asciiTheme="majorBidi" w:hAnsiTheme="majorBidi" w:cstheme="majorBidi"/>
          <w:sz w:val="22"/>
          <w:szCs w:val="22"/>
        </w:rPr>
      </w:pPr>
      <w:r w:rsidRPr="0013074F">
        <w:rPr>
          <w:rFonts w:asciiTheme="majorBidi" w:hAnsiTheme="majorBidi" w:cstheme="majorBidi"/>
          <w:sz w:val="22"/>
          <w:szCs w:val="22"/>
        </w:rPr>
        <w:t>Veterinární léčivý přípravek je vydáván pouze na předpis.</w:t>
      </w:r>
    </w:p>
    <w:p w:rsidR="00881995" w:rsidRDefault="00881995" w:rsidP="007743A4">
      <w:pPr>
        <w:spacing w:before="96" w:after="96"/>
        <w:rPr>
          <w:sz w:val="22"/>
          <w:szCs w:val="22"/>
        </w:rPr>
      </w:pPr>
    </w:p>
    <w:p w:rsidR="007743A4" w:rsidRPr="0013074F" w:rsidRDefault="007743A4" w:rsidP="007743A4">
      <w:pPr>
        <w:spacing w:before="96" w:after="96"/>
        <w:rPr>
          <w:sz w:val="22"/>
          <w:szCs w:val="22"/>
        </w:rPr>
      </w:pPr>
      <w:r w:rsidRPr="0013074F">
        <w:rPr>
          <w:sz w:val="22"/>
          <w:szCs w:val="22"/>
        </w:rPr>
        <w:t>Velikost balení: 1 x 10 ml.</w:t>
      </w:r>
    </w:p>
    <w:p w:rsidR="007743A4" w:rsidRPr="00881995" w:rsidRDefault="007743A4" w:rsidP="007743A4">
      <w:pPr>
        <w:rPr>
          <w:sz w:val="22"/>
          <w:szCs w:val="22"/>
        </w:rPr>
      </w:pPr>
    </w:p>
    <w:p w:rsidR="00FE2434" w:rsidRPr="0013074F" w:rsidRDefault="00B42D93" w:rsidP="00FE2434">
      <w:pPr>
        <w:rPr>
          <w:rFonts w:asciiTheme="majorBidi" w:hAnsiTheme="majorBidi" w:cstheme="majorBidi"/>
          <w:sz w:val="22"/>
          <w:szCs w:val="22"/>
        </w:rPr>
      </w:pPr>
      <w:r w:rsidRPr="00BB6292"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  <w:r w:rsidR="007743A4" w:rsidRPr="00BB6292">
        <w:rPr>
          <w:spacing w:val="1"/>
          <w:sz w:val="22"/>
          <w:szCs w:val="22"/>
        </w:rPr>
        <w:t xml:space="preserve"> </w:t>
      </w:r>
      <w:bookmarkStart w:id="0" w:name="_GoBack"/>
      <w:bookmarkEnd w:id="0"/>
    </w:p>
    <w:p w:rsidR="00BC19E8" w:rsidRPr="0013074F" w:rsidRDefault="00BC19E8" w:rsidP="008F6323">
      <w:pPr>
        <w:spacing w:before="96" w:after="96"/>
        <w:rPr>
          <w:rFonts w:asciiTheme="majorBidi" w:hAnsiTheme="majorBidi" w:cstheme="majorBidi"/>
          <w:b/>
          <w:bCs/>
          <w:sz w:val="22"/>
          <w:szCs w:val="22"/>
        </w:rPr>
      </w:pPr>
    </w:p>
    <w:sectPr w:rsidR="00BC19E8" w:rsidRPr="0013074F" w:rsidSect="00326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584016" w15:done="0"/>
  <w15:commentEx w15:paraId="678609F9" w15:done="0"/>
  <w15:commentEx w15:paraId="0237CE4C" w15:done="0"/>
  <w15:commentEx w15:paraId="3789ABE0" w15:done="0"/>
  <w15:commentEx w15:paraId="5CFD5BA5" w15:done="0"/>
  <w15:commentEx w15:paraId="09458F63" w15:done="0"/>
  <w15:commentEx w15:paraId="0440D22A" w15:done="0"/>
  <w15:commentEx w15:paraId="30212C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65" w:rsidRDefault="004F3B65">
      <w:r>
        <w:separator/>
      </w:r>
    </w:p>
  </w:endnote>
  <w:endnote w:type="continuationSeparator" w:id="0">
    <w:p w:rsidR="004F3B65" w:rsidRDefault="004F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26" w:rsidRPr="00AD4622" w:rsidRDefault="00094015" w:rsidP="00AD462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9FE"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65" w:rsidRDefault="004F3B65">
      <w:r>
        <w:separator/>
      </w:r>
    </w:p>
  </w:footnote>
  <w:footnote w:type="continuationSeparator" w:id="0">
    <w:p w:rsidR="004F3B65" w:rsidRDefault="004F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CD" w:rsidRDefault="00EE61CD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BE4"/>
    <w:multiLevelType w:val="hybridMultilevel"/>
    <w:tmpl w:val="ACAE1676"/>
    <w:lvl w:ilvl="0" w:tplc="6AF6E9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5578"/>
    <w:multiLevelType w:val="hybridMultilevel"/>
    <w:tmpl w:val="0D5CF6C6"/>
    <w:lvl w:ilvl="0" w:tplc="4EB4D2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fbauerová Kateřina , MVDr.">
    <w15:presenceInfo w15:providerId="AD" w15:userId="S-1-5-21-668981707-1569226354-1929968769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9F"/>
    <w:rsid w:val="0000592C"/>
    <w:rsid w:val="000059C2"/>
    <w:rsid w:val="000103F9"/>
    <w:rsid w:val="0001067D"/>
    <w:rsid w:val="00011CED"/>
    <w:rsid w:val="000125B5"/>
    <w:rsid w:val="00012E14"/>
    <w:rsid w:val="00013EC4"/>
    <w:rsid w:val="00014418"/>
    <w:rsid w:val="00014622"/>
    <w:rsid w:val="00015C98"/>
    <w:rsid w:val="00016123"/>
    <w:rsid w:val="00016F4F"/>
    <w:rsid w:val="00021448"/>
    <w:rsid w:val="000217A8"/>
    <w:rsid w:val="000231D1"/>
    <w:rsid w:val="000238F5"/>
    <w:rsid w:val="00025781"/>
    <w:rsid w:val="00026602"/>
    <w:rsid w:val="000304F6"/>
    <w:rsid w:val="000322E7"/>
    <w:rsid w:val="00032BA8"/>
    <w:rsid w:val="00033A0A"/>
    <w:rsid w:val="00036FB4"/>
    <w:rsid w:val="00040146"/>
    <w:rsid w:val="0004094B"/>
    <w:rsid w:val="00040E1B"/>
    <w:rsid w:val="00041B55"/>
    <w:rsid w:val="00042310"/>
    <w:rsid w:val="00043606"/>
    <w:rsid w:val="00043695"/>
    <w:rsid w:val="00044FAE"/>
    <w:rsid w:val="00045F3D"/>
    <w:rsid w:val="00046D83"/>
    <w:rsid w:val="00050C65"/>
    <w:rsid w:val="00052ED5"/>
    <w:rsid w:val="00053319"/>
    <w:rsid w:val="00053D29"/>
    <w:rsid w:val="0005691E"/>
    <w:rsid w:val="00056F8C"/>
    <w:rsid w:val="00057FF0"/>
    <w:rsid w:val="00064697"/>
    <w:rsid w:val="00070A22"/>
    <w:rsid w:val="00073924"/>
    <w:rsid w:val="00073C69"/>
    <w:rsid w:val="00073D08"/>
    <w:rsid w:val="00073D4C"/>
    <w:rsid w:val="00077219"/>
    <w:rsid w:val="00082CC8"/>
    <w:rsid w:val="000860F3"/>
    <w:rsid w:val="000869F1"/>
    <w:rsid w:val="0008771D"/>
    <w:rsid w:val="00087A3E"/>
    <w:rsid w:val="00090A08"/>
    <w:rsid w:val="0009379F"/>
    <w:rsid w:val="00094015"/>
    <w:rsid w:val="000A0A73"/>
    <w:rsid w:val="000A1357"/>
    <w:rsid w:val="000A1363"/>
    <w:rsid w:val="000A16C7"/>
    <w:rsid w:val="000A2C63"/>
    <w:rsid w:val="000A3EC4"/>
    <w:rsid w:val="000A6370"/>
    <w:rsid w:val="000A649D"/>
    <w:rsid w:val="000B1832"/>
    <w:rsid w:val="000B370F"/>
    <w:rsid w:val="000B4133"/>
    <w:rsid w:val="000C1623"/>
    <w:rsid w:val="000C42BC"/>
    <w:rsid w:val="000C47F7"/>
    <w:rsid w:val="000C4D71"/>
    <w:rsid w:val="000C5562"/>
    <w:rsid w:val="000C759A"/>
    <w:rsid w:val="000D2CCD"/>
    <w:rsid w:val="000D428F"/>
    <w:rsid w:val="000D4E3F"/>
    <w:rsid w:val="000D5C9B"/>
    <w:rsid w:val="000D5CA9"/>
    <w:rsid w:val="000E2532"/>
    <w:rsid w:val="000E2C9F"/>
    <w:rsid w:val="000E324A"/>
    <w:rsid w:val="000E4249"/>
    <w:rsid w:val="000E527B"/>
    <w:rsid w:val="000E6EB6"/>
    <w:rsid w:val="000F1645"/>
    <w:rsid w:val="000F3BED"/>
    <w:rsid w:val="000F4FE5"/>
    <w:rsid w:val="000F5AFC"/>
    <w:rsid w:val="00101C14"/>
    <w:rsid w:val="00101C3E"/>
    <w:rsid w:val="00110EB1"/>
    <w:rsid w:val="00116979"/>
    <w:rsid w:val="00117B5D"/>
    <w:rsid w:val="00120562"/>
    <w:rsid w:val="001223D6"/>
    <w:rsid w:val="0012298D"/>
    <w:rsid w:val="00123F4D"/>
    <w:rsid w:val="00126557"/>
    <w:rsid w:val="00127440"/>
    <w:rsid w:val="0013065A"/>
    <w:rsid w:val="0013074F"/>
    <w:rsid w:val="00133B21"/>
    <w:rsid w:val="00134B64"/>
    <w:rsid w:val="00135073"/>
    <w:rsid w:val="001351E1"/>
    <w:rsid w:val="001362CE"/>
    <w:rsid w:val="001443BA"/>
    <w:rsid w:val="001472E6"/>
    <w:rsid w:val="001479CB"/>
    <w:rsid w:val="00150560"/>
    <w:rsid w:val="00152142"/>
    <w:rsid w:val="001527C4"/>
    <w:rsid w:val="001537C9"/>
    <w:rsid w:val="0015479E"/>
    <w:rsid w:val="00155DBC"/>
    <w:rsid w:val="00155EC4"/>
    <w:rsid w:val="00156AF6"/>
    <w:rsid w:val="00160808"/>
    <w:rsid w:val="00162286"/>
    <w:rsid w:val="0016263F"/>
    <w:rsid w:val="00164C89"/>
    <w:rsid w:val="0016512D"/>
    <w:rsid w:val="00166674"/>
    <w:rsid w:val="00176EE6"/>
    <w:rsid w:val="001800E0"/>
    <w:rsid w:val="0018162F"/>
    <w:rsid w:val="00182C6C"/>
    <w:rsid w:val="00184011"/>
    <w:rsid w:val="001866B8"/>
    <w:rsid w:val="00186B95"/>
    <w:rsid w:val="0019018A"/>
    <w:rsid w:val="0019036B"/>
    <w:rsid w:val="0019122E"/>
    <w:rsid w:val="00194771"/>
    <w:rsid w:val="00195AFA"/>
    <w:rsid w:val="00195F47"/>
    <w:rsid w:val="00196432"/>
    <w:rsid w:val="001968AA"/>
    <w:rsid w:val="00196D01"/>
    <w:rsid w:val="001A1DAC"/>
    <w:rsid w:val="001A47C6"/>
    <w:rsid w:val="001A5947"/>
    <w:rsid w:val="001B0C9F"/>
    <w:rsid w:val="001B1454"/>
    <w:rsid w:val="001B28D9"/>
    <w:rsid w:val="001B4C56"/>
    <w:rsid w:val="001C5CC9"/>
    <w:rsid w:val="001D0C59"/>
    <w:rsid w:val="001D0FB7"/>
    <w:rsid w:val="001D187E"/>
    <w:rsid w:val="001D5E4F"/>
    <w:rsid w:val="001E01DF"/>
    <w:rsid w:val="001E11FE"/>
    <w:rsid w:val="001E4563"/>
    <w:rsid w:val="001E4AD0"/>
    <w:rsid w:val="001E5C99"/>
    <w:rsid w:val="001E67C7"/>
    <w:rsid w:val="001F0D8F"/>
    <w:rsid w:val="001F28FB"/>
    <w:rsid w:val="001F5315"/>
    <w:rsid w:val="001F61A7"/>
    <w:rsid w:val="0020063D"/>
    <w:rsid w:val="002011A3"/>
    <w:rsid w:val="002023A8"/>
    <w:rsid w:val="002024C3"/>
    <w:rsid w:val="00203C31"/>
    <w:rsid w:val="0020728B"/>
    <w:rsid w:val="002120CD"/>
    <w:rsid w:val="002146B3"/>
    <w:rsid w:val="00214EF2"/>
    <w:rsid w:val="002154A8"/>
    <w:rsid w:val="00216C74"/>
    <w:rsid w:val="00217B49"/>
    <w:rsid w:val="00220E7E"/>
    <w:rsid w:val="00221409"/>
    <w:rsid w:val="0022159F"/>
    <w:rsid w:val="00222E9B"/>
    <w:rsid w:val="00222EF0"/>
    <w:rsid w:val="00223268"/>
    <w:rsid w:val="00230420"/>
    <w:rsid w:val="002339B3"/>
    <w:rsid w:val="00236A48"/>
    <w:rsid w:val="00236A74"/>
    <w:rsid w:val="00236E60"/>
    <w:rsid w:val="00237D27"/>
    <w:rsid w:val="00242433"/>
    <w:rsid w:val="00242678"/>
    <w:rsid w:val="002440AF"/>
    <w:rsid w:val="00244AE8"/>
    <w:rsid w:val="002451FD"/>
    <w:rsid w:val="0025157E"/>
    <w:rsid w:val="00254EC7"/>
    <w:rsid w:val="00255005"/>
    <w:rsid w:val="002551BD"/>
    <w:rsid w:val="00255652"/>
    <w:rsid w:val="00255CDF"/>
    <w:rsid w:val="00257032"/>
    <w:rsid w:val="00260DC8"/>
    <w:rsid w:val="00261EA9"/>
    <w:rsid w:val="002630E9"/>
    <w:rsid w:val="00263570"/>
    <w:rsid w:val="002636A5"/>
    <w:rsid w:val="00264B01"/>
    <w:rsid w:val="00267E5C"/>
    <w:rsid w:val="00273566"/>
    <w:rsid w:val="0027557C"/>
    <w:rsid w:val="00276443"/>
    <w:rsid w:val="0028041F"/>
    <w:rsid w:val="00281F2D"/>
    <w:rsid w:val="002823FA"/>
    <w:rsid w:val="00282A4E"/>
    <w:rsid w:val="002839FE"/>
    <w:rsid w:val="0028473E"/>
    <w:rsid w:val="00287BC5"/>
    <w:rsid w:val="00290517"/>
    <w:rsid w:val="00290858"/>
    <w:rsid w:val="00290C79"/>
    <w:rsid w:val="002929FE"/>
    <w:rsid w:val="00294B1C"/>
    <w:rsid w:val="002950D9"/>
    <w:rsid w:val="0029740D"/>
    <w:rsid w:val="00297676"/>
    <w:rsid w:val="002A1685"/>
    <w:rsid w:val="002A36BB"/>
    <w:rsid w:val="002B0027"/>
    <w:rsid w:val="002B0AB1"/>
    <w:rsid w:val="002B19B8"/>
    <w:rsid w:val="002B3088"/>
    <w:rsid w:val="002B7C47"/>
    <w:rsid w:val="002C1452"/>
    <w:rsid w:val="002C1E4B"/>
    <w:rsid w:val="002C52B2"/>
    <w:rsid w:val="002C5EA1"/>
    <w:rsid w:val="002C756D"/>
    <w:rsid w:val="002D1EEE"/>
    <w:rsid w:val="002D2DA4"/>
    <w:rsid w:val="002D439B"/>
    <w:rsid w:val="002D4B46"/>
    <w:rsid w:val="002D6419"/>
    <w:rsid w:val="002D691E"/>
    <w:rsid w:val="002D73E2"/>
    <w:rsid w:val="002E0CDB"/>
    <w:rsid w:val="002E4BDF"/>
    <w:rsid w:val="002E5B9E"/>
    <w:rsid w:val="002E6090"/>
    <w:rsid w:val="002F501C"/>
    <w:rsid w:val="003010FA"/>
    <w:rsid w:val="003018B4"/>
    <w:rsid w:val="00304374"/>
    <w:rsid w:val="0030649E"/>
    <w:rsid w:val="003071A9"/>
    <w:rsid w:val="00307D69"/>
    <w:rsid w:val="003110A9"/>
    <w:rsid w:val="00311540"/>
    <w:rsid w:val="00312048"/>
    <w:rsid w:val="00312CC2"/>
    <w:rsid w:val="0031321D"/>
    <w:rsid w:val="00313AD2"/>
    <w:rsid w:val="00314D51"/>
    <w:rsid w:val="00315CEB"/>
    <w:rsid w:val="00317E1F"/>
    <w:rsid w:val="00320ADF"/>
    <w:rsid w:val="003219AE"/>
    <w:rsid w:val="00321D8B"/>
    <w:rsid w:val="00323699"/>
    <w:rsid w:val="00324C5F"/>
    <w:rsid w:val="00324F4C"/>
    <w:rsid w:val="0032607D"/>
    <w:rsid w:val="003268B0"/>
    <w:rsid w:val="003307A8"/>
    <w:rsid w:val="00331E6A"/>
    <w:rsid w:val="00332101"/>
    <w:rsid w:val="00332523"/>
    <w:rsid w:val="0034040B"/>
    <w:rsid w:val="00341C59"/>
    <w:rsid w:val="0034389E"/>
    <w:rsid w:val="00344574"/>
    <w:rsid w:val="003455C0"/>
    <w:rsid w:val="00347787"/>
    <w:rsid w:val="00353959"/>
    <w:rsid w:val="00355398"/>
    <w:rsid w:val="00355B8B"/>
    <w:rsid w:val="00355DC5"/>
    <w:rsid w:val="003564E8"/>
    <w:rsid w:val="00356F76"/>
    <w:rsid w:val="00357BE9"/>
    <w:rsid w:val="003602AE"/>
    <w:rsid w:val="00361FAA"/>
    <w:rsid w:val="00365042"/>
    <w:rsid w:val="00365CAE"/>
    <w:rsid w:val="0036630F"/>
    <w:rsid w:val="003743DE"/>
    <w:rsid w:val="003772AE"/>
    <w:rsid w:val="00382CC6"/>
    <w:rsid w:val="00384439"/>
    <w:rsid w:val="00386925"/>
    <w:rsid w:val="00387A5E"/>
    <w:rsid w:val="003912FA"/>
    <w:rsid w:val="00391333"/>
    <w:rsid w:val="00392C3F"/>
    <w:rsid w:val="00395375"/>
    <w:rsid w:val="0039720F"/>
    <w:rsid w:val="003A06CE"/>
    <w:rsid w:val="003A08FA"/>
    <w:rsid w:val="003A23FF"/>
    <w:rsid w:val="003A253E"/>
    <w:rsid w:val="003A3883"/>
    <w:rsid w:val="003A4611"/>
    <w:rsid w:val="003A55ED"/>
    <w:rsid w:val="003A60C2"/>
    <w:rsid w:val="003B29B4"/>
    <w:rsid w:val="003B469F"/>
    <w:rsid w:val="003B4F54"/>
    <w:rsid w:val="003B60D5"/>
    <w:rsid w:val="003B706A"/>
    <w:rsid w:val="003B70B1"/>
    <w:rsid w:val="003B7BC6"/>
    <w:rsid w:val="003C0910"/>
    <w:rsid w:val="003C0F10"/>
    <w:rsid w:val="003C10D7"/>
    <w:rsid w:val="003C2CEB"/>
    <w:rsid w:val="003C380C"/>
    <w:rsid w:val="003D2A36"/>
    <w:rsid w:val="003D4182"/>
    <w:rsid w:val="003D4A14"/>
    <w:rsid w:val="003D54A7"/>
    <w:rsid w:val="003D5BED"/>
    <w:rsid w:val="003D6052"/>
    <w:rsid w:val="003D73D9"/>
    <w:rsid w:val="003E072B"/>
    <w:rsid w:val="003E389A"/>
    <w:rsid w:val="003E43D7"/>
    <w:rsid w:val="003E46EE"/>
    <w:rsid w:val="003E507E"/>
    <w:rsid w:val="003F1A55"/>
    <w:rsid w:val="003F2E28"/>
    <w:rsid w:val="003F4089"/>
    <w:rsid w:val="003F5D4D"/>
    <w:rsid w:val="003F5E22"/>
    <w:rsid w:val="003F6650"/>
    <w:rsid w:val="003F6D06"/>
    <w:rsid w:val="004017F2"/>
    <w:rsid w:val="00401999"/>
    <w:rsid w:val="004049F9"/>
    <w:rsid w:val="00405994"/>
    <w:rsid w:val="00410F53"/>
    <w:rsid w:val="0041274C"/>
    <w:rsid w:val="004129A4"/>
    <w:rsid w:val="00414741"/>
    <w:rsid w:val="004148FC"/>
    <w:rsid w:val="00416604"/>
    <w:rsid w:val="0041776E"/>
    <w:rsid w:val="00417BE0"/>
    <w:rsid w:val="00420BA6"/>
    <w:rsid w:val="00422073"/>
    <w:rsid w:val="00422900"/>
    <w:rsid w:val="0042671B"/>
    <w:rsid w:val="00436BFF"/>
    <w:rsid w:val="00437E9B"/>
    <w:rsid w:val="00441CF3"/>
    <w:rsid w:val="00441DE9"/>
    <w:rsid w:val="0044228B"/>
    <w:rsid w:val="00444233"/>
    <w:rsid w:val="00444461"/>
    <w:rsid w:val="00446FD3"/>
    <w:rsid w:val="0044751F"/>
    <w:rsid w:val="004502E4"/>
    <w:rsid w:val="00451D7C"/>
    <w:rsid w:val="00455060"/>
    <w:rsid w:val="004569E4"/>
    <w:rsid w:val="004608FF"/>
    <w:rsid w:val="0046100A"/>
    <w:rsid w:val="00462A54"/>
    <w:rsid w:val="00462D5E"/>
    <w:rsid w:val="0046419F"/>
    <w:rsid w:val="0046421C"/>
    <w:rsid w:val="00465172"/>
    <w:rsid w:val="00470069"/>
    <w:rsid w:val="00472FFC"/>
    <w:rsid w:val="00475184"/>
    <w:rsid w:val="00475EBF"/>
    <w:rsid w:val="00477BB9"/>
    <w:rsid w:val="00482C7E"/>
    <w:rsid w:val="00483B38"/>
    <w:rsid w:val="0048493B"/>
    <w:rsid w:val="0048589C"/>
    <w:rsid w:val="00485D15"/>
    <w:rsid w:val="004869FA"/>
    <w:rsid w:val="00491C61"/>
    <w:rsid w:val="00494D62"/>
    <w:rsid w:val="00496FFA"/>
    <w:rsid w:val="004A0FBB"/>
    <w:rsid w:val="004A1564"/>
    <w:rsid w:val="004A1C74"/>
    <w:rsid w:val="004A1D3D"/>
    <w:rsid w:val="004A6234"/>
    <w:rsid w:val="004A68FC"/>
    <w:rsid w:val="004A69EC"/>
    <w:rsid w:val="004A71EE"/>
    <w:rsid w:val="004B1223"/>
    <w:rsid w:val="004B61F2"/>
    <w:rsid w:val="004C2C5C"/>
    <w:rsid w:val="004C4162"/>
    <w:rsid w:val="004C6ABE"/>
    <w:rsid w:val="004C6C6A"/>
    <w:rsid w:val="004C7999"/>
    <w:rsid w:val="004D0481"/>
    <w:rsid w:val="004D13B2"/>
    <w:rsid w:val="004D2C9D"/>
    <w:rsid w:val="004D3522"/>
    <w:rsid w:val="004D47DF"/>
    <w:rsid w:val="004D7B1D"/>
    <w:rsid w:val="004E3E7E"/>
    <w:rsid w:val="004E46E8"/>
    <w:rsid w:val="004E4B4A"/>
    <w:rsid w:val="004E5BF0"/>
    <w:rsid w:val="004F10B6"/>
    <w:rsid w:val="004F1109"/>
    <w:rsid w:val="004F24DC"/>
    <w:rsid w:val="004F3B65"/>
    <w:rsid w:val="004F3C31"/>
    <w:rsid w:val="004F4024"/>
    <w:rsid w:val="004F45D4"/>
    <w:rsid w:val="004F6EFF"/>
    <w:rsid w:val="004F763D"/>
    <w:rsid w:val="00500974"/>
    <w:rsid w:val="00501001"/>
    <w:rsid w:val="00502C94"/>
    <w:rsid w:val="00503657"/>
    <w:rsid w:val="005041E9"/>
    <w:rsid w:val="00511461"/>
    <w:rsid w:val="00515C65"/>
    <w:rsid w:val="00516E42"/>
    <w:rsid w:val="00522D72"/>
    <w:rsid w:val="00526AF3"/>
    <w:rsid w:val="00530EDB"/>
    <w:rsid w:val="00535204"/>
    <w:rsid w:val="0053580F"/>
    <w:rsid w:val="00535897"/>
    <w:rsid w:val="00537547"/>
    <w:rsid w:val="005400E3"/>
    <w:rsid w:val="00541172"/>
    <w:rsid w:val="005422ED"/>
    <w:rsid w:val="005433C0"/>
    <w:rsid w:val="00543C0E"/>
    <w:rsid w:val="00547C66"/>
    <w:rsid w:val="005506C7"/>
    <w:rsid w:val="005512A1"/>
    <w:rsid w:val="0055762F"/>
    <w:rsid w:val="00561D95"/>
    <w:rsid w:val="00562EE0"/>
    <w:rsid w:val="005660FA"/>
    <w:rsid w:val="005718A2"/>
    <w:rsid w:val="00576C75"/>
    <w:rsid w:val="005808CE"/>
    <w:rsid w:val="0058169B"/>
    <w:rsid w:val="00581BAC"/>
    <w:rsid w:val="00582C42"/>
    <w:rsid w:val="00585F28"/>
    <w:rsid w:val="00587BA1"/>
    <w:rsid w:val="00590A14"/>
    <w:rsid w:val="005912F7"/>
    <w:rsid w:val="00591364"/>
    <w:rsid w:val="005928B1"/>
    <w:rsid w:val="00592F68"/>
    <w:rsid w:val="005945D1"/>
    <w:rsid w:val="00594A14"/>
    <w:rsid w:val="00594E1F"/>
    <w:rsid w:val="00596493"/>
    <w:rsid w:val="00597266"/>
    <w:rsid w:val="005A04A1"/>
    <w:rsid w:val="005A3DAA"/>
    <w:rsid w:val="005A4CC7"/>
    <w:rsid w:val="005A5B18"/>
    <w:rsid w:val="005A6F4A"/>
    <w:rsid w:val="005A76BD"/>
    <w:rsid w:val="005A779C"/>
    <w:rsid w:val="005B4E5D"/>
    <w:rsid w:val="005B4F3B"/>
    <w:rsid w:val="005B5640"/>
    <w:rsid w:val="005B64EB"/>
    <w:rsid w:val="005C05AB"/>
    <w:rsid w:val="005C4C8F"/>
    <w:rsid w:val="005C693E"/>
    <w:rsid w:val="005C6A8A"/>
    <w:rsid w:val="005D05D4"/>
    <w:rsid w:val="005D0A10"/>
    <w:rsid w:val="005D1D22"/>
    <w:rsid w:val="005D3006"/>
    <w:rsid w:val="005D460E"/>
    <w:rsid w:val="005D6B83"/>
    <w:rsid w:val="005D754B"/>
    <w:rsid w:val="005E4AD8"/>
    <w:rsid w:val="005E4F52"/>
    <w:rsid w:val="005E503C"/>
    <w:rsid w:val="005F13AD"/>
    <w:rsid w:val="00600493"/>
    <w:rsid w:val="00600B41"/>
    <w:rsid w:val="00601643"/>
    <w:rsid w:val="00605383"/>
    <w:rsid w:val="006061FF"/>
    <w:rsid w:val="0060652B"/>
    <w:rsid w:val="00606869"/>
    <w:rsid w:val="00610039"/>
    <w:rsid w:val="00610DBE"/>
    <w:rsid w:val="00612AD9"/>
    <w:rsid w:val="00615630"/>
    <w:rsid w:val="00615FC1"/>
    <w:rsid w:val="006203C5"/>
    <w:rsid w:val="006212A3"/>
    <w:rsid w:val="00626E7B"/>
    <w:rsid w:val="00630EEB"/>
    <w:rsid w:val="006315CC"/>
    <w:rsid w:val="00631837"/>
    <w:rsid w:val="00633F28"/>
    <w:rsid w:val="00635D33"/>
    <w:rsid w:val="00640743"/>
    <w:rsid w:val="006409BB"/>
    <w:rsid w:val="00640B95"/>
    <w:rsid w:val="00641888"/>
    <w:rsid w:val="0064198E"/>
    <w:rsid w:val="00641E19"/>
    <w:rsid w:val="00643325"/>
    <w:rsid w:val="00644849"/>
    <w:rsid w:val="00646FA7"/>
    <w:rsid w:val="006519F1"/>
    <w:rsid w:val="00653010"/>
    <w:rsid w:val="0065347F"/>
    <w:rsid w:val="006550CE"/>
    <w:rsid w:val="00655A56"/>
    <w:rsid w:val="00656FC8"/>
    <w:rsid w:val="006579F5"/>
    <w:rsid w:val="0066080C"/>
    <w:rsid w:val="006613C6"/>
    <w:rsid w:val="0066548E"/>
    <w:rsid w:val="006657D5"/>
    <w:rsid w:val="00667916"/>
    <w:rsid w:val="00670371"/>
    <w:rsid w:val="00672724"/>
    <w:rsid w:val="006746FD"/>
    <w:rsid w:val="00674827"/>
    <w:rsid w:val="00675125"/>
    <w:rsid w:val="00677E43"/>
    <w:rsid w:val="00681A21"/>
    <w:rsid w:val="00682254"/>
    <w:rsid w:val="0068255F"/>
    <w:rsid w:val="00682A98"/>
    <w:rsid w:val="00682FDF"/>
    <w:rsid w:val="006848DF"/>
    <w:rsid w:val="00685A88"/>
    <w:rsid w:val="00686FF4"/>
    <w:rsid w:val="00687107"/>
    <w:rsid w:val="00693634"/>
    <w:rsid w:val="006A0464"/>
    <w:rsid w:val="006A6380"/>
    <w:rsid w:val="006B0FC7"/>
    <w:rsid w:val="006B12D0"/>
    <w:rsid w:val="006B1470"/>
    <w:rsid w:val="006B3A3A"/>
    <w:rsid w:val="006B6DA0"/>
    <w:rsid w:val="006B7DA5"/>
    <w:rsid w:val="006B7EC0"/>
    <w:rsid w:val="006C136E"/>
    <w:rsid w:val="006C7088"/>
    <w:rsid w:val="006D064E"/>
    <w:rsid w:val="006D126B"/>
    <w:rsid w:val="006D1F56"/>
    <w:rsid w:val="006D2771"/>
    <w:rsid w:val="006D5B78"/>
    <w:rsid w:val="006D65C0"/>
    <w:rsid w:val="006D66E1"/>
    <w:rsid w:val="006D7F78"/>
    <w:rsid w:val="006E04DD"/>
    <w:rsid w:val="006E050B"/>
    <w:rsid w:val="006E18D7"/>
    <w:rsid w:val="006E1BEF"/>
    <w:rsid w:val="006E3783"/>
    <w:rsid w:val="006E3A95"/>
    <w:rsid w:val="006E5410"/>
    <w:rsid w:val="006E770E"/>
    <w:rsid w:val="006F0E21"/>
    <w:rsid w:val="006F0E43"/>
    <w:rsid w:val="006F284C"/>
    <w:rsid w:val="006F40B1"/>
    <w:rsid w:val="006F4BEF"/>
    <w:rsid w:val="006F4D00"/>
    <w:rsid w:val="006F4FBC"/>
    <w:rsid w:val="00700236"/>
    <w:rsid w:val="007008FF"/>
    <w:rsid w:val="00700F67"/>
    <w:rsid w:val="00701801"/>
    <w:rsid w:val="00701A1E"/>
    <w:rsid w:val="00701D49"/>
    <w:rsid w:val="007033A9"/>
    <w:rsid w:val="00703D49"/>
    <w:rsid w:val="007051DF"/>
    <w:rsid w:val="007068EB"/>
    <w:rsid w:val="007113A5"/>
    <w:rsid w:val="00711A65"/>
    <w:rsid w:val="00713E0B"/>
    <w:rsid w:val="0071741F"/>
    <w:rsid w:val="00717BD9"/>
    <w:rsid w:val="00720D9E"/>
    <w:rsid w:val="00721732"/>
    <w:rsid w:val="00721B2D"/>
    <w:rsid w:val="00721EAB"/>
    <w:rsid w:val="00724E62"/>
    <w:rsid w:val="00730026"/>
    <w:rsid w:val="007301F1"/>
    <w:rsid w:val="00731288"/>
    <w:rsid w:val="007428F0"/>
    <w:rsid w:val="0074324E"/>
    <w:rsid w:val="00743F16"/>
    <w:rsid w:val="007443CE"/>
    <w:rsid w:val="00747D1C"/>
    <w:rsid w:val="007503E2"/>
    <w:rsid w:val="0075225B"/>
    <w:rsid w:val="007542CE"/>
    <w:rsid w:val="007555AF"/>
    <w:rsid w:val="00756C46"/>
    <w:rsid w:val="00757E68"/>
    <w:rsid w:val="00757EE4"/>
    <w:rsid w:val="00761325"/>
    <w:rsid w:val="0076144A"/>
    <w:rsid w:val="00761F12"/>
    <w:rsid w:val="007634B2"/>
    <w:rsid w:val="00765DED"/>
    <w:rsid w:val="00770F8F"/>
    <w:rsid w:val="00772CA2"/>
    <w:rsid w:val="00773ED1"/>
    <w:rsid w:val="007743A4"/>
    <w:rsid w:val="00774474"/>
    <w:rsid w:val="00775204"/>
    <w:rsid w:val="007768D6"/>
    <w:rsid w:val="00777FE9"/>
    <w:rsid w:val="00782146"/>
    <w:rsid w:val="007856A4"/>
    <w:rsid w:val="007859B0"/>
    <w:rsid w:val="00786E25"/>
    <w:rsid w:val="00787647"/>
    <w:rsid w:val="007922F4"/>
    <w:rsid w:val="00792936"/>
    <w:rsid w:val="00795255"/>
    <w:rsid w:val="00796E20"/>
    <w:rsid w:val="007A0DA3"/>
    <w:rsid w:val="007A119D"/>
    <w:rsid w:val="007A219A"/>
    <w:rsid w:val="007A3BFB"/>
    <w:rsid w:val="007A4DB0"/>
    <w:rsid w:val="007A5FF3"/>
    <w:rsid w:val="007B304B"/>
    <w:rsid w:val="007B4D4B"/>
    <w:rsid w:val="007B5D06"/>
    <w:rsid w:val="007B5FCD"/>
    <w:rsid w:val="007B736A"/>
    <w:rsid w:val="007C0BF5"/>
    <w:rsid w:val="007C426A"/>
    <w:rsid w:val="007C43F3"/>
    <w:rsid w:val="007D0672"/>
    <w:rsid w:val="007D29E1"/>
    <w:rsid w:val="007D35E3"/>
    <w:rsid w:val="007D5B69"/>
    <w:rsid w:val="007D5FF9"/>
    <w:rsid w:val="007E2609"/>
    <w:rsid w:val="007E28D0"/>
    <w:rsid w:val="007E4824"/>
    <w:rsid w:val="007E5A0E"/>
    <w:rsid w:val="007E63BE"/>
    <w:rsid w:val="007F1373"/>
    <w:rsid w:val="007F1A5A"/>
    <w:rsid w:val="007F2AA0"/>
    <w:rsid w:val="007F2F49"/>
    <w:rsid w:val="007F32C7"/>
    <w:rsid w:val="007F7277"/>
    <w:rsid w:val="00803029"/>
    <w:rsid w:val="0080370D"/>
    <w:rsid w:val="00806359"/>
    <w:rsid w:val="0081016B"/>
    <w:rsid w:val="008115C5"/>
    <w:rsid w:val="00812556"/>
    <w:rsid w:val="00812F79"/>
    <w:rsid w:val="008130BA"/>
    <w:rsid w:val="00817331"/>
    <w:rsid w:val="0082211E"/>
    <w:rsid w:val="00823BF7"/>
    <w:rsid w:val="0082523C"/>
    <w:rsid w:val="00825526"/>
    <w:rsid w:val="00825659"/>
    <w:rsid w:val="00825F00"/>
    <w:rsid w:val="00826226"/>
    <w:rsid w:val="00833E19"/>
    <w:rsid w:val="00834A02"/>
    <w:rsid w:val="008401A3"/>
    <w:rsid w:val="00840223"/>
    <w:rsid w:val="008436D0"/>
    <w:rsid w:val="008439EF"/>
    <w:rsid w:val="00843FB1"/>
    <w:rsid w:val="00844F83"/>
    <w:rsid w:val="008469D1"/>
    <w:rsid w:val="00846CAF"/>
    <w:rsid w:val="00846FFC"/>
    <w:rsid w:val="00851579"/>
    <w:rsid w:val="0085267A"/>
    <w:rsid w:val="00852E1B"/>
    <w:rsid w:val="008567C6"/>
    <w:rsid w:val="008600FE"/>
    <w:rsid w:val="00860A12"/>
    <w:rsid w:val="00861FCF"/>
    <w:rsid w:val="00864F9C"/>
    <w:rsid w:val="00870BD4"/>
    <w:rsid w:val="00873D38"/>
    <w:rsid w:val="0087603A"/>
    <w:rsid w:val="0088160F"/>
    <w:rsid w:val="00881995"/>
    <w:rsid w:val="00882014"/>
    <w:rsid w:val="00882A9D"/>
    <w:rsid w:val="008836AE"/>
    <w:rsid w:val="00885072"/>
    <w:rsid w:val="00890473"/>
    <w:rsid w:val="00891468"/>
    <w:rsid w:val="008916F1"/>
    <w:rsid w:val="00892A30"/>
    <w:rsid w:val="00894198"/>
    <w:rsid w:val="00894CD6"/>
    <w:rsid w:val="008956FE"/>
    <w:rsid w:val="008966DC"/>
    <w:rsid w:val="00897194"/>
    <w:rsid w:val="008A409C"/>
    <w:rsid w:val="008A579F"/>
    <w:rsid w:val="008A5B23"/>
    <w:rsid w:val="008A5C01"/>
    <w:rsid w:val="008A63E0"/>
    <w:rsid w:val="008A6AD5"/>
    <w:rsid w:val="008A6B3C"/>
    <w:rsid w:val="008A6E49"/>
    <w:rsid w:val="008B2224"/>
    <w:rsid w:val="008B53F5"/>
    <w:rsid w:val="008B6995"/>
    <w:rsid w:val="008C2754"/>
    <w:rsid w:val="008C36AA"/>
    <w:rsid w:val="008C4AB6"/>
    <w:rsid w:val="008D18E4"/>
    <w:rsid w:val="008D1DEF"/>
    <w:rsid w:val="008D29AF"/>
    <w:rsid w:val="008D3342"/>
    <w:rsid w:val="008D4C5C"/>
    <w:rsid w:val="008D6B23"/>
    <w:rsid w:val="008D7467"/>
    <w:rsid w:val="008D76FA"/>
    <w:rsid w:val="008E0D56"/>
    <w:rsid w:val="008E3DC9"/>
    <w:rsid w:val="008E5D4A"/>
    <w:rsid w:val="008E74A8"/>
    <w:rsid w:val="008F2250"/>
    <w:rsid w:val="008F324F"/>
    <w:rsid w:val="008F4A05"/>
    <w:rsid w:val="008F6323"/>
    <w:rsid w:val="008F69FE"/>
    <w:rsid w:val="008F7AFC"/>
    <w:rsid w:val="00900858"/>
    <w:rsid w:val="0090448C"/>
    <w:rsid w:val="00904AF7"/>
    <w:rsid w:val="00904C1C"/>
    <w:rsid w:val="00905747"/>
    <w:rsid w:val="00906745"/>
    <w:rsid w:val="00907245"/>
    <w:rsid w:val="00913D8A"/>
    <w:rsid w:val="009164F8"/>
    <w:rsid w:val="00916E17"/>
    <w:rsid w:val="00917BC5"/>
    <w:rsid w:val="009201CE"/>
    <w:rsid w:val="00923C26"/>
    <w:rsid w:val="00923E7E"/>
    <w:rsid w:val="009257BF"/>
    <w:rsid w:val="009268AA"/>
    <w:rsid w:val="00926A62"/>
    <w:rsid w:val="00927464"/>
    <w:rsid w:val="00931DCD"/>
    <w:rsid w:val="00932B8A"/>
    <w:rsid w:val="00933D75"/>
    <w:rsid w:val="009350EF"/>
    <w:rsid w:val="00935D99"/>
    <w:rsid w:val="00936303"/>
    <w:rsid w:val="00936356"/>
    <w:rsid w:val="00937867"/>
    <w:rsid w:val="009416EB"/>
    <w:rsid w:val="0094449F"/>
    <w:rsid w:val="00944FA4"/>
    <w:rsid w:val="00945153"/>
    <w:rsid w:val="009459E1"/>
    <w:rsid w:val="009461E0"/>
    <w:rsid w:val="00946A7C"/>
    <w:rsid w:val="00947A1D"/>
    <w:rsid w:val="009506B7"/>
    <w:rsid w:val="009528CF"/>
    <w:rsid w:val="00953022"/>
    <w:rsid w:val="00953D91"/>
    <w:rsid w:val="00955470"/>
    <w:rsid w:val="00955926"/>
    <w:rsid w:val="00955CB5"/>
    <w:rsid w:val="009574E4"/>
    <w:rsid w:val="00960280"/>
    <w:rsid w:val="0097087D"/>
    <w:rsid w:val="0097203B"/>
    <w:rsid w:val="00972B14"/>
    <w:rsid w:val="0097589B"/>
    <w:rsid w:val="0097634B"/>
    <w:rsid w:val="00976FA3"/>
    <w:rsid w:val="00977B29"/>
    <w:rsid w:val="0098505C"/>
    <w:rsid w:val="00987BED"/>
    <w:rsid w:val="00992ECA"/>
    <w:rsid w:val="00993C67"/>
    <w:rsid w:val="00993FCA"/>
    <w:rsid w:val="009952EC"/>
    <w:rsid w:val="00996AD6"/>
    <w:rsid w:val="009A1B6C"/>
    <w:rsid w:val="009A42A7"/>
    <w:rsid w:val="009A491A"/>
    <w:rsid w:val="009A5E18"/>
    <w:rsid w:val="009B2005"/>
    <w:rsid w:val="009B4252"/>
    <w:rsid w:val="009B5AB3"/>
    <w:rsid w:val="009C4737"/>
    <w:rsid w:val="009C5D98"/>
    <w:rsid w:val="009D1D84"/>
    <w:rsid w:val="009D245B"/>
    <w:rsid w:val="009D258A"/>
    <w:rsid w:val="009E2956"/>
    <w:rsid w:val="009E3047"/>
    <w:rsid w:val="009E5005"/>
    <w:rsid w:val="009E5283"/>
    <w:rsid w:val="009E614B"/>
    <w:rsid w:val="009F4276"/>
    <w:rsid w:val="009F7C85"/>
    <w:rsid w:val="00A0258E"/>
    <w:rsid w:val="00A037DB"/>
    <w:rsid w:val="00A100D1"/>
    <w:rsid w:val="00A10406"/>
    <w:rsid w:val="00A146C8"/>
    <w:rsid w:val="00A14A4D"/>
    <w:rsid w:val="00A1564B"/>
    <w:rsid w:val="00A1653E"/>
    <w:rsid w:val="00A176C0"/>
    <w:rsid w:val="00A20F9A"/>
    <w:rsid w:val="00A216FE"/>
    <w:rsid w:val="00A2275C"/>
    <w:rsid w:val="00A22E7E"/>
    <w:rsid w:val="00A25E22"/>
    <w:rsid w:val="00A32011"/>
    <w:rsid w:val="00A3202F"/>
    <w:rsid w:val="00A3332F"/>
    <w:rsid w:val="00A36162"/>
    <w:rsid w:val="00A3652D"/>
    <w:rsid w:val="00A37E59"/>
    <w:rsid w:val="00A400FA"/>
    <w:rsid w:val="00A405AF"/>
    <w:rsid w:val="00A4399F"/>
    <w:rsid w:val="00A4590D"/>
    <w:rsid w:val="00A45AB0"/>
    <w:rsid w:val="00A46FDC"/>
    <w:rsid w:val="00A50131"/>
    <w:rsid w:val="00A505CF"/>
    <w:rsid w:val="00A53003"/>
    <w:rsid w:val="00A538AA"/>
    <w:rsid w:val="00A55401"/>
    <w:rsid w:val="00A5596C"/>
    <w:rsid w:val="00A568D2"/>
    <w:rsid w:val="00A569FB"/>
    <w:rsid w:val="00A605EF"/>
    <w:rsid w:val="00A65260"/>
    <w:rsid w:val="00A65C3F"/>
    <w:rsid w:val="00A661FE"/>
    <w:rsid w:val="00A72FE7"/>
    <w:rsid w:val="00A73FF5"/>
    <w:rsid w:val="00A7477B"/>
    <w:rsid w:val="00A75C2A"/>
    <w:rsid w:val="00A75FBC"/>
    <w:rsid w:val="00A80E4C"/>
    <w:rsid w:val="00A848C9"/>
    <w:rsid w:val="00A90059"/>
    <w:rsid w:val="00A9252A"/>
    <w:rsid w:val="00A94D8C"/>
    <w:rsid w:val="00A9698A"/>
    <w:rsid w:val="00AA1BCB"/>
    <w:rsid w:val="00AA2162"/>
    <w:rsid w:val="00AA4DB9"/>
    <w:rsid w:val="00AA5C90"/>
    <w:rsid w:val="00AA70A7"/>
    <w:rsid w:val="00AB0806"/>
    <w:rsid w:val="00AB2681"/>
    <w:rsid w:val="00AC36E8"/>
    <w:rsid w:val="00AC6188"/>
    <w:rsid w:val="00AC6C40"/>
    <w:rsid w:val="00AD0249"/>
    <w:rsid w:val="00AD3BF8"/>
    <w:rsid w:val="00AD4622"/>
    <w:rsid w:val="00AD5A9B"/>
    <w:rsid w:val="00AD6342"/>
    <w:rsid w:val="00AD68B9"/>
    <w:rsid w:val="00AD7855"/>
    <w:rsid w:val="00AE0AE6"/>
    <w:rsid w:val="00AE1A98"/>
    <w:rsid w:val="00AE1CC3"/>
    <w:rsid w:val="00AE2015"/>
    <w:rsid w:val="00AE27C2"/>
    <w:rsid w:val="00AE408E"/>
    <w:rsid w:val="00AE676C"/>
    <w:rsid w:val="00AE6F74"/>
    <w:rsid w:val="00AE7635"/>
    <w:rsid w:val="00AE7F20"/>
    <w:rsid w:val="00AF08FF"/>
    <w:rsid w:val="00AF0C9F"/>
    <w:rsid w:val="00AF25EE"/>
    <w:rsid w:val="00AF2AA3"/>
    <w:rsid w:val="00AF3CCB"/>
    <w:rsid w:val="00AF5878"/>
    <w:rsid w:val="00B108B6"/>
    <w:rsid w:val="00B145F9"/>
    <w:rsid w:val="00B167AA"/>
    <w:rsid w:val="00B1764F"/>
    <w:rsid w:val="00B20FD3"/>
    <w:rsid w:val="00B21647"/>
    <w:rsid w:val="00B2255C"/>
    <w:rsid w:val="00B232DF"/>
    <w:rsid w:val="00B24F91"/>
    <w:rsid w:val="00B251A5"/>
    <w:rsid w:val="00B33900"/>
    <w:rsid w:val="00B342B4"/>
    <w:rsid w:val="00B34376"/>
    <w:rsid w:val="00B36BE0"/>
    <w:rsid w:val="00B37340"/>
    <w:rsid w:val="00B42D93"/>
    <w:rsid w:val="00B43BD4"/>
    <w:rsid w:val="00B43F70"/>
    <w:rsid w:val="00B46462"/>
    <w:rsid w:val="00B4750E"/>
    <w:rsid w:val="00B53152"/>
    <w:rsid w:val="00B551BC"/>
    <w:rsid w:val="00B557AD"/>
    <w:rsid w:val="00B55CAF"/>
    <w:rsid w:val="00B566B3"/>
    <w:rsid w:val="00B57E7F"/>
    <w:rsid w:val="00B60B3B"/>
    <w:rsid w:val="00B615A8"/>
    <w:rsid w:val="00B62D15"/>
    <w:rsid w:val="00B65CE5"/>
    <w:rsid w:val="00B65EFE"/>
    <w:rsid w:val="00B70E55"/>
    <w:rsid w:val="00B7208C"/>
    <w:rsid w:val="00B7374C"/>
    <w:rsid w:val="00B7625F"/>
    <w:rsid w:val="00B80321"/>
    <w:rsid w:val="00B80446"/>
    <w:rsid w:val="00B83547"/>
    <w:rsid w:val="00B85EEF"/>
    <w:rsid w:val="00B91875"/>
    <w:rsid w:val="00B96945"/>
    <w:rsid w:val="00BA0752"/>
    <w:rsid w:val="00BA1B20"/>
    <w:rsid w:val="00BA4415"/>
    <w:rsid w:val="00BA6037"/>
    <w:rsid w:val="00BA7637"/>
    <w:rsid w:val="00BB1C48"/>
    <w:rsid w:val="00BB2D79"/>
    <w:rsid w:val="00BB4CCE"/>
    <w:rsid w:val="00BB4FCA"/>
    <w:rsid w:val="00BB6292"/>
    <w:rsid w:val="00BC0E3F"/>
    <w:rsid w:val="00BC19E8"/>
    <w:rsid w:val="00BC527D"/>
    <w:rsid w:val="00BC66B6"/>
    <w:rsid w:val="00BD09BB"/>
    <w:rsid w:val="00BD3A1B"/>
    <w:rsid w:val="00BD4380"/>
    <w:rsid w:val="00BD45FE"/>
    <w:rsid w:val="00BD50EC"/>
    <w:rsid w:val="00BD70E6"/>
    <w:rsid w:val="00BE2714"/>
    <w:rsid w:val="00BE2F48"/>
    <w:rsid w:val="00BE4C56"/>
    <w:rsid w:val="00BE5C3D"/>
    <w:rsid w:val="00BE5CC3"/>
    <w:rsid w:val="00BE7DE9"/>
    <w:rsid w:val="00BF06D5"/>
    <w:rsid w:val="00BF07C3"/>
    <w:rsid w:val="00BF1FEC"/>
    <w:rsid w:val="00BF227A"/>
    <w:rsid w:val="00BF2F82"/>
    <w:rsid w:val="00BF3194"/>
    <w:rsid w:val="00BF5758"/>
    <w:rsid w:val="00BF5AB6"/>
    <w:rsid w:val="00BF78E2"/>
    <w:rsid w:val="00BF7E54"/>
    <w:rsid w:val="00C060BF"/>
    <w:rsid w:val="00C06546"/>
    <w:rsid w:val="00C06BB6"/>
    <w:rsid w:val="00C06FD7"/>
    <w:rsid w:val="00C10143"/>
    <w:rsid w:val="00C11AD0"/>
    <w:rsid w:val="00C13E09"/>
    <w:rsid w:val="00C155B3"/>
    <w:rsid w:val="00C23576"/>
    <w:rsid w:val="00C23F51"/>
    <w:rsid w:val="00C24368"/>
    <w:rsid w:val="00C25390"/>
    <w:rsid w:val="00C26209"/>
    <w:rsid w:val="00C3022F"/>
    <w:rsid w:val="00C3121D"/>
    <w:rsid w:val="00C31E7B"/>
    <w:rsid w:val="00C3244B"/>
    <w:rsid w:val="00C34016"/>
    <w:rsid w:val="00C3584C"/>
    <w:rsid w:val="00C35DE0"/>
    <w:rsid w:val="00C36117"/>
    <w:rsid w:val="00C40299"/>
    <w:rsid w:val="00C412BE"/>
    <w:rsid w:val="00C43BFC"/>
    <w:rsid w:val="00C504D3"/>
    <w:rsid w:val="00C62058"/>
    <w:rsid w:val="00C636D3"/>
    <w:rsid w:val="00C649AB"/>
    <w:rsid w:val="00C66603"/>
    <w:rsid w:val="00C66E24"/>
    <w:rsid w:val="00C66F25"/>
    <w:rsid w:val="00C70573"/>
    <w:rsid w:val="00C70C0A"/>
    <w:rsid w:val="00C73F57"/>
    <w:rsid w:val="00C74ADB"/>
    <w:rsid w:val="00C75258"/>
    <w:rsid w:val="00C76938"/>
    <w:rsid w:val="00C80DDB"/>
    <w:rsid w:val="00C81AFE"/>
    <w:rsid w:val="00C81D96"/>
    <w:rsid w:val="00C825FB"/>
    <w:rsid w:val="00C83940"/>
    <w:rsid w:val="00C83BA0"/>
    <w:rsid w:val="00C83E8F"/>
    <w:rsid w:val="00C918D6"/>
    <w:rsid w:val="00C91B41"/>
    <w:rsid w:val="00C93B05"/>
    <w:rsid w:val="00C948CC"/>
    <w:rsid w:val="00C97190"/>
    <w:rsid w:val="00CA13CC"/>
    <w:rsid w:val="00CA2016"/>
    <w:rsid w:val="00CA3400"/>
    <w:rsid w:val="00CA4269"/>
    <w:rsid w:val="00CA5E01"/>
    <w:rsid w:val="00CA5E03"/>
    <w:rsid w:val="00CA68B4"/>
    <w:rsid w:val="00CA6C8D"/>
    <w:rsid w:val="00CA6EF9"/>
    <w:rsid w:val="00CA7BD1"/>
    <w:rsid w:val="00CB2B33"/>
    <w:rsid w:val="00CB4060"/>
    <w:rsid w:val="00CB4B6C"/>
    <w:rsid w:val="00CB759F"/>
    <w:rsid w:val="00CB78FF"/>
    <w:rsid w:val="00CC1CD9"/>
    <w:rsid w:val="00CC22EB"/>
    <w:rsid w:val="00CC3C77"/>
    <w:rsid w:val="00CC3FBE"/>
    <w:rsid w:val="00CC4565"/>
    <w:rsid w:val="00CC6557"/>
    <w:rsid w:val="00CC6783"/>
    <w:rsid w:val="00CD072A"/>
    <w:rsid w:val="00CD1E9E"/>
    <w:rsid w:val="00CD2C70"/>
    <w:rsid w:val="00CD4BDB"/>
    <w:rsid w:val="00CD6152"/>
    <w:rsid w:val="00CE1131"/>
    <w:rsid w:val="00CE243C"/>
    <w:rsid w:val="00CE2ABA"/>
    <w:rsid w:val="00CE672D"/>
    <w:rsid w:val="00CF258A"/>
    <w:rsid w:val="00CF38A3"/>
    <w:rsid w:val="00CF4CB7"/>
    <w:rsid w:val="00CF7583"/>
    <w:rsid w:val="00D005D0"/>
    <w:rsid w:val="00D01128"/>
    <w:rsid w:val="00D01F85"/>
    <w:rsid w:val="00D022C6"/>
    <w:rsid w:val="00D0304E"/>
    <w:rsid w:val="00D0484E"/>
    <w:rsid w:val="00D04D83"/>
    <w:rsid w:val="00D05540"/>
    <w:rsid w:val="00D0582B"/>
    <w:rsid w:val="00D06B45"/>
    <w:rsid w:val="00D07E37"/>
    <w:rsid w:val="00D101F4"/>
    <w:rsid w:val="00D10488"/>
    <w:rsid w:val="00D120B6"/>
    <w:rsid w:val="00D1423E"/>
    <w:rsid w:val="00D14831"/>
    <w:rsid w:val="00D15483"/>
    <w:rsid w:val="00D23573"/>
    <w:rsid w:val="00D23DD7"/>
    <w:rsid w:val="00D24AA1"/>
    <w:rsid w:val="00D256B4"/>
    <w:rsid w:val="00D25D11"/>
    <w:rsid w:val="00D27AC6"/>
    <w:rsid w:val="00D3220F"/>
    <w:rsid w:val="00D33C46"/>
    <w:rsid w:val="00D33D3D"/>
    <w:rsid w:val="00D3799C"/>
    <w:rsid w:val="00D40490"/>
    <w:rsid w:val="00D43462"/>
    <w:rsid w:val="00D449B8"/>
    <w:rsid w:val="00D50209"/>
    <w:rsid w:val="00D5123A"/>
    <w:rsid w:val="00D514E0"/>
    <w:rsid w:val="00D5491D"/>
    <w:rsid w:val="00D56328"/>
    <w:rsid w:val="00D61344"/>
    <w:rsid w:val="00D61EE8"/>
    <w:rsid w:val="00D644A7"/>
    <w:rsid w:val="00D64F90"/>
    <w:rsid w:val="00D6552B"/>
    <w:rsid w:val="00D6760A"/>
    <w:rsid w:val="00D67C63"/>
    <w:rsid w:val="00D70AF2"/>
    <w:rsid w:val="00D71BDB"/>
    <w:rsid w:val="00D72320"/>
    <w:rsid w:val="00D72703"/>
    <w:rsid w:val="00D72FDC"/>
    <w:rsid w:val="00D739C3"/>
    <w:rsid w:val="00D747F2"/>
    <w:rsid w:val="00D74E50"/>
    <w:rsid w:val="00D75AAF"/>
    <w:rsid w:val="00D77741"/>
    <w:rsid w:val="00D81EDA"/>
    <w:rsid w:val="00D900CC"/>
    <w:rsid w:val="00D90513"/>
    <w:rsid w:val="00D9062D"/>
    <w:rsid w:val="00DA0040"/>
    <w:rsid w:val="00DA00F3"/>
    <w:rsid w:val="00DA1CF4"/>
    <w:rsid w:val="00DA2D48"/>
    <w:rsid w:val="00DA32E4"/>
    <w:rsid w:val="00DA43C5"/>
    <w:rsid w:val="00DA461E"/>
    <w:rsid w:val="00DB3741"/>
    <w:rsid w:val="00DB38B3"/>
    <w:rsid w:val="00DB4363"/>
    <w:rsid w:val="00DB5348"/>
    <w:rsid w:val="00DB6412"/>
    <w:rsid w:val="00DB6B74"/>
    <w:rsid w:val="00DB6CA7"/>
    <w:rsid w:val="00DB77A6"/>
    <w:rsid w:val="00DC1487"/>
    <w:rsid w:val="00DC2B6B"/>
    <w:rsid w:val="00DC349D"/>
    <w:rsid w:val="00DC4F72"/>
    <w:rsid w:val="00DD1156"/>
    <w:rsid w:val="00DD2942"/>
    <w:rsid w:val="00DD2FFD"/>
    <w:rsid w:val="00DD4680"/>
    <w:rsid w:val="00DE0BC8"/>
    <w:rsid w:val="00DE0E07"/>
    <w:rsid w:val="00DE5B0E"/>
    <w:rsid w:val="00DE5B54"/>
    <w:rsid w:val="00DE62A8"/>
    <w:rsid w:val="00DE7693"/>
    <w:rsid w:val="00DE7929"/>
    <w:rsid w:val="00DF4D5D"/>
    <w:rsid w:val="00DF5123"/>
    <w:rsid w:val="00DF5D52"/>
    <w:rsid w:val="00DF7B1A"/>
    <w:rsid w:val="00E00428"/>
    <w:rsid w:val="00E04F8E"/>
    <w:rsid w:val="00E05C7F"/>
    <w:rsid w:val="00E0610E"/>
    <w:rsid w:val="00E10CE4"/>
    <w:rsid w:val="00E1153B"/>
    <w:rsid w:val="00E1621F"/>
    <w:rsid w:val="00E163F1"/>
    <w:rsid w:val="00E1659D"/>
    <w:rsid w:val="00E2582E"/>
    <w:rsid w:val="00E26D12"/>
    <w:rsid w:val="00E330CC"/>
    <w:rsid w:val="00E33100"/>
    <w:rsid w:val="00E3523B"/>
    <w:rsid w:val="00E35330"/>
    <w:rsid w:val="00E355F7"/>
    <w:rsid w:val="00E36BFE"/>
    <w:rsid w:val="00E377F7"/>
    <w:rsid w:val="00E43B94"/>
    <w:rsid w:val="00E44DF6"/>
    <w:rsid w:val="00E47197"/>
    <w:rsid w:val="00E47B92"/>
    <w:rsid w:val="00E51FB3"/>
    <w:rsid w:val="00E53B24"/>
    <w:rsid w:val="00E54010"/>
    <w:rsid w:val="00E5487B"/>
    <w:rsid w:val="00E55669"/>
    <w:rsid w:val="00E55EBD"/>
    <w:rsid w:val="00E60E70"/>
    <w:rsid w:val="00E622EB"/>
    <w:rsid w:val="00E62B61"/>
    <w:rsid w:val="00E65007"/>
    <w:rsid w:val="00E6694F"/>
    <w:rsid w:val="00E73ED6"/>
    <w:rsid w:val="00E7431A"/>
    <w:rsid w:val="00E74787"/>
    <w:rsid w:val="00E7535A"/>
    <w:rsid w:val="00E76260"/>
    <w:rsid w:val="00E76E16"/>
    <w:rsid w:val="00E775FF"/>
    <w:rsid w:val="00E77C60"/>
    <w:rsid w:val="00E80324"/>
    <w:rsid w:val="00E8650A"/>
    <w:rsid w:val="00E902AC"/>
    <w:rsid w:val="00E90EE2"/>
    <w:rsid w:val="00E92680"/>
    <w:rsid w:val="00E95C3E"/>
    <w:rsid w:val="00E962BA"/>
    <w:rsid w:val="00EA0E48"/>
    <w:rsid w:val="00EA4858"/>
    <w:rsid w:val="00EA4C18"/>
    <w:rsid w:val="00EA5CA9"/>
    <w:rsid w:val="00EA6045"/>
    <w:rsid w:val="00EA772D"/>
    <w:rsid w:val="00EA7B1E"/>
    <w:rsid w:val="00EB29C8"/>
    <w:rsid w:val="00EB44AE"/>
    <w:rsid w:val="00EB7ACF"/>
    <w:rsid w:val="00EB7E7D"/>
    <w:rsid w:val="00EC0193"/>
    <w:rsid w:val="00EC07E4"/>
    <w:rsid w:val="00EC1645"/>
    <w:rsid w:val="00ED0FDE"/>
    <w:rsid w:val="00ED111D"/>
    <w:rsid w:val="00ED3FD8"/>
    <w:rsid w:val="00ED5EC4"/>
    <w:rsid w:val="00ED7844"/>
    <w:rsid w:val="00EE0B55"/>
    <w:rsid w:val="00EE3159"/>
    <w:rsid w:val="00EE372E"/>
    <w:rsid w:val="00EE416C"/>
    <w:rsid w:val="00EE61C0"/>
    <w:rsid w:val="00EE61CD"/>
    <w:rsid w:val="00EE689F"/>
    <w:rsid w:val="00EE7938"/>
    <w:rsid w:val="00EE7A0C"/>
    <w:rsid w:val="00EF1F03"/>
    <w:rsid w:val="00EF24DD"/>
    <w:rsid w:val="00EF2B0A"/>
    <w:rsid w:val="00EF2D16"/>
    <w:rsid w:val="00EF491C"/>
    <w:rsid w:val="00EF4DC2"/>
    <w:rsid w:val="00EF6879"/>
    <w:rsid w:val="00F0227C"/>
    <w:rsid w:val="00F03596"/>
    <w:rsid w:val="00F04584"/>
    <w:rsid w:val="00F05DEE"/>
    <w:rsid w:val="00F0782E"/>
    <w:rsid w:val="00F1072D"/>
    <w:rsid w:val="00F107AD"/>
    <w:rsid w:val="00F119CC"/>
    <w:rsid w:val="00F14F63"/>
    <w:rsid w:val="00F16C20"/>
    <w:rsid w:val="00F17B3D"/>
    <w:rsid w:val="00F2033C"/>
    <w:rsid w:val="00F206EA"/>
    <w:rsid w:val="00F22D5C"/>
    <w:rsid w:val="00F22FA8"/>
    <w:rsid w:val="00F25374"/>
    <w:rsid w:val="00F257A0"/>
    <w:rsid w:val="00F26052"/>
    <w:rsid w:val="00F2683E"/>
    <w:rsid w:val="00F26E83"/>
    <w:rsid w:val="00F2779F"/>
    <w:rsid w:val="00F30702"/>
    <w:rsid w:val="00F312A9"/>
    <w:rsid w:val="00F317E0"/>
    <w:rsid w:val="00F31AC5"/>
    <w:rsid w:val="00F32EE1"/>
    <w:rsid w:val="00F3410D"/>
    <w:rsid w:val="00F34F1E"/>
    <w:rsid w:val="00F40679"/>
    <w:rsid w:val="00F416FC"/>
    <w:rsid w:val="00F41DAB"/>
    <w:rsid w:val="00F43507"/>
    <w:rsid w:val="00F45DC8"/>
    <w:rsid w:val="00F462A8"/>
    <w:rsid w:val="00F56AA7"/>
    <w:rsid w:val="00F56ACF"/>
    <w:rsid w:val="00F56B0D"/>
    <w:rsid w:val="00F578E8"/>
    <w:rsid w:val="00F57A84"/>
    <w:rsid w:val="00F62D25"/>
    <w:rsid w:val="00F63128"/>
    <w:rsid w:val="00F65F93"/>
    <w:rsid w:val="00F6634E"/>
    <w:rsid w:val="00F66C15"/>
    <w:rsid w:val="00F67A00"/>
    <w:rsid w:val="00F70258"/>
    <w:rsid w:val="00F7343A"/>
    <w:rsid w:val="00F73714"/>
    <w:rsid w:val="00F7563D"/>
    <w:rsid w:val="00F758AB"/>
    <w:rsid w:val="00F77F76"/>
    <w:rsid w:val="00F800AA"/>
    <w:rsid w:val="00F84427"/>
    <w:rsid w:val="00F84537"/>
    <w:rsid w:val="00F8485A"/>
    <w:rsid w:val="00F84CFC"/>
    <w:rsid w:val="00F84F84"/>
    <w:rsid w:val="00F85B6E"/>
    <w:rsid w:val="00F90334"/>
    <w:rsid w:val="00F90A54"/>
    <w:rsid w:val="00F90D9C"/>
    <w:rsid w:val="00F97485"/>
    <w:rsid w:val="00FA0D98"/>
    <w:rsid w:val="00FA3CAE"/>
    <w:rsid w:val="00FA56EF"/>
    <w:rsid w:val="00FA6328"/>
    <w:rsid w:val="00FA6AED"/>
    <w:rsid w:val="00FA74FA"/>
    <w:rsid w:val="00FA76A6"/>
    <w:rsid w:val="00FB0050"/>
    <w:rsid w:val="00FB1EC5"/>
    <w:rsid w:val="00FB2A66"/>
    <w:rsid w:val="00FB3B6F"/>
    <w:rsid w:val="00FB5EC0"/>
    <w:rsid w:val="00FB6FC5"/>
    <w:rsid w:val="00FB7655"/>
    <w:rsid w:val="00FB7EB9"/>
    <w:rsid w:val="00FC04BE"/>
    <w:rsid w:val="00FC6A28"/>
    <w:rsid w:val="00FD170E"/>
    <w:rsid w:val="00FD2795"/>
    <w:rsid w:val="00FD333B"/>
    <w:rsid w:val="00FD5477"/>
    <w:rsid w:val="00FD674D"/>
    <w:rsid w:val="00FD6CB2"/>
    <w:rsid w:val="00FE18F8"/>
    <w:rsid w:val="00FE1A83"/>
    <w:rsid w:val="00FE1E22"/>
    <w:rsid w:val="00FE2434"/>
    <w:rsid w:val="00FE2D47"/>
    <w:rsid w:val="00FE323C"/>
    <w:rsid w:val="00FE5209"/>
    <w:rsid w:val="00FE53B5"/>
    <w:rsid w:val="00FF45F9"/>
    <w:rsid w:val="00FF523F"/>
    <w:rsid w:val="00FF74B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689F"/>
    <w:rPr>
      <w:noProof/>
    </w:rPr>
  </w:style>
  <w:style w:type="paragraph" w:styleId="Nadpis1">
    <w:name w:val="heading 1"/>
    <w:basedOn w:val="Normln"/>
    <w:next w:val="Normln"/>
    <w:qFormat/>
    <w:rsid w:val="00EE689F"/>
    <w:pPr>
      <w:keepNext/>
      <w:outlineLvl w:val="0"/>
    </w:pPr>
    <w:rPr>
      <w:b/>
      <w:caps/>
      <w:sz w:val="24"/>
    </w:rPr>
  </w:style>
  <w:style w:type="paragraph" w:styleId="Nadpis5">
    <w:name w:val="heading 5"/>
    <w:basedOn w:val="Normln"/>
    <w:next w:val="Normln"/>
    <w:qFormat/>
    <w:rsid w:val="00EE689F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6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689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126557"/>
    <w:pPr>
      <w:spacing w:before="96" w:after="96"/>
    </w:pPr>
    <w:rPr>
      <w:sz w:val="24"/>
      <w:szCs w:val="24"/>
    </w:rPr>
  </w:style>
  <w:style w:type="paragraph" w:styleId="Textkomente">
    <w:name w:val="annotation text"/>
    <w:basedOn w:val="Normln"/>
    <w:link w:val="TextkomenteChar"/>
    <w:rsid w:val="00B7208C"/>
    <w:pPr>
      <w:ind w:left="567" w:hanging="567"/>
    </w:pPr>
    <w:rPr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208C"/>
    <w:rPr>
      <w:lang w:eastAsia="en-US"/>
    </w:rPr>
  </w:style>
  <w:style w:type="paragraph" w:styleId="Zkladntext">
    <w:name w:val="Body Text"/>
    <w:basedOn w:val="Normln"/>
    <w:link w:val="ZkladntextChar"/>
    <w:rsid w:val="00701A1E"/>
    <w:pPr>
      <w:ind w:left="567" w:hanging="567"/>
      <w:jc w:val="both"/>
    </w:pPr>
    <w:rPr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01A1E"/>
    <w:rPr>
      <w:sz w:val="22"/>
      <w:lang w:eastAsia="en-US"/>
    </w:rPr>
  </w:style>
  <w:style w:type="paragraph" w:styleId="Bezmezer">
    <w:name w:val="No Spacing"/>
    <w:qFormat/>
    <w:rsid w:val="00701A1E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B7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rsid w:val="00267E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267E5C"/>
    <w:pPr>
      <w:ind w:left="0" w:firstLine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267E5C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267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7E5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806359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D72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689F"/>
    <w:rPr>
      <w:noProof/>
    </w:rPr>
  </w:style>
  <w:style w:type="paragraph" w:styleId="Nadpis1">
    <w:name w:val="heading 1"/>
    <w:basedOn w:val="Normln"/>
    <w:next w:val="Normln"/>
    <w:qFormat/>
    <w:rsid w:val="00EE689F"/>
    <w:pPr>
      <w:keepNext/>
      <w:outlineLvl w:val="0"/>
    </w:pPr>
    <w:rPr>
      <w:b/>
      <w:caps/>
      <w:sz w:val="24"/>
    </w:rPr>
  </w:style>
  <w:style w:type="paragraph" w:styleId="Nadpis5">
    <w:name w:val="heading 5"/>
    <w:basedOn w:val="Normln"/>
    <w:next w:val="Normln"/>
    <w:qFormat/>
    <w:rsid w:val="00EE689F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6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689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126557"/>
    <w:pPr>
      <w:spacing w:before="96" w:after="96"/>
    </w:pPr>
    <w:rPr>
      <w:sz w:val="24"/>
      <w:szCs w:val="24"/>
    </w:rPr>
  </w:style>
  <w:style w:type="paragraph" w:styleId="Textkomente">
    <w:name w:val="annotation text"/>
    <w:basedOn w:val="Normln"/>
    <w:link w:val="TextkomenteChar"/>
    <w:rsid w:val="00B7208C"/>
    <w:pPr>
      <w:ind w:left="567" w:hanging="567"/>
    </w:pPr>
    <w:rPr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208C"/>
    <w:rPr>
      <w:lang w:eastAsia="en-US"/>
    </w:rPr>
  </w:style>
  <w:style w:type="paragraph" w:styleId="Zkladntext">
    <w:name w:val="Body Text"/>
    <w:basedOn w:val="Normln"/>
    <w:link w:val="ZkladntextChar"/>
    <w:rsid w:val="00701A1E"/>
    <w:pPr>
      <w:ind w:left="567" w:hanging="567"/>
      <w:jc w:val="both"/>
    </w:pPr>
    <w:rPr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01A1E"/>
    <w:rPr>
      <w:sz w:val="22"/>
      <w:lang w:eastAsia="en-US"/>
    </w:rPr>
  </w:style>
  <w:style w:type="paragraph" w:styleId="Bezmezer">
    <w:name w:val="No Spacing"/>
    <w:qFormat/>
    <w:rsid w:val="00701A1E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B7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rsid w:val="00267E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267E5C"/>
    <w:pPr>
      <w:ind w:left="0" w:firstLine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267E5C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267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7E5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806359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D72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2515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1B</vt:lpstr>
    </vt:vector>
  </TitlesOfParts>
  <Company>Bioveta, a.s.</Company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1B</dc:title>
  <dc:creator>kratka.lenka</dc:creator>
  <cp:lastModifiedBy>Neugebauerová Kateřina</cp:lastModifiedBy>
  <cp:revision>17</cp:revision>
  <cp:lastPrinted>2018-06-05T08:03:00Z</cp:lastPrinted>
  <dcterms:created xsi:type="dcterms:W3CDTF">2018-03-08T09:22:00Z</dcterms:created>
  <dcterms:modified xsi:type="dcterms:W3CDTF">2018-06-05T08:03:00Z</dcterms:modified>
</cp:coreProperties>
</file>