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A1B" w:rsidRPr="00C90CD6" w:rsidRDefault="00CA7845">
      <w:pPr>
        <w:spacing w:after="358"/>
        <w:ind w:left="273"/>
        <w:rPr>
          <w:szCs w:val="24"/>
        </w:rPr>
      </w:pPr>
      <w:r w:rsidRPr="00C90CD6">
        <w:rPr>
          <w:szCs w:val="24"/>
        </w:rPr>
        <w:t>Příbalová informace pro balení 50 ml:</w:t>
      </w:r>
    </w:p>
    <w:p w:rsidR="00A72A1B" w:rsidRPr="00C90CD6" w:rsidRDefault="00CA7845">
      <w:pPr>
        <w:pStyle w:val="Nadpis1"/>
        <w:rPr>
          <w:b/>
          <w:sz w:val="28"/>
          <w:szCs w:val="28"/>
        </w:rPr>
      </w:pPr>
      <w:r w:rsidRPr="00C90CD6">
        <w:rPr>
          <w:b/>
          <w:sz w:val="28"/>
          <w:szCs w:val="28"/>
        </w:rPr>
        <w:t>ENROBIOFLOX 100 mg/ml perorální roztok</w:t>
      </w:r>
      <w:r w:rsidRPr="00C90CD6">
        <w:rPr>
          <w:b/>
          <w:noProof/>
          <w:sz w:val="28"/>
          <w:szCs w:val="28"/>
        </w:rPr>
        <w:drawing>
          <wp:inline distT="0" distB="0" distL="0" distR="0" wp14:anchorId="08E92F53" wp14:editId="74C92D09">
            <wp:extent cx="3049" cy="6097"/>
            <wp:effectExtent l="0" t="0" r="0" b="0"/>
            <wp:docPr id="1251" name="Picture 12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1" name="Picture 125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A1B" w:rsidRPr="00C90CD6" w:rsidRDefault="00CA7845" w:rsidP="00C90CD6">
      <w:pPr>
        <w:ind w:left="0" w:firstLine="0"/>
        <w:rPr>
          <w:b/>
          <w:szCs w:val="24"/>
        </w:rPr>
      </w:pPr>
      <w:r w:rsidRPr="00C90CD6">
        <w:rPr>
          <w:b/>
          <w:szCs w:val="24"/>
        </w:rPr>
        <w:t xml:space="preserve">1/ Jméno a adresa držitele povolení k </w:t>
      </w:r>
      <w:r w:rsidR="00C90CD6" w:rsidRPr="00C90CD6">
        <w:rPr>
          <w:b/>
          <w:szCs w:val="24"/>
        </w:rPr>
        <w:t>v</w:t>
      </w:r>
      <w:r w:rsidRPr="00C90CD6">
        <w:rPr>
          <w:b/>
          <w:szCs w:val="24"/>
        </w:rPr>
        <w:t>ýrobě odpovědného za uvolnění šarže</w:t>
      </w:r>
    </w:p>
    <w:p w:rsidR="00A72A1B" w:rsidRPr="00C90CD6" w:rsidRDefault="00CA7845" w:rsidP="00C90CD6">
      <w:pPr>
        <w:spacing w:after="251"/>
        <w:ind w:left="0" w:firstLine="0"/>
        <w:rPr>
          <w:szCs w:val="24"/>
        </w:rPr>
      </w:pPr>
      <w:r w:rsidRPr="00C90CD6">
        <w:rPr>
          <w:szCs w:val="24"/>
        </w:rPr>
        <w:t>Vétoquinol Biowet SP. z 0.0., Gorzów Wlkp., Polsko</w:t>
      </w:r>
    </w:p>
    <w:p w:rsidR="00A72A1B" w:rsidRPr="00C90CD6" w:rsidRDefault="00CA7845" w:rsidP="00C90CD6">
      <w:pPr>
        <w:spacing w:after="275"/>
        <w:ind w:left="0" w:firstLine="0"/>
        <w:rPr>
          <w:szCs w:val="24"/>
        </w:rPr>
      </w:pPr>
      <w:proofErr w:type="gramStart"/>
      <w:r w:rsidRPr="00C90CD6">
        <w:rPr>
          <w:b/>
          <w:szCs w:val="24"/>
        </w:rPr>
        <w:t>Reg</w:t>
      </w:r>
      <w:proofErr w:type="gramEnd"/>
      <w:r w:rsidRPr="00C90CD6">
        <w:rPr>
          <w:b/>
          <w:szCs w:val="24"/>
        </w:rPr>
        <w:t>.</w:t>
      </w:r>
      <w:proofErr w:type="gramStart"/>
      <w:r w:rsidRPr="00C90CD6">
        <w:rPr>
          <w:b/>
          <w:szCs w:val="24"/>
        </w:rPr>
        <w:t>číslo</w:t>
      </w:r>
      <w:proofErr w:type="gramEnd"/>
      <w:r w:rsidRPr="00C90CD6">
        <w:rPr>
          <w:b/>
          <w:szCs w:val="24"/>
        </w:rPr>
        <w:t>:</w:t>
      </w:r>
      <w:r w:rsidRPr="00C90CD6">
        <w:rPr>
          <w:szCs w:val="24"/>
        </w:rPr>
        <w:t xml:space="preserve"> 96/709/96-C</w:t>
      </w:r>
    </w:p>
    <w:p w:rsidR="00A72A1B" w:rsidRPr="00C90CD6" w:rsidRDefault="00CA7845" w:rsidP="00C90CD6">
      <w:pPr>
        <w:spacing w:after="0" w:line="259" w:lineRule="auto"/>
        <w:ind w:left="0" w:firstLine="0"/>
        <w:jc w:val="left"/>
        <w:rPr>
          <w:b/>
          <w:szCs w:val="24"/>
        </w:rPr>
      </w:pPr>
      <w:r w:rsidRPr="00C90CD6">
        <w:rPr>
          <w:b/>
          <w:szCs w:val="24"/>
        </w:rPr>
        <w:t>Jméno a adresa držitele rozhodnutí o registraci</w:t>
      </w:r>
    </w:p>
    <w:p w:rsidR="00A72A1B" w:rsidRPr="00C90CD6" w:rsidRDefault="00CA7845" w:rsidP="00C90CD6">
      <w:pPr>
        <w:spacing w:after="253"/>
        <w:ind w:left="0" w:firstLine="0"/>
        <w:rPr>
          <w:szCs w:val="24"/>
        </w:rPr>
      </w:pPr>
      <w:r w:rsidRPr="00C90CD6">
        <w:rPr>
          <w:szCs w:val="24"/>
        </w:rPr>
        <w:t>Vétoquinol s.r.o., Zámečnická 411, CZ-288 02 Nymburk</w:t>
      </w:r>
    </w:p>
    <w:p w:rsidR="00A72A1B" w:rsidRPr="00C90CD6" w:rsidRDefault="00CA7845" w:rsidP="00C90CD6">
      <w:pPr>
        <w:pStyle w:val="Nadpis2"/>
        <w:ind w:left="0" w:firstLine="0"/>
        <w:rPr>
          <w:b/>
          <w:sz w:val="24"/>
          <w:szCs w:val="24"/>
        </w:rPr>
      </w:pPr>
      <w:r w:rsidRPr="00C90CD6">
        <w:rPr>
          <w:noProof/>
          <w:sz w:val="24"/>
          <w:szCs w:val="24"/>
        </w:rPr>
        <w:drawing>
          <wp:inline distT="0" distB="0" distL="0" distR="0" wp14:anchorId="64D1A0B6" wp14:editId="590F5C6E">
            <wp:extent cx="3048" cy="3049"/>
            <wp:effectExtent l="0" t="0" r="0" b="0"/>
            <wp:docPr id="1252" name="Picture 1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2" name="Picture 125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0CD6">
        <w:rPr>
          <w:b/>
          <w:sz w:val="24"/>
          <w:szCs w:val="24"/>
        </w:rPr>
        <w:t>2/ Název veterinárního léčivého přípravku</w:t>
      </w:r>
    </w:p>
    <w:p w:rsidR="00A72A1B" w:rsidRPr="00C90CD6" w:rsidRDefault="00CA7845" w:rsidP="00C90CD6">
      <w:pPr>
        <w:ind w:left="0" w:firstLine="0"/>
        <w:rPr>
          <w:szCs w:val="24"/>
        </w:rPr>
      </w:pPr>
      <w:r w:rsidRPr="00C90CD6">
        <w:rPr>
          <w:szCs w:val="24"/>
        </w:rPr>
        <w:t>ENROBIOFLOX 100 mg/ml perorální roztok</w:t>
      </w:r>
    </w:p>
    <w:p w:rsidR="00A72A1B" w:rsidRPr="00C90CD6" w:rsidRDefault="00CA7845" w:rsidP="00C90CD6">
      <w:pPr>
        <w:spacing w:after="9" w:line="250" w:lineRule="auto"/>
        <w:ind w:left="0" w:right="9" w:firstLine="0"/>
        <w:rPr>
          <w:szCs w:val="24"/>
        </w:rPr>
      </w:pPr>
      <w:r w:rsidRPr="00C90CD6">
        <w:rPr>
          <w:szCs w:val="24"/>
        </w:rPr>
        <w:t>Enrofloxacinum</w:t>
      </w:r>
    </w:p>
    <w:p w:rsidR="00A72A1B" w:rsidRPr="00C90CD6" w:rsidRDefault="00CA7845" w:rsidP="00C90CD6">
      <w:pPr>
        <w:spacing w:after="227"/>
        <w:ind w:left="0" w:firstLine="0"/>
        <w:rPr>
          <w:szCs w:val="24"/>
        </w:rPr>
      </w:pPr>
      <w:r w:rsidRPr="00C90CD6">
        <w:rPr>
          <w:szCs w:val="24"/>
        </w:rPr>
        <w:t>Přípravek s indikačním omezením</w:t>
      </w:r>
    </w:p>
    <w:p w:rsidR="00A72A1B" w:rsidRPr="00C90CD6" w:rsidRDefault="00CA7845" w:rsidP="00C90CD6">
      <w:pPr>
        <w:spacing w:after="216"/>
        <w:ind w:left="0" w:firstLine="0"/>
        <w:rPr>
          <w:b/>
          <w:szCs w:val="24"/>
        </w:rPr>
      </w:pPr>
      <w:r w:rsidRPr="00C90CD6">
        <w:rPr>
          <w:b/>
          <w:szCs w:val="24"/>
        </w:rPr>
        <w:t>3/ Obsah léčivých a ostatních látek</w:t>
      </w:r>
    </w:p>
    <w:p w:rsidR="00A72A1B" w:rsidRPr="00C90CD6" w:rsidRDefault="00CA7845" w:rsidP="00C90CD6">
      <w:pPr>
        <w:spacing w:after="250" w:line="250" w:lineRule="auto"/>
        <w:ind w:left="0" w:right="9" w:firstLine="0"/>
        <w:rPr>
          <w:szCs w:val="24"/>
        </w:rPr>
      </w:pPr>
      <w:r w:rsidRPr="00C90CD6">
        <w:rPr>
          <w:szCs w:val="24"/>
        </w:rPr>
        <w:t>1 ml přípravku obsahuje</w:t>
      </w:r>
    </w:p>
    <w:p w:rsidR="00A72A1B" w:rsidRPr="00C90CD6" w:rsidRDefault="00CA7845" w:rsidP="00C90CD6">
      <w:pPr>
        <w:ind w:left="0" w:firstLine="0"/>
        <w:rPr>
          <w:b/>
          <w:szCs w:val="24"/>
        </w:rPr>
      </w:pPr>
      <w:r w:rsidRPr="00C90CD6">
        <w:rPr>
          <w:b/>
          <w:noProof/>
          <w:szCs w:val="24"/>
        </w:rPr>
        <w:drawing>
          <wp:anchor distT="0" distB="0" distL="114300" distR="114300" simplePos="0" relativeHeight="251658240" behindDoc="0" locked="0" layoutInCell="1" allowOverlap="0" wp14:anchorId="3D59BA88" wp14:editId="3655D3B1">
            <wp:simplePos x="0" y="0"/>
            <wp:positionH relativeFrom="page">
              <wp:posOffset>585295</wp:posOffset>
            </wp:positionH>
            <wp:positionV relativeFrom="page">
              <wp:posOffset>6640201</wp:posOffset>
            </wp:positionV>
            <wp:extent cx="3048" cy="6097"/>
            <wp:effectExtent l="0" t="0" r="0" b="0"/>
            <wp:wrapSquare wrapText="bothSides"/>
            <wp:docPr id="1253" name="Picture 1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3" name="Picture 125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0CD6">
        <w:rPr>
          <w:b/>
          <w:szCs w:val="24"/>
        </w:rPr>
        <w:t>Léčivá látka</w:t>
      </w:r>
    </w:p>
    <w:tbl>
      <w:tblPr>
        <w:tblStyle w:val="TableGrid"/>
        <w:tblW w:w="4558" w:type="dxa"/>
        <w:tblInd w:w="120" w:type="dxa"/>
        <w:tblLook w:val="04A0" w:firstRow="1" w:lastRow="0" w:firstColumn="1" w:lastColumn="0" w:noHBand="0" w:noVBand="1"/>
      </w:tblPr>
      <w:tblGrid>
        <w:gridCol w:w="3471"/>
        <w:gridCol w:w="1087"/>
      </w:tblGrid>
      <w:tr w:rsidR="00A72A1B" w:rsidRPr="00C90CD6" w:rsidTr="00C90CD6">
        <w:trPr>
          <w:trHeight w:val="780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A72A1B" w:rsidRPr="00C90CD6" w:rsidRDefault="00CA7845" w:rsidP="00C90CD6">
            <w:pPr>
              <w:spacing w:after="257" w:line="259" w:lineRule="auto"/>
              <w:ind w:left="0" w:firstLine="0"/>
              <w:jc w:val="left"/>
              <w:rPr>
                <w:szCs w:val="24"/>
              </w:rPr>
            </w:pPr>
            <w:r w:rsidRPr="00C90CD6">
              <w:rPr>
                <w:szCs w:val="24"/>
              </w:rPr>
              <w:t>Enrofloxacinum</w:t>
            </w:r>
          </w:p>
          <w:p w:rsidR="00A72A1B" w:rsidRPr="00C90CD6" w:rsidRDefault="00CA7845" w:rsidP="00C90CD6">
            <w:pPr>
              <w:spacing w:after="0" w:line="259" w:lineRule="auto"/>
              <w:ind w:left="0" w:firstLine="0"/>
              <w:jc w:val="left"/>
              <w:rPr>
                <w:b/>
                <w:szCs w:val="24"/>
              </w:rPr>
            </w:pPr>
            <w:r w:rsidRPr="00C90CD6">
              <w:rPr>
                <w:b/>
                <w:szCs w:val="24"/>
              </w:rPr>
              <w:t>Pomocné látky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A72A1B" w:rsidRPr="00C90CD6" w:rsidRDefault="00CA7845" w:rsidP="00C90CD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90CD6">
              <w:rPr>
                <w:szCs w:val="24"/>
              </w:rPr>
              <w:t>100 mg</w:t>
            </w:r>
          </w:p>
        </w:tc>
      </w:tr>
      <w:tr w:rsidR="00A72A1B" w:rsidRPr="00C90CD6" w:rsidTr="00C90CD6">
        <w:trPr>
          <w:trHeight w:val="252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A72A1B" w:rsidRPr="00C90CD6" w:rsidRDefault="00CA7845" w:rsidP="00C90CD6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90CD6">
              <w:rPr>
                <w:szCs w:val="24"/>
              </w:rPr>
              <w:t>Benzylalkohol (E 1519)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A72A1B" w:rsidRDefault="00CA7845" w:rsidP="00C90CD6">
            <w:pPr>
              <w:spacing w:after="0" w:line="259" w:lineRule="auto"/>
              <w:ind w:left="0" w:right="-250" w:firstLine="0"/>
              <w:rPr>
                <w:szCs w:val="24"/>
              </w:rPr>
            </w:pPr>
            <w:r w:rsidRPr="00C90CD6">
              <w:rPr>
                <w:szCs w:val="24"/>
              </w:rPr>
              <w:t xml:space="preserve">15,65 </w:t>
            </w:r>
            <w:r w:rsidR="00C90CD6">
              <w:rPr>
                <w:szCs w:val="24"/>
              </w:rPr>
              <w:t>mg</w:t>
            </w:r>
          </w:p>
          <w:p w:rsidR="00C90CD6" w:rsidRPr="00C90CD6" w:rsidRDefault="00C90CD6" w:rsidP="00C90CD6">
            <w:pPr>
              <w:spacing w:after="0" w:line="259" w:lineRule="auto"/>
              <w:ind w:left="0" w:right="-250" w:firstLine="0"/>
              <w:rPr>
                <w:szCs w:val="24"/>
              </w:rPr>
            </w:pPr>
          </w:p>
        </w:tc>
      </w:tr>
    </w:tbl>
    <w:p w:rsidR="00A72A1B" w:rsidRPr="00C90CD6" w:rsidRDefault="00CA7845" w:rsidP="00C90CD6">
      <w:pPr>
        <w:ind w:left="0" w:firstLine="0"/>
        <w:rPr>
          <w:b/>
          <w:szCs w:val="24"/>
        </w:rPr>
      </w:pPr>
      <w:r w:rsidRPr="00C90CD6">
        <w:rPr>
          <w:b/>
          <w:szCs w:val="24"/>
        </w:rPr>
        <w:t>4/ Indikace</w:t>
      </w:r>
    </w:p>
    <w:p w:rsidR="00A72A1B" w:rsidRPr="00C90CD6" w:rsidRDefault="00CA7845" w:rsidP="00C90CD6">
      <w:pPr>
        <w:spacing w:after="4" w:line="259" w:lineRule="auto"/>
        <w:ind w:left="0" w:firstLine="0"/>
        <w:jc w:val="left"/>
        <w:rPr>
          <w:b/>
          <w:szCs w:val="24"/>
        </w:rPr>
      </w:pPr>
      <w:r w:rsidRPr="00C90CD6">
        <w:rPr>
          <w:b/>
          <w:szCs w:val="24"/>
          <w:u w:val="single" w:color="000000"/>
        </w:rPr>
        <w:t>Telata skotu a prasata</w:t>
      </w:r>
    </w:p>
    <w:p w:rsidR="00A72A1B" w:rsidRPr="00C90CD6" w:rsidRDefault="00CA7845" w:rsidP="00C90CD6">
      <w:pPr>
        <w:spacing w:after="284"/>
        <w:ind w:left="0" w:right="163" w:firstLine="0"/>
        <w:rPr>
          <w:szCs w:val="24"/>
        </w:rPr>
      </w:pPr>
      <w:r w:rsidRPr="00C90CD6">
        <w:rPr>
          <w:szCs w:val="24"/>
        </w:rPr>
        <w:t>Léčba infekčních onemocnění vyvolaných grampozitivními a gramnegativními bakteriemi a mykoplazmaty citlivými na enrofloxacin. Zejména se jedná o onemocnění trávicího, respiračního a urogenitálního traktu, infekce kůže a ran, v případech, kdy klinická zkušenost, podpořená vždy když je to možné výsledky stanovení citlivosti, indikuje enrofloxacin jako lék volby.</w:t>
      </w:r>
    </w:p>
    <w:p w:rsidR="00A72A1B" w:rsidRPr="00C90CD6" w:rsidRDefault="00CA7845" w:rsidP="00C90CD6">
      <w:pPr>
        <w:spacing w:after="4" w:line="259" w:lineRule="auto"/>
        <w:ind w:left="0" w:firstLine="0"/>
        <w:jc w:val="left"/>
        <w:rPr>
          <w:b/>
          <w:szCs w:val="24"/>
        </w:rPr>
      </w:pPr>
      <w:r w:rsidRPr="00C90CD6">
        <w:rPr>
          <w:b/>
          <w:szCs w:val="24"/>
          <w:u w:val="single" w:color="000000"/>
        </w:rPr>
        <w:t>Brojleři kura domácího</w:t>
      </w:r>
    </w:p>
    <w:p w:rsidR="00A72A1B" w:rsidRPr="00C90CD6" w:rsidRDefault="00CA7845" w:rsidP="00C90CD6">
      <w:pPr>
        <w:ind w:left="0" w:firstLine="0"/>
        <w:rPr>
          <w:szCs w:val="24"/>
        </w:rPr>
      </w:pPr>
      <w:r w:rsidRPr="00C90CD6">
        <w:rPr>
          <w:szCs w:val="24"/>
        </w:rPr>
        <w:t>Léčba infekcí způsobených následujícími bakteriemi citlivými vůči enrofloxacinu:</w:t>
      </w:r>
      <w:r w:rsidRPr="00C90CD6">
        <w:rPr>
          <w:noProof/>
          <w:szCs w:val="24"/>
        </w:rPr>
        <w:drawing>
          <wp:inline distT="0" distB="0" distL="0" distR="0" wp14:anchorId="15A6F070" wp14:editId="4062C8F0">
            <wp:extent cx="6097" cy="9146"/>
            <wp:effectExtent l="0" t="0" r="0" b="0"/>
            <wp:docPr id="15392" name="Picture 15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92" name="Picture 1539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A1B" w:rsidRPr="00C90CD6" w:rsidRDefault="00CA7845" w:rsidP="00C90CD6">
      <w:pPr>
        <w:ind w:left="0" w:firstLine="0"/>
        <w:rPr>
          <w:szCs w:val="24"/>
        </w:rPr>
      </w:pPr>
      <w:r w:rsidRPr="0028756D">
        <w:rPr>
          <w:i/>
          <w:szCs w:val="24"/>
        </w:rPr>
        <w:t>Mycoplasma gallisepticum</w:t>
      </w:r>
      <w:r w:rsidRPr="00C90CD6">
        <w:rPr>
          <w:szCs w:val="24"/>
        </w:rPr>
        <w:t>,</w:t>
      </w:r>
    </w:p>
    <w:p w:rsidR="006319B6" w:rsidRPr="00C90CD6" w:rsidRDefault="00CA7845" w:rsidP="00C90CD6">
      <w:pPr>
        <w:spacing w:after="9" w:line="250" w:lineRule="auto"/>
        <w:ind w:left="0" w:right="9" w:firstLine="0"/>
        <w:rPr>
          <w:szCs w:val="24"/>
        </w:rPr>
      </w:pPr>
      <w:proofErr w:type="spellStart"/>
      <w:r w:rsidRPr="0028756D">
        <w:rPr>
          <w:i/>
          <w:szCs w:val="24"/>
        </w:rPr>
        <w:t>Mycoplasma</w:t>
      </w:r>
      <w:proofErr w:type="spellEnd"/>
      <w:r w:rsidRPr="0028756D">
        <w:rPr>
          <w:i/>
          <w:szCs w:val="24"/>
        </w:rPr>
        <w:t xml:space="preserve"> </w:t>
      </w:r>
      <w:proofErr w:type="spellStart"/>
      <w:r w:rsidRPr="0028756D">
        <w:rPr>
          <w:i/>
          <w:szCs w:val="24"/>
        </w:rPr>
        <w:t>synoviae</w:t>
      </w:r>
      <w:proofErr w:type="spellEnd"/>
      <w:r w:rsidRPr="00C90CD6">
        <w:rPr>
          <w:szCs w:val="24"/>
        </w:rPr>
        <w:t>,</w:t>
      </w:r>
    </w:p>
    <w:p w:rsidR="00C90CD6" w:rsidRDefault="00CA7845" w:rsidP="0028756D">
      <w:pPr>
        <w:spacing w:after="9" w:line="250" w:lineRule="auto"/>
        <w:ind w:left="0" w:right="9" w:firstLine="0"/>
        <w:rPr>
          <w:szCs w:val="24"/>
        </w:rPr>
      </w:pPr>
      <w:proofErr w:type="spellStart"/>
      <w:r w:rsidRPr="0028756D">
        <w:rPr>
          <w:i/>
          <w:szCs w:val="24"/>
        </w:rPr>
        <w:t>Avibacterium</w:t>
      </w:r>
      <w:proofErr w:type="spellEnd"/>
      <w:r w:rsidR="006319B6">
        <w:rPr>
          <w:i/>
          <w:szCs w:val="24"/>
        </w:rPr>
        <w:t xml:space="preserve"> </w:t>
      </w:r>
      <w:proofErr w:type="spellStart"/>
      <w:r w:rsidRPr="0028756D">
        <w:rPr>
          <w:i/>
          <w:szCs w:val="24"/>
        </w:rPr>
        <w:t>paragallinarum</w:t>
      </w:r>
      <w:proofErr w:type="spellEnd"/>
      <w:r w:rsidRPr="00C90CD6">
        <w:rPr>
          <w:szCs w:val="24"/>
        </w:rPr>
        <w:t>,</w:t>
      </w:r>
    </w:p>
    <w:p w:rsidR="00A72A1B" w:rsidRPr="00C90CD6" w:rsidRDefault="00CA7845" w:rsidP="00C90CD6">
      <w:pPr>
        <w:spacing w:after="41"/>
        <w:ind w:left="0" w:right="6130" w:firstLine="0"/>
        <w:rPr>
          <w:szCs w:val="24"/>
        </w:rPr>
      </w:pPr>
      <w:proofErr w:type="spellStart"/>
      <w:r w:rsidRPr="0028756D">
        <w:rPr>
          <w:i/>
          <w:szCs w:val="24"/>
        </w:rPr>
        <w:t>Pasteurella</w:t>
      </w:r>
      <w:proofErr w:type="spellEnd"/>
      <w:r w:rsidR="006319B6">
        <w:rPr>
          <w:i/>
          <w:szCs w:val="24"/>
        </w:rPr>
        <w:t xml:space="preserve"> </w:t>
      </w:r>
      <w:proofErr w:type="spellStart"/>
      <w:r w:rsidRPr="0028756D">
        <w:rPr>
          <w:i/>
          <w:szCs w:val="24"/>
        </w:rPr>
        <w:t>multocida</w:t>
      </w:r>
      <w:proofErr w:type="spellEnd"/>
      <w:r w:rsidRPr="00C90CD6">
        <w:rPr>
          <w:szCs w:val="24"/>
        </w:rPr>
        <w:t xml:space="preserve">, </w:t>
      </w:r>
    </w:p>
    <w:p w:rsidR="00A72A1B" w:rsidRPr="00C90CD6" w:rsidRDefault="00CA7845" w:rsidP="00C90CD6">
      <w:pPr>
        <w:spacing w:after="254"/>
        <w:ind w:left="0" w:firstLine="0"/>
        <w:rPr>
          <w:szCs w:val="24"/>
        </w:rPr>
      </w:pPr>
      <w:r w:rsidRPr="00C90CD6">
        <w:rPr>
          <w:szCs w:val="24"/>
        </w:rPr>
        <w:t>v případech, kdy klinická zkušenost, podpořená vždy když je to možné výsledky stanovení citlivosti, indikuje enrofloxacin jako lék volby.</w:t>
      </w:r>
    </w:p>
    <w:p w:rsidR="00A72A1B" w:rsidRPr="00EE7742" w:rsidRDefault="00CA7845" w:rsidP="00C90CD6">
      <w:pPr>
        <w:ind w:left="0" w:firstLine="0"/>
        <w:rPr>
          <w:b/>
          <w:szCs w:val="24"/>
        </w:rPr>
      </w:pPr>
      <w:r w:rsidRPr="00EE7742">
        <w:rPr>
          <w:b/>
          <w:szCs w:val="24"/>
        </w:rPr>
        <w:t>5/ Kontraindikace</w:t>
      </w:r>
    </w:p>
    <w:p w:rsidR="00A72A1B" w:rsidRPr="00C90CD6" w:rsidRDefault="00CA7845" w:rsidP="00C90CD6">
      <w:pPr>
        <w:spacing w:after="39" w:line="250" w:lineRule="auto"/>
        <w:ind w:left="0" w:right="9" w:firstLine="0"/>
        <w:rPr>
          <w:szCs w:val="24"/>
        </w:rPr>
      </w:pPr>
      <w:r w:rsidRPr="00C90CD6">
        <w:rPr>
          <w:szCs w:val="24"/>
        </w:rPr>
        <w:t>Březost a laktace,</w:t>
      </w:r>
    </w:p>
    <w:p w:rsidR="00A72A1B" w:rsidRPr="00C90CD6" w:rsidRDefault="00CA7845" w:rsidP="00C90CD6">
      <w:pPr>
        <w:ind w:left="0" w:firstLine="0"/>
        <w:rPr>
          <w:szCs w:val="24"/>
        </w:rPr>
      </w:pPr>
      <w:r w:rsidRPr="00C90CD6">
        <w:rPr>
          <w:szCs w:val="24"/>
        </w:rPr>
        <w:t>Nepoužívat k léčbě infekcí způsobených mikroorganiz</w:t>
      </w:r>
      <w:r w:rsidR="00E040AB">
        <w:rPr>
          <w:szCs w:val="24"/>
        </w:rPr>
        <w:t>m</w:t>
      </w:r>
      <w:r w:rsidRPr="00C90CD6">
        <w:rPr>
          <w:szCs w:val="24"/>
        </w:rPr>
        <w:t>y rezistentními na fluorochinolony.</w:t>
      </w:r>
    </w:p>
    <w:p w:rsidR="00A72A1B" w:rsidRPr="00C90CD6" w:rsidRDefault="00CA7845" w:rsidP="00C90CD6">
      <w:pPr>
        <w:ind w:left="0" w:firstLine="0"/>
        <w:rPr>
          <w:szCs w:val="24"/>
        </w:rPr>
      </w:pPr>
      <w:r w:rsidRPr="00C90CD6">
        <w:rPr>
          <w:szCs w:val="24"/>
        </w:rPr>
        <w:t>Nepoužívat jako prevenci vzniku onemocněn</w:t>
      </w:r>
      <w:r w:rsidR="00E040AB">
        <w:rPr>
          <w:szCs w:val="24"/>
        </w:rPr>
        <w:t>í</w:t>
      </w:r>
    </w:p>
    <w:p w:rsidR="00A72A1B" w:rsidRPr="00C90CD6" w:rsidRDefault="00CA7845" w:rsidP="00C90CD6">
      <w:pPr>
        <w:spacing w:after="179"/>
        <w:ind w:left="0" w:firstLine="0"/>
        <w:rPr>
          <w:szCs w:val="24"/>
        </w:rPr>
      </w:pPr>
      <w:r w:rsidRPr="00C90CD6">
        <w:rPr>
          <w:szCs w:val="24"/>
        </w:rPr>
        <w:t>Nepodávat vyšší dávky nežli jsou doporučené a neprodlužovat dobu léčby.</w:t>
      </w:r>
    </w:p>
    <w:p w:rsidR="00A72A1B" w:rsidRPr="00C90CD6" w:rsidRDefault="00A72A1B" w:rsidP="00C90CD6">
      <w:pPr>
        <w:spacing w:after="0" w:line="259" w:lineRule="auto"/>
        <w:ind w:left="0" w:firstLine="0"/>
        <w:jc w:val="left"/>
        <w:rPr>
          <w:szCs w:val="24"/>
        </w:rPr>
      </w:pPr>
    </w:p>
    <w:p w:rsidR="00A72A1B" w:rsidRPr="00C90CD6" w:rsidRDefault="00CA7845" w:rsidP="00C90CD6">
      <w:pPr>
        <w:ind w:left="0" w:firstLine="0"/>
        <w:rPr>
          <w:szCs w:val="24"/>
        </w:rPr>
      </w:pPr>
      <w:r w:rsidRPr="00C90CD6">
        <w:rPr>
          <w:noProof/>
          <w:szCs w:val="24"/>
        </w:rPr>
        <w:lastRenderedPageBreak/>
        <w:drawing>
          <wp:inline distT="0" distB="0" distL="0" distR="0" wp14:anchorId="4FFE2DE5" wp14:editId="65339736">
            <wp:extent cx="6097" cy="3049"/>
            <wp:effectExtent l="0" t="0" r="0" b="0"/>
            <wp:docPr id="3563" name="Picture 35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3" name="Picture 356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0CD6">
        <w:rPr>
          <w:szCs w:val="24"/>
        </w:rPr>
        <w:t>Nepoužívat u ruminujících telat, u nosnic v období snášky a kuřic během 14 dní před počátkem snášky.</w:t>
      </w:r>
    </w:p>
    <w:p w:rsidR="00A72A1B" w:rsidRPr="00C90CD6" w:rsidRDefault="00CA7845" w:rsidP="00C90CD6">
      <w:pPr>
        <w:spacing w:after="248" w:line="250" w:lineRule="auto"/>
        <w:ind w:left="0" w:right="9" w:firstLine="0"/>
        <w:rPr>
          <w:szCs w:val="24"/>
        </w:rPr>
      </w:pPr>
      <w:r w:rsidRPr="00C90CD6">
        <w:rPr>
          <w:szCs w:val="24"/>
        </w:rPr>
        <w:t>Nepodávat současně s makrolidovými antibiotiky, tetracykliny, nitrofurany a nesteroidními protizánětlivými přípravky.</w:t>
      </w:r>
    </w:p>
    <w:p w:rsidR="00A72A1B" w:rsidRPr="00E040AB" w:rsidRDefault="00CA7845" w:rsidP="00C90CD6">
      <w:pPr>
        <w:ind w:left="0" w:firstLine="0"/>
        <w:rPr>
          <w:b/>
          <w:szCs w:val="24"/>
        </w:rPr>
      </w:pPr>
      <w:r w:rsidRPr="00E040AB">
        <w:rPr>
          <w:b/>
          <w:szCs w:val="24"/>
        </w:rPr>
        <w:t>6/ Nežádoucí účinky</w:t>
      </w:r>
    </w:p>
    <w:p w:rsidR="00A72A1B" w:rsidRPr="00C90CD6" w:rsidRDefault="00CA7845" w:rsidP="00C90CD6">
      <w:pPr>
        <w:spacing w:after="9" w:line="250" w:lineRule="auto"/>
        <w:ind w:left="0" w:right="9" w:firstLine="0"/>
        <w:rPr>
          <w:szCs w:val="24"/>
        </w:rPr>
      </w:pPr>
      <w:r w:rsidRPr="00C90CD6">
        <w:rPr>
          <w:szCs w:val="24"/>
        </w:rPr>
        <w:t>Z literatury jsou známy následující nežádoucí účinky fluorochinolonů:</w:t>
      </w:r>
    </w:p>
    <w:p w:rsidR="00A72A1B" w:rsidRPr="00C90CD6" w:rsidRDefault="00CA7845" w:rsidP="00C90CD6">
      <w:pPr>
        <w:numPr>
          <w:ilvl w:val="0"/>
          <w:numId w:val="1"/>
        </w:numPr>
        <w:ind w:left="0" w:firstLine="0"/>
        <w:rPr>
          <w:szCs w:val="24"/>
        </w:rPr>
      </w:pPr>
      <w:r w:rsidRPr="00C90CD6">
        <w:rPr>
          <w:szCs w:val="24"/>
        </w:rPr>
        <w:t>ojedinělé zažívací poruchy (anorexie, vomitus, diarrhoe)</w:t>
      </w:r>
    </w:p>
    <w:p w:rsidR="00A72A1B" w:rsidRPr="00C90CD6" w:rsidRDefault="00CA7845" w:rsidP="00C90CD6">
      <w:pPr>
        <w:numPr>
          <w:ilvl w:val="0"/>
          <w:numId w:val="1"/>
        </w:numPr>
        <w:ind w:left="0" w:firstLine="0"/>
        <w:rPr>
          <w:szCs w:val="24"/>
        </w:rPr>
      </w:pPr>
      <w:r w:rsidRPr="00C90CD6">
        <w:rPr>
          <w:szCs w:val="24"/>
        </w:rPr>
        <w:t>poruchy nervového systému (konvulze)</w:t>
      </w:r>
    </w:p>
    <w:p w:rsidR="00A72A1B" w:rsidRPr="00C90CD6" w:rsidRDefault="00CA7845" w:rsidP="00C90CD6">
      <w:pPr>
        <w:numPr>
          <w:ilvl w:val="0"/>
          <w:numId w:val="1"/>
        </w:numPr>
        <w:spacing w:after="9" w:line="250" w:lineRule="auto"/>
        <w:ind w:left="0" w:firstLine="0"/>
        <w:rPr>
          <w:szCs w:val="24"/>
        </w:rPr>
      </w:pPr>
      <w:r w:rsidRPr="00C90CD6">
        <w:rPr>
          <w:szCs w:val="24"/>
        </w:rPr>
        <w:t>v období růstu poruchy vývoje chrupavek</w:t>
      </w:r>
    </w:p>
    <w:p w:rsidR="00A72A1B" w:rsidRPr="00C90CD6" w:rsidRDefault="00CA7845" w:rsidP="00C90CD6">
      <w:pPr>
        <w:spacing w:after="241" w:line="250" w:lineRule="auto"/>
        <w:ind w:left="0" w:right="9" w:firstLine="0"/>
        <w:rPr>
          <w:szCs w:val="24"/>
        </w:rPr>
      </w:pPr>
      <w:r w:rsidRPr="00C90CD6">
        <w:rPr>
          <w:szCs w:val="24"/>
        </w:rPr>
        <w:t>Tyto údaje se vztahují k dlouhodobému podávání vysokých dávek.</w:t>
      </w:r>
    </w:p>
    <w:p w:rsidR="00A72A1B" w:rsidRPr="00E040AB" w:rsidRDefault="00CA7845" w:rsidP="00C90CD6">
      <w:pPr>
        <w:pStyle w:val="Nadpis2"/>
        <w:ind w:left="0" w:firstLine="0"/>
        <w:rPr>
          <w:b/>
          <w:sz w:val="24"/>
          <w:szCs w:val="24"/>
        </w:rPr>
      </w:pPr>
      <w:r w:rsidRPr="00E040AB">
        <w:rPr>
          <w:b/>
          <w:sz w:val="24"/>
          <w:szCs w:val="24"/>
        </w:rPr>
        <w:t>7/ Cílový druh zvířat</w:t>
      </w:r>
    </w:p>
    <w:p w:rsidR="00A72A1B" w:rsidRPr="00C90CD6" w:rsidRDefault="00CA7845" w:rsidP="00C90CD6">
      <w:pPr>
        <w:spacing w:after="258"/>
        <w:ind w:left="0" w:firstLine="0"/>
        <w:rPr>
          <w:szCs w:val="24"/>
        </w:rPr>
      </w:pPr>
      <w:r w:rsidRPr="00C90CD6">
        <w:rPr>
          <w:szCs w:val="24"/>
        </w:rPr>
        <w:t>Brojleři kura domácího, ner</w:t>
      </w:r>
      <w:r w:rsidR="00E040AB">
        <w:rPr>
          <w:szCs w:val="24"/>
        </w:rPr>
        <w:t>um</w:t>
      </w:r>
      <w:r w:rsidRPr="00C90CD6">
        <w:rPr>
          <w:szCs w:val="24"/>
        </w:rPr>
        <w:t xml:space="preserve">inující telata </w:t>
      </w:r>
      <w:r w:rsidR="00E040AB">
        <w:rPr>
          <w:szCs w:val="24"/>
        </w:rPr>
        <w:t>s</w:t>
      </w:r>
      <w:r w:rsidRPr="00C90CD6">
        <w:rPr>
          <w:szCs w:val="24"/>
        </w:rPr>
        <w:t>kotu a prasata.</w:t>
      </w:r>
    </w:p>
    <w:p w:rsidR="00A72A1B" w:rsidRPr="00E040AB" w:rsidRDefault="00CA7845" w:rsidP="00E040AB">
      <w:pPr>
        <w:ind w:left="0" w:right="27" w:firstLine="0"/>
        <w:rPr>
          <w:b/>
          <w:szCs w:val="24"/>
        </w:rPr>
      </w:pPr>
      <w:r w:rsidRPr="00E040AB">
        <w:rPr>
          <w:b/>
          <w:szCs w:val="24"/>
        </w:rPr>
        <w:t>8/ Dávkování pro každý druh, cesta a způsob podání Brojleři kura domácího</w:t>
      </w:r>
    </w:p>
    <w:p w:rsidR="00A72A1B" w:rsidRPr="00C90CD6" w:rsidRDefault="00CA7845" w:rsidP="00C90CD6">
      <w:pPr>
        <w:ind w:left="0" w:firstLine="0"/>
        <w:rPr>
          <w:szCs w:val="24"/>
        </w:rPr>
      </w:pPr>
      <w:r w:rsidRPr="00C90CD6">
        <w:rPr>
          <w:szCs w:val="24"/>
        </w:rPr>
        <w:t xml:space="preserve">10 mg enrofloxacinu/kg ž. </w:t>
      </w:r>
      <w:proofErr w:type="gramStart"/>
      <w:r w:rsidRPr="00C90CD6">
        <w:rPr>
          <w:szCs w:val="24"/>
        </w:rPr>
        <w:t>hm</w:t>
      </w:r>
      <w:proofErr w:type="gramEnd"/>
      <w:r w:rsidRPr="00C90CD6">
        <w:rPr>
          <w:szCs w:val="24"/>
        </w:rPr>
        <w:t>. na den po dobu 3</w:t>
      </w:r>
      <w:r w:rsidR="00E040AB">
        <w:rPr>
          <w:szCs w:val="24"/>
        </w:rPr>
        <w:t>-</w:t>
      </w:r>
      <w:r w:rsidRPr="00C90CD6">
        <w:rPr>
          <w:szCs w:val="24"/>
        </w:rPr>
        <w:t>5 po sobě následujících dní.</w:t>
      </w:r>
    </w:p>
    <w:p w:rsidR="00A72A1B" w:rsidRPr="00C90CD6" w:rsidRDefault="00CA7845" w:rsidP="00C90CD6">
      <w:pPr>
        <w:spacing w:after="251"/>
        <w:ind w:left="0" w:firstLine="0"/>
        <w:rPr>
          <w:szCs w:val="24"/>
        </w:rPr>
      </w:pPr>
      <w:r w:rsidRPr="00C90CD6">
        <w:rPr>
          <w:szCs w:val="24"/>
        </w:rPr>
        <w:t>Léčba po dobu 3</w:t>
      </w:r>
      <w:r w:rsidR="00E040AB">
        <w:rPr>
          <w:szCs w:val="24"/>
        </w:rPr>
        <w:t xml:space="preserve">- </w:t>
      </w:r>
      <w:r w:rsidRPr="00C90CD6">
        <w:rPr>
          <w:szCs w:val="24"/>
        </w:rPr>
        <w:t>5 po sobě následujících dní; po dobu 5 po sobě následujících dní v případě smíšených infekcí a chronických progresivních forem. Pokud není během 2-3 dní dosaženo klinického zlepšení, mělo by se zvážit nasazení alternativní antimikrobní léčby na základě výsledků testů citlivosti.</w:t>
      </w:r>
    </w:p>
    <w:p w:rsidR="00A72A1B" w:rsidRPr="00E040AB" w:rsidRDefault="00CA7845" w:rsidP="00C90CD6">
      <w:pPr>
        <w:spacing w:after="0" w:line="259" w:lineRule="auto"/>
        <w:ind w:left="0" w:firstLine="0"/>
        <w:jc w:val="left"/>
        <w:rPr>
          <w:b/>
          <w:szCs w:val="24"/>
        </w:rPr>
      </w:pPr>
      <w:r w:rsidRPr="00E040AB">
        <w:rPr>
          <w:b/>
          <w:szCs w:val="24"/>
          <w:u w:val="single" w:color="000000"/>
        </w:rPr>
        <w:t>Neruminující telata, prasata</w:t>
      </w:r>
    </w:p>
    <w:p w:rsidR="00A72A1B" w:rsidRPr="00C90CD6" w:rsidRDefault="00CA7845" w:rsidP="00C90CD6">
      <w:pPr>
        <w:ind w:left="0" w:firstLine="0"/>
        <w:rPr>
          <w:szCs w:val="24"/>
        </w:rPr>
      </w:pPr>
      <w:r w:rsidRPr="00C90CD6">
        <w:rPr>
          <w:szCs w:val="24"/>
        </w:rPr>
        <w:t xml:space="preserve">5,0 mg </w:t>
      </w:r>
      <w:proofErr w:type="gramStart"/>
      <w:r w:rsidRPr="00C90CD6">
        <w:rPr>
          <w:szCs w:val="24"/>
        </w:rPr>
        <w:t>enrofloxacinu/kg ž.hm</w:t>
      </w:r>
      <w:proofErr w:type="gramEnd"/>
      <w:r w:rsidRPr="00C90CD6">
        <w:rPr>
          <w:szCs w:val="24"/>
        </w:rPr>
        <w:t>. tj.:</w:t>
      </w:r>
    </w:p>
    <w:p w:rsidR="00A72A1B" w:rsidRPr="00C90CD6" w:rsidRDefault="00CA7845" w:rsidP="00C90CD6">
      <w:pPr>
        <w:spacing w:after="249"/>
        <w:ind w:left="0" w:right="2093" w:firstLine="0"/>
        <w:rPr>
          <w:szCs w:val="24"/>
        </w:rPr>
      </w:pPr>
      <w:r w:rsidRPr="00C90CD6">
        <w:rPr>
          <w:noProof/>
          <w:szCs w:val="24"/>
        </w:rPr>
        <w:drawing>
          <wp:anchor distT="0" distB="0" distL="114300" distR="114300" simplePos="0" relativeHeight="251659264" behindDoc="0" locked="0" layoutInCell="1" allowOverlap="0" wp14:anchorId="073CD779" wp14:editId="4423032A">
            <wp:simplePos x="0" y="0"/>
            <wp:positionH relativeFrom="page">
              <wp:posOffset>591392</wp:posOffset>
            </wp:positionH>
            <wp:positionV relativeFrom="page">
              <wp:posOffset>6637152</wp:posOffset>
            </wp:positionV>
            <wp:extent cx="3048" cy="6098"/>
            <wp:effectExtent l="0" t="0" r="0" b="0"/>
            <wp:wrapSquare wrapText="bothSides"/>
            <wp:docPr id="3564" name="Picture 35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4" name="Picture 356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0CD6">
        <w:rPr>
          <w:szCs w:val="24"/>
        </w:rPr>
        <w:t xml:space="preserve">Telata 0,5 ml přípravku/ 10 </w:t>
      </w:r>
      <w:proofErr w:type="gramStart"/>
      <w:r w:rsidRPr="00C90CD6">
        <w:rPr>
          <w:szCs w:val="24"/>
        </w:rPr>
        <w:t>kg ž.hm</w:t>
      </w:r>
      <w:proofErr w:type="gramEnd"/>
      <w:r w:rsidRPr="00C90CD6">
        <w:rPr>
          <w:szCs w:val="24"/>
        </w:rPr>
        <w:t xml:space="preserve">. po dobu 5 po sobě jdoucích dní Prasata 0,5 ml přípravku/ </w:t>
      </w:r>
      <w:r w:rsidR="00E040AB">
        <w:rPr>
          <w:szCs w:val="24"/>
        </w:rPr>
        <w:t xml:space="preserve">10 </w:t>
      </w:r>
      <w:r w:rsidRPr="00C90CD6">
        <w:rPr>
          <w:szCs w:val="24"/>
        </w:rPr>
        <w:t>kg ž.hm. po dobu 5 po sobě jdoucích dní Podávat v malém množství vody nebo mléka.</w:t>
      </w:r>
    </w:p>
    <w:p w:rsidR="00A72A1B" w:rsidRPr="00E040AB" w:rsidRDefault="00CA7845" w:rsidP="00C90CD6">
      <w:pPr>
        <w:pStyle w:val="Nadpis2"/>
        <w:ind w:left="0" w:firstLine="0"/>
        <w:rPr>
          <w:b/>
          <w:sz w:val="24"/>
          <w:szCs w:val="24"/>
        </w:rPr>
      </w:pPr>
      <w:r w:rsidRPr="00E040AB">
        <w:rPr>
          <w:b/>
          <w:sz w:val="24"/>
          <w:szCs w:val="24"/>
        </w:rPr>
        <w:t>9/ Pokyny pro správné podání</w:t>
      </w:r>
    </w:p>
    <w:p w:rsidR="00A72A1B" w:rsidRPr="00C90CD6" w:rsidRDefault="00CA7845" w:rsidP="00C90CD6">
      <w:pPr>
        <w:ind w:left="0" w:firstLine="0"/>
        <w:rPr>
          <w:szCs w:val="24"/>
        </w:rPr>
      </w:pPr>
      <w:r w:rsidRPr="00C90CD6">
        <w:rPr>
          <w:szCs w:val="24"/>
        </w:rPr>
        <w:t>Perorálně v mléce či pitné vodě.</w:t>
      </w:r>
    </w:p>
    <w:p w:rsidR="00A72A1B" w:rsidRPr="00C90CD6" w:rsidRDefault="00CA7845" w:rsidP="00C90CD6">
      <w:pPr>
        <w:ind w:left="0" w:firstLine="0"/>
        <w:rPr>
          <w:szCs w:val="24"/>
        </w:rPr>
      </w:pPr>
      <w:r w:rsidRPr="00C90CD6">
        <w:rPr>
          <w:szCs w:val="24"/>
        </w:rPr>
        <w:t>Roztok připravujte denně čerstvý</w:t>
      </w:r>
      <w:r w:rsidR="00E040AB">
        <w:rPr>
          <w:szCs w:val="24"/>
        </w:rPr>
        <w:t>.</w:t>
      </w:r>
    </w:p>
    <w:p w:rsidR="00A72A1B" w:rsidRPr="00C90CD6" w:rsidRDefault="00CA7845" w:rsidP="00C90CD6">
      <w:pPr>
        <w:spacing w:after="252" w:line="250" w:lineRule="auto"/>
        <w:ind w:left="0" w:right="9" w:firstLine="0"/>
        <w:rPr>
          <w:szCs w:val="24"/>
        </w:rPr>
      </w:pPr>
      <w:r w:rsidRPr="00C90CD6">
        <w:rPr>
          <w:szCs w:val="24"/>
        </w:rPr>
        <w:t>Před započetím léčby by měla být co možná nejpřesněji stanovena živá hmotnost léčených zvířat, aby se předešlo poddávkování. Mělo by být zajištěno</w:t>
      </w:r>
      <w:r w:rsidR="006319B6">
        <w:rPr>
          <w:szCs w:val="24"/>
        </w:rPr>
        <w:t xml:space="preserve">, </w:t>
      </w:r>
      <w:r w:rsidRPr="00C90CD6">
        <w:rPr>
          <w:szCs w:val="24"/>
        </w:rPr>
        <w:t>aby z</w:t>
      </w:r>
      <w:r w:rsidR="00E040AB">
        <w:rPr>
          <w:szCs w:val="24"/>
        </w:rPr>
        <w:t>vířata</w:t>
      </w:r>
      <w:r w:rsidRPr="00C90CD6">
        <w:rPr>
          <w:szCs w:val="24"/>
        </w:rPr>
        <w:t xml:space="preserve"> spotřebovala všechnu medikovanou pitnou vodu a bylo tak dosaženo přijetí správné dávky léčiva. Medikovaná pitná voda má být po dobu léčby jediným zdrojem tekutin. Medikované mléko je nutno podat v množství, které pokryje potřebnou léčebnou dávku.</w:t>
      </w:r>
    </w:p>
    <w:p w:rsidR="00A72A1B" w:rsidRPr="00E040AB" w:rsidRDefault="00CA7845" w:rsidP="00C90CD6">
      <w:pPr>
        <w:ind w:left="0" w:firstLine="0"/>
        <w:rPr>
          <w:b/>
          <w:szCs w:val="24"/>
        </w:rPr>
      </w:pPr>
      <w:r w:rsidRPr="00E040AB">
        <w:rPr>
          <w:b/>
          <w:szCs w:val="24"/>
        </w:rPr>
        <w:t>10/ Ochranné lhůty</w:t>
      </w:r>
    </w:p>
    <w:p w:rsidR="00E040AB" w:rsidRDefault="00CA7845" w:rsidP="00E040AB">
      <w:pPr>
        <w:spacing w:after="0" w:line="240" w:lineRule="auto"/>
        <w:ind w:left="0" w:right="5703" w:firstLine="0"/>
        <w:rPr>
          <w:szCs w:val="24"/>
        </w:rPr>
      </w:pPr>
      <w:r w:rsidRPr="00C90CD6">
        <w:rPr>
          <w:szCs w:val="24"/>
        </w:rPr>
        <w:t xml:space="preserve">Prasata, telata: Maso: 12 dní. </w:t>
      </w:r>
    </w:p>
    <w:p w:rsidR="00A72A1B" w:rsidRDefault="00CA7845" w:rsidP="00E040AB">
      <w:pPr>
        <w:spacing w:after="0" w:line="240" w:lineRule="auto"/>
        <w:ind w:left="0" w:right="5703" w:firstLine="0"/>
        <w:rPr>
          <w:szCs w:val="24"/>
        </w:rPr>
      </w:pPr>
      <w:r w:rsidRPr="00C90CD6">
        <w:rPr>
          <w:szCs w:val="24"/>
        </w:rPr>
        <w:t>Kur domácí: Maso: 7 dní.</w:t>
      </w:r>
    </w:p>
    <w:p w:rsidR="00E040AB" w:rsidRPr="00C90CD6" w:rsidRDefault="00E040AB" w:rsidP="00E040AB">
      <w:pPr>
        <w:spacing w:after="0" w:line="240" w:lineRule="auto"/>
        <w:ind w:left="0" w:right="5703" w:firstLine="0"/>
        <w:rPr>
          <w:szCs w:val="24"/>
        </w:rPr>
      </w:pPr>
    </w:p>
    <w:p w:rsidR="00A72A1B" w:rsidRPr="00C90CD6" w:rsidRDefault="00CA7845" w:rsidP="00C90CD6">
      <w:pPr>
        <w:spacing w:after="515" w:line="250" w:lineRule="auto"/>
        <w:ind w:left="0" w:right="1407" w:firstLine="0"/>
        <w:rPr>
          <w:szCs w:val="24"/>
        </w:rPr>
      </w:pPr>
      <w:r w:rsidRPr="00C90CD6">
        <w:rPr>
          <w:szCs w:val="24"/>
        </w:rPr>
        <w:t>Nepoužívat u nosnic, jejichž vejce jsou určena pro lidskou spotřebu. Nepoužívat u kuřic během 14 dní před počátkem snášky.</w:t>
      </w:r>
    </w:p>
    <w:p w:rsidR="00A72A1B" w:rsidRPr="00E040AB" w:rsidRDefault="00CA7845" w:rsidP="0028756D">
      <w:pPr>
        <w:spacing w:after="0" w:line="252" w:lineRule="auto"/>
        <w:ind w:left="0" w:right="28" w:firstLine="0"/>
        <w:rPr>
          <w:b/>
          <w:szCs w:val="24"/>
        </w:rPr>
      </w:pPr>
      <w:r w:rsidRPr="00E040AB">
        <w:rPr>
          <w:b/>
          <w:szCs w:val="24"/>
        </w:rPr>
        <w:t>11/ Zvláštní opatření pro uchovávání Uchovávat mimo dosah dětí.</w:t>
      </w:r>
    </w:p>
    <w:p w:rsidR="00A72A1B" w:rsidRPr="00C90CD6" w:rsidRDefault="00CA7845" w:rsidP="0028756D">
      <w:pPr>
        <w:spacing w:after="0" w:line="250" w:lineRule="auto"/>
        <w:ind w:left="0" w:right="204" w:firstLine="0"/>
        <w:rPr>
          <w:szCs w:val="24"/>
        </w:rPr>
      </w:pPr>
      <w:r w:rsidRPr="00C90CD6">
        <w:rPr>
          <w:szCs w:val="24"/>
        </w:rPr>
        <w:t xml:space="preserve">Uchovávejte při teplotě do 25 </w:t>
      </w:r>
      <w:r w:rsidRPr="00C90CD6">
        <w:rPr>
          <w:szCs w:val="24"/>
          <w:vertAlign w:val="superscript"/>
        </w:rPr>
        <w:t>0</w:t>
      </w:r>
      <w:r w:rsidRPr="00C90CD6">
        <w:rPr>
          <w:szCs w:val="24"/>
        </w:rPr>
        <w:t>C</w:t>
      </w:r>
    </w:p>
    <w:p w:rsidR="00A72A1B" w:rsidRPr="00C90CD6" w:rsidRDefault="00CA7845" w:rsidP="00C90CD6">
      <w:pPr>
        <w:spacing w:after="0" w:line="259" w:lineRule="auto"/>
        <w:ind w:left="0" w:right="72" w:firstLine="0"/>
        <w:jc w:val="right"/>
        <w:rPr>
          <w:szCs w:val="24"/>
        </w:rPr>
      </w:pPr>
      <w:r w:rsidRPr="00C90CD6">
        <w:rPr>
          <w:rFonts w:eastAsia="Calibri"/>
          <w:szCs w:val="24"/>
          <w:vertAlign w:val="superscript"/>
        </w:rPr>
        <w:t>2</w:t>
      </w:r>
    </w:p>
    <w:p w:rsidR="00A72A1B" w:rsidRPr="00C90CD6" w:rsidRDefault="00CA7845" w:rsidP="00C90CD6">
      <w:pPr>
        <w:spacing w:after="262" w:line="250" w:lineRule="auto"/>
        <w:ind w:left="0" w:right="9" w:firstLine="0"/>
        <w:rPr>
          <w:szCs w:val="24"/>
        </w:rPr>
      </w:pPr>
      <w:r w:rsidRPr="00C90CD6">
        <w:rPr>
          <w:szCs w:val="24"/>
        </w:rPr>
        <w:t>Chraňte před světlem</w:t>
      </w:r>
    </w:p>
    <w:p w:rsidR="00A72A1B" w:rsidRPr="00C90CD6" w:rsidRDefault="00CA7845" w:rsidP="00C90CD6">
      <w:pPr>
        <w:spacing w:after="9" w:line="250" w:lineRule="auto"/>
        <w:ind w:left="0" w:right="9" w:firstLine="0"/>
        <w:rPr>
          <w:szCs w:val="24"/>
        </w:rPr>
      </w:pPr>
      <w:r w:rsidRPr="00C90CD6">
        <w:rPr>
          <w:szCs w:val="24"/>
        </w:rPr>
        <w:t>Nepoužívejte po uplynutí doby použitelnosti uvedené na obalu.</w:t>
      </w:r>
    </w:p>
    <w:p w:rsidR="00A72A1B" w:rsidRPr="00C90CD6" w:rsidRDefault="00CA7845" w:rsidP="00C90CD6">
      <w:pPr>
        <w:spacing w:after="254"/>
        <w:ind w:left="0" w:firstLine="0"/>
        <w:rPr>
          <w:szCs w:val="24"/>
        </w:rPr>
      </w:pPr>
      <w:r w:rsidRPr="00C90CD6">
        <w:rPr>
          <w:szCs w:val="24"/>
        </w:rPr>
        <w:lastRenderedPageBreak/>
        <w:t>Doba použitelnosti po</w:t>
      </w:r>
      <w:bookmarkStart w:id="0" w:name="_GoBack"/>
      <w:bookmarkEnd w:id="0"/>
      <w:r w:rsidRPr="00C90CD6">
        <w:rPr>
          <w:szCs w:val="24"/>
        </w:rPr>
        <w:t xml:space="preserve"> rekonstituci podle návodu: 24 hodin</w:t>
      </w:r>
    </w:p>
    <w:p w:rsidR="00A72A1B" w:rsidRPr="00E040AB" w:rsidRDefault="00CA7845" w:rsidP="00C90CD6">
      <w:pPr>
        <w:ind w:left="0" w:firstLine="0"/>
        <w:rPr>
          <w:b/>
          <w:szCs w:val="24"/>
        </w:rPr>
      </w:pPr>
      <w:r w:rsidRPr="00E040AB">
        <w:rPr>
          <w:b/>
          <w:szCs w:val="24"/>
        </w:rPr>
        <w:t>12/ Zvláštní upozornění</w:t>
      </w:r>
    </w:p>
    <w:p w:rsidR="00A72A1B" w:rsidRPr="00C90CD6" w:rsidRDefault="00CA7845" w:rsidP="00C90CD6">
      <w:pPr>
        <w:spacing w:after="29" w:line="259" w:lineRule="auto"/>
        <w:ind w:left="0" w:firstLine="0"/>
        <w:jc w:val="left"/>
        <w:rPr>
          <w:szCs w:val="24"/>
        </w:rPr>
      </w:pPr>
      <w:r w:rsidRPr="00C90CD6">
        <w:rPr>
          <w:szCs w:val="24"/>
          <w:u w:val="single" w:color="000000"/>
        </w:rPr>
        <w:t>Použití během březosti a laktace nebo snášky:</w:t>
      </w:r>
    </w:p>
    <w:p w:rsidR="00A72A1B" w:rsidRDefault="00CA7845" w:rsidP="00C90CD6">
      <w:pPr>
        <w:ind w:left="0" w:firstLine="0"/>
        <w:rPr>
          <w:szCs w:val="24"/>
        </w:rPr>
      </w:pPr>
      <w:r w:rsidRPr="00C90CD6">
        <w:rPr>
          <w:szCs w:val="24"/>
        </w:rPr>
        <w:t>Nepoužívat u nosnic v období snášky, kuřic během 14 dní před počátkem snášky, u samic během březosti a laktace.</w:t>
      </w:r>
    </w:p>
    <w:p w:rsidR="00E040AB" w:rsidRDefault="00E040AB" w:rsidP="00C90CD6">
      <w:pPr>
        <w:ind w:left="0" w:firstLine="0"/>
        <w:rPr>
          <w:szCs w:val="24"/>
        </w:rPr>
      </w:pPr>
    </w:p>
    <w:p w:rsidR="00E040AB" w:rsidRPr="00E040AB" w:rsidRDefault="00E040AB" w:rsidP="00C90CD6">
      <w:pPr>
        <w:ind w:left="0" w:firstLine="0"/>
        <w:rPr>
          <w:szCs w:val="24"/>
          <w:u w:val="single"/>
        </w:rPr>
      </w:pPr>
      <w:r w:rsidRPr="00E040AB">
        <w:rPr>
          <w:szCs w:val="24"/>
          <w:u w:val="single"/>
        </w:rPr>
        <w:t>Interakce s jinými léčivými přípravky:</w:t>
      </w:r>
    </w:p>
    <w:p w:rsidR="00A72A1B" w:rsidRPr="00C90CD6" w:rsidRDefault="00CA7845" w:rsidP="00C90CD6">
      <w:pPr>
        <w:spacing w:after="265"/>
        <w:ind w:left="0" w:right="91" w:firstLine="0"/>
        <w:rPr>
          <w:szCs w:val="24"/>
        </w:rPr>
      </w:pPr>
      <w:r w:rsidRPr="00C90CD6">
        <w:rPr>
          <w:szCs w:val="24"/>
        </w:rPr>
        <w:t>Nepoužívat současně s makrolidy, tetracykliny, nitrofurany a nesteroidními protizánětlivými přípravky, a to z důvodu možného antagonistického účinku. Vzniklá rezistence vůči chinolonům vede ke vzniku kompletní zkřížené rezistence vůči fluorochinolonům. Současné podávání látek obsahujících hořčík a hliník může snižovat resorpci enrofloxacinu. Přípravek nesmí být smíchán s kyselými roztoky, protože destabilizují jeho pH a mohou způsobit precipitaci enrofloxacinu.</w:t>
      </w:r>
    </w:p>
    <w:p w:rsidR="00A72A1B" w:rsidRPr="00E040AB" w:rsidRDefault="00CA7845" w:rsidP="00C90CD6">
      <w:pPr>
        <w:spacing w:after="4" w:line="259" w:lineRule="auto"/>
        <w:ind w:left="0" w:firstLine="0"/>
        <w:jc w:val="left"/>
        <w:rPr>
          <w:szCs w:val="24"/>
          <w:u w:val="single"/>
        </w:rPr>
      </w:pPr>
      <w:r w:rsidRPr="00E040AB">
        <w:rPr>
          <w:szCs w:val="24"/>
          <w:u w:val="single"/>
        </w:rPr>
        <w:t>Zvláštní opatření pro použití u zvířat</w:t>
      </w:r>
    </w:p>
    <w:p w:rsidR="00A72A1B" w:rsidRPr="00C90CD6" w:rsidRDefault="00CA7845" w:rsidP="00C90CD6">
      <w:pPr>
        <w:spacing w:after="35"/>
        <w:ind w:left="0" w:firstLine="0"/>
        <w:rPr>
          <w:szCs w:val="24"/>
        </w:rPr>
      </w:pPr>
      <w:r w:rsidRPr="00C90CD6">
        <w:rPr>
          <w:szCs w:val="24"/>
        </w:rPr>
        <w:t>Léčená zvířata chránit před přímým slunečním zářením.</w:t>
      </w:r>
    </w:p>
    <w:p w:rsidR="00A72A1B" w:rsidRPr="00C90CD6" w:rsidRDefault="00CA7845" w:rsidP="00C90CD6">
      <w:pPr>
        <w:spacing w:after="288"/>
        <w:ind w:left="0" w:right="120" w:firstLine="0"/>
        <w:rPr>
          <w:szCs w:val="24"/>
        </w:rPr>
      </w:pPr>
      <w:r w:rsidRPr="00C90CD6">
        <w:rPr>
          <w:noProof/>
          <w:szCs w:val="24"/>
        </w:rPr>
        <w:drawing>
          <wp:anchor distT="0" distB="0" distL="114300" distR="114300" simplePos="0" relativeHeight="251661312" behindDoc="0" locked="0" layoutInCell="1" allowOverlap="0" wp14:anchorId="2B7147C7" wp14:editId="33DB794E">
            <wp:simplePos x="0" y="0"/>
            <wp:positionH relativeFrom="page">
              <wp:posOffset>585295</wp:posOffset>
            </wp:positionH>
            <wp:positionV relativeFrom="page">
              <wp:posOffset>6631054</wp:posOffset>
            </wp:positionV>
            <wp:extent cx="9145" cy="9147"/>
            <wp:effectExtent l="0" t="0" r="0" b="0"/>
            <wp:wrapSquare wrapText="bothSides"/>
            <wp:docPr id="6546" name="Picture 65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46" name="Picture 654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0CD6">
        <w:rPr>
          <w:noProof/>
          <w:szCs w:val="24"/>
        </w:rPr>
        <w:drawing>
          <wp:anchor distT="0" distB="0" distL="114300" distR="114300" simplePos="0" relativeHeight="251662336" behindDoc="0" locked="0" layoutInCell="1" allowOverlap="0" wp14:anchorId="05C98147" wp14:editId="1E712F67">
            <wp:simplePos x="0" y="0"/>
            <wp:positionH relativeFrom="page">
              <wp:posOffset>615779</wp:posOffset>
            </wp:positionH>
            <wp:positionV relativeFrom="page">
              <wp:posOffset>3768268</wp:posOffset>
            </wp:positionV>
            <wp:extent cx="3048" cy="3049"/>
            <wp:effectExtent l="0" t="0" r="0" b="0"/>
            <wp:wrapSquare wrapText="bothSides"/>
            <wp:docPr id="6544" name="Picture 65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44" name="Picture 654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0CD6">
        <w:rPr>
          <w:noProof/>
          <w:szCs w:val="24"/>
        </w:rPr>
        <w:drawing>
          <wp:anchor distT="0" distB="0" distL="114300" distR="114300" simplePos="0" relativeHeight="251663360" behindDoc="0" locked="0" layoutInCell="1" allowOverlap="0" wp14:anchorId="77343524" wp14:editId="28E7A529">
            <wp:simplePos x="0" y="0"/>
            <wp:positionH relativeFrom="page">
              <wp:posOffset>609682</wp:posOffset>
            </wp:positionH>
            <wp:positionV relativeFrom="page">
              <wp:posOffset>3771317</wp:posOffset>
            </wp:positionV>
            <wp:extent cx="3048" cy="3049"/>
            <wp:effectExtent l="0" t="0" r="0" b="0"/>
            <wp:wrapSquare wrapText="bothSides"/>
            <wp:docPr id="6545" name="Picture 65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45" name="Picture 654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0CD6">
        <w:rPr>
          <w:szCs w:val="24"/>
        </w:rPr>
        <w:t>Používat pouze u neruminujících telat. Nutno kontrolovat spotřebu medikované vody, jelikož spotřeba této vody může být různá (zvýšená) v závislosti na teplotě prostředí, popř. je třeba upravit koncentraci léčiva dle aktuálního příjmu vody zvířaty, aby bylo dodrženo dávkování. Při přípravě roztoku by přípravek neměl být míchán s kyselými roztoky. Vlastní roztok by měl být připravován v čisté nádobě bez jaký</w:t>
      </w:r>
      <w:r w:rsidR="006319B6">
        <w:rPr>
          <w:szCs w:val="24"/>
        </w:rPr>
        <w:t>ch</w:t>
      </w:r>
      <w:r w:rsidRPr="00C90CD6">
        <w:rPr>
          <w:szCs w:val="24"/>
        </w:rPr>
        <w:t>koliv zbytků z předešlé přípravy.</w:t>
      </w:r>
    </w:p>
    <w:p w:rsidR="00A72A1B" w:rsidRPr="00C90CD6" w:rsidRDefault="00CA7845" w:rsidP="00C90CD6">
      <w:pPr>
        <w:spacing w:after="39" w:line="269" w:lineRule="auto"/>
        <w:ind w:left="0" w:firstLine="0"/>
        <w:jc w:val="left"/>
        <w:rPr>
          <w:szCs w:val="24"/>
        </w:rPr>
      </w:pPr>
      <w:r w:rsidRPr="00C90CD6">
        <w:rPr>
          <w:szCs w:val="24"/>
        </w:rPr>
        <w:t>Při použití přípravku je nu</w:t>
      </w:r>
      <w:r w:rsidR="00E040AB">
        <w:rPr>
          <w:szCs w:val="24"/>
        </w:rPr>
        <w:t xml:space="preserve">tno </w:t>
      </w:r>
      <w:r w:rsidRPr="00C90CD6">
        <w:rPr>
          <w:szCs w:val="24"/>
        </w:rPr>
        <w:t>vzít v úvahu oficiální a místní pravidla antibiotické politiky. Doporučuje se ponechat fluorochinolony na léčbu klinických stavů, které měly slabou odezvu, nebo se očekává slabá odezva na ostatní skupiny antibiotik.</w:t>
      </w:r>
    </w:p>
    <w:p w:rsidR="00A72A1B" w:rsidRPr="00C90CD6" w:rsidRDefault="00CA7845" w:rsidP="00C90CD6">
      <w:pPr>
        <w:spacing w:after="290"/>
        <w:ind w:left="0" w:right="422" w:firstLine="0"/>
        <w:rPr>
          <w:szCs w:val="24"/>
        </w:rPr>
      </w:pPr>
      <w:r w:rsidRPr="00C90CD6">
        <w:rPr>
          <w:szCs w:val="24"/>
        </w:rPr>
        <w:t>Použití fluorochinolonů by mělo být vždy, když je to možné, založeno na výsledku testu citlivosti</w:t>
      </w:r>
      <w:r w:rsidR="00E040AB">
        <w:rPr>
          <w:szCs w:val="24"/>
        </w:rPr>
        <w:t>.</w:t>
      </w:r>
      <w:r w:rsidRPr="00C90CD6">
        <w:rPr>
          <w:szCs w:val="24"/>
        </w:rPr>
        <w:t xml:space="preserve"> Použití přípravku, které je odlišné od pokynů uvedených v </w:t>
      </w:r>
      <w:r w:rsidR="006319B6" w:rsidRPr="00C90CD6">
        <w:rPr>
          <w:szCs w:val="24"/>
        </w:rPr>
        <w:t>t</w:t>
      </w:r>
      <w:r w:rsidR="006319B6">
        <w:rPr>
          <w:szCs w:val="24"/>
        </w:rPr>
        <w:t>é</w:t>
      </w:r>
      <w:r w:rsidR="006319B6" w:rsidRPr="00C90CD6">
        <w:rPr>
          <w:szCs w:val="24"/>
        </w:rPr>
        <w:t xml:space="preserve">to </w:t>
      </w:r>
      <w:r w:rsidR="006319B6">
        <w:rPr>
          <w:szCs w:val="24"/>
        </w:rPr>
        <w:t>příbalové informaci</w:t>
      </w:r>
      <w:r w:rsidRPr="00C90CD6">
        <w:rPr>
          <w:szCs w:val="24"/>
        </w:rPr>
        <w:t>, může zvýšit prevalenci bakterií rezistentních na fluorochinolony a snížit účinnost terapie ostatními chinolony z důvodu možné zkřížené rezistence.</w:t>
      </w:r>
    </w:p>
    <w:p w:rsidR="00A72A1B" w:rsidRPr="00C90CD6" w:rsidRDefault="00CA7845" w:rsidP="00C90CD6">
      <w:pPr>
        <w:spacing w:after="46"/>
        <w:ind w:left="0" w:right="187" w:firstLine="0"/>
        <w:rPr>
          <w:szCs w:val="24"/>
        </w:rPr>
      </w:pPr>
      <w:r w:rsidRPr="00C90CD6">
        <w:rPr>
          <w:szCs w:val="24"/>
        </w:rPr>
        <w:t>Vzhledem k tomu, že již během léčby je možný vznik rezistence, doporučuje se v případech, kdy nedojde ke zlepšení během 2-3 dnů, znovu ověřit citlivost nebo změnit léčbu. Pro menší účinnost vůči streptokokovým infekcím se použití v této indikaci nedoporučuje.</w:t>
      </w:r>
    </w:p>
    <w:p w:rsidR="00A72A1B" w:rsidRPr="00C90CD6" w:rsidRDefault="00CA7845" w:rsidP="00C90CD6">
      <w:pPr>
        <w:spacing w:after="298"/>
        <w:ind w:left="0" w:right="197" w:firstLine="0"/>
        <w:rPr>
          <w:szCs w:val="24"/>
        </w:rPr>
      </w:pPr>
      <w:r w:rsidRPr="00C90CD6">
        <w:rPr>
          <w:szCs w:val="24"/>
        </w:rPr>
        <w:t xml:space="preserve">Od doby, kdy byl enrofloxacin poprvé registrován pro použití u drůbeže, došlo k rozšíření </w:t>
      </w:r>
      <w:proofErr w:type="gramStart"/>
      <w:r w:rsidR="00E040AB">
        <w:rPr>
          <w:szCs w:val="24"/>
        </w:rPr>
        <w:t>kmenů</w:t>
      </w:r>
      <w:r w:rsidRPr="00C90CD6">
        <w:rPr>
          <w:szCs w:val="24"/>
        </w:rPr>
        <w:t xml:space="preserve"> </w:t>
      </w:r>
      <w:r w:rsidRPr="0028756D">
        <w:rPr>
          <w:i/>
          <w:szCs w:val="24"/>
        </w:rPr>
        <w:t>E.coli</w:t>
      </w:r>
      <w:proofErr w:type="gramEnd"/>
      <w:r w:rsidRPr="00C90CD6">
        <w:rPr>
          <w:szCs w:val="24"/>
        </w:rPr>
        <w:t xml:space="preserve"> se sníženou citlivostí vůči fluorochinolonům a objevily se kmeny rezistentní. </w:t>
      </w:r>
      <w:r w:rsidRPr="00C90CD6">
        <w:rPr>
          <w:noProof/>
          <w:szCs w:val="24"/>
        </w:rPr>
        <w:drawing>
          <wp:inline distT="0" distB="0" distL="0" distR="0" wp14:anchorId="0C673697" wp14:editId="6EA5E78A">
            <wp:extent cx="3048" cy="3049"/>
            <wp:effectExtent l="0" t="0" r="0" b="0"/>
            <wp:docPr id="6547" name="Picture 65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47" name="Picture 654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0CD6">
        <w:rPr>
          <w:szCs w:val="24"/>
        </w:rPr>
        <w:t xml:space="preserve">Rezistence byla v EU zaznamenána také u </w:t>
      </w:r>
      <w:proofErr w:type="gramStart"/>
      <w:r w:rsidRPr="0028756D">
        <w:rPr>
          <w:i/>
          <w:szCs w:val="24"/>
        </w:rPr>
        <w:t>Mycoplasma</w:t>
      </w:r>
      <w:proofErr w:type="gramEnd"/>
      <w:r w:rsidRPr="0028756D">
        <w:rPr>
          <w:i/>
          <w:szCs w:val="24"/>
        </w:rPr>
        <w:t xml:space="preserve"> synoviae</w:t>
      </w:r>
      <w:r w:rsidRPr="00C90CD6">
        <w:rPr>
          <w:szCs w:val="24"/>
        </w:rPr>
        <w:t>.</w:t>
      </w:r>
    </w:p>
    <w:p w:rsidR="00A72A1B" w:rsidRPr="00E040AB" w:rsidRDefault="00CA7845" w:rsidP="00C90CD6">
      <w:pPr>
        <w:spacing w:after="9" w:line="250" w:lineRule="auto"/>
        <w:ind w:left="0" w:right="9" w:firstLine="0"/>
        <w:rPr>
          <w:szCs w:val="24"/>
          <w:u w:val="single"/>
        </w:rPr>
      </w:pPr>
      <w:r w:rsidRPr="00E040AB">
        <w:rPr>
          <w:szCs w:val="24"/>
          <w:u w:val="single"/>
        </w:rPr>
        <w:t>Zvláštní opatření pro uživatele:</w:t>
      </w:r>
    </w:p>
    <w:p w:rsidR="00A72A1B" w:rsidRPr="00C90CD6" w:rsidRDefault="00CA7845" w:rsidP="00C90CD6">
      <w:pPr>
        <w:ind w:left="0" w:firstLine="0"/>
        <w:rPr>
          <w:szCs w:val="24"/>
        </w:rPr>
      </w:pPr>
      <w:r w:rsidRPr="00C90CD6">
        <w:rPr>
          <w:szCs w:val="24"/>
        </w:rPr>
        <w:t>V průběhu aplikace přípravku nekuřte, nejezte a nepijte.</w:t>
      </w:r>
    </w:p>
    <w:p w:rsidR="00A72A1B" w:rsidRPr="00C90CD6" w:rsidRDefault="00CA7845" w:rsidP="00C90CD6">
      <w:pPr>
        <w:spacing w:after="9" w:line="250" w:lineRule="auto"/>
        <w:ind w:left="0" w:right="9" w:firstLine="0"/>
        <w:rPr>
          <w:szCs w:val="24"/>
        </w:rPr>
      </w:pPr>
      <w:r w:rsidRPr="00C90CD6">
        <w:rPr>
          <w:szCs w:val="24"/>
        </w:rPr>
        <w:t>Po použití přípravku si důkladně umyjte ruce vodou a mýdlem.</w:t>
      </w:r>
    </w:p>
    <w:p w:rsidR="00A72A1B" w:rsidRPr="00C90CD6" w:rsidRDefault="00CA7845" w:rsidP="00C90CD6">
      <w:pPr>
        <w:spacing w:after="29"/>
        <w:ind w:left="0" w:right="283" w:firstLine="0"/>
        <w:rPr>
          <w:szCs w:val="24"/>
        </w:rPr>
      </w:pPr>
      <w:r w:rsidRPr="00C90CD6">
        <w:rPr>
          <w:szCs w:val="24"/>
        </w:rPr>
        <w:t>Zabraňte kontaktu s pokožkou a očima. V případě zasažení pokožky opláchněte exponovanou část ihned po expozici proudem pitné vody</w:t>
      </w:r>
      <w:r w:rsidR="00E040AB">
        <w:rPr>
          <w:szCs w:val="24"/>
        </w:rPr>
        <w:t>.</w:t>
      </w:r>
      <w:r w:rsidRPr="00C90CD6">
        <w:rPr>
          <w:szCs w:val="24"/>
        </w:rPr>
        <w:t xml:space="preserve"> V případě zasažení očí vyplachujte zasažené oko proudem pitné vody alespoň po dobu 15minut. Pokud se dostaví potíže, vyhledejte lékařskou pomoc a ukažte příbalovou informaci nebo etiketu praktickému lékaři.</w:t>
      </w:r>
    </w:p>
    <w:p w:rsidR="00A72A1B" w:rsidRPr="00C90CD6" w:rsidRDefault="00CA7845" w:rsidP="00C90CD6">
      <w:pPr>
        <w:ind w:left="0" w:firstLine="0"/>
        <w:rPr>
          <w:szCs w:val="24"/>
        </w:rPr>
      </w:pPr>
      <w:r w:rsidRPr="00C90CD6">
        <w:rPr>
          <w:szCs w:val="24"/>
        </w:rPr>
        <w:t>Při nakládání s veterinárním léčivým přípravkem by se měly používat osobní ochranné prostředky skládající se alespoň z gumových či latexových rukavic.</w:t>
      </w:r>
    </w:p>
    <w:p w:rsidR="00A72A1B" w:rsidRPr="00C90CD6" w:rsidRDefault="00A72A1B" w:rsidP="00C90CD6">
      <w:pPr>
        <w:spacing w:after="0" w:line="259" w:lineRule="auto"/>
        <w:ind w:left="0" w:firstLine="0"/>
        <w:jc w:val="left"/>
        <w:rPr>
          <w:szCs w:val="24"/>
        </w:rPr>
      </w:pPr>
    </w:p>
    <w:p w:rsidR="00A72A1B" w:rsidRPr="00C90CD6" w:rsidRDefault="00CA7845" w:rsidP="00C90CD6">
      <w:pPr>
        <w:spacing w:after="236"/>
        <w:ind w:left="0" w:firstLine="0"/>
        <w:rPr>
          <w:szCs w:val="24"/>
        </w:rPr>
      </w:pPr>
      <w:r w:rsidRPr="00C90CD6">
        <w:rPr>
          <w:szCs w:val="24"/>
        </w:rPr>
        <w:lastRenderedPageBreak/>
        <w:t>Lidé se známou přecitlivělostí na fluorochinolony by se měli vyhnout kontaktu s veterinárním léčivým přípravkem.</w:t>
      </w:r>
    </w:p>
    <w:p w:rsidR="00A72A1B" w:rsidRPr="00C90CD6" w:rsidRDefault="00CA7845" w:rsidP="00C90CD6">
      <w:pPr>
        <w:pStyle w:val="Nadpis3"/>
        <w:ind w:left="0"/>
        <w:rPr>
          <w:sz w:val="24"/>
          <w:szCs w:val="24"/>
        </w:rPr>
      </w:pPr>
      <w:r w:rsidRPr="00C90CD6">
        <w:rPr>
          <w:sz w:val="24"/>
          <w:szCs w:val="24"/>
        </w:rPr>
        <w:t>Inkompatibility</w:t>
      </w:r>
    </w:p>
    <w:p w:rsidR="00A72A1B" w:rsidRPr="00C90CD6" w:rsidRDefault="00CA7845" w:rsidP="00C90CD6">
      <w:pPr>
        <w:spacing w:after="255"/>
        <w:ind w:left="0" w:firstLine="0"/>
        <w:rPr>
          <w:szCs w:val="24"/>
        </w:rPr>
      </w:pPr>
      <w:r w:rsidRPr="00C90CD6">
        <w:rPr>
          <w:szCs w:val="24"/>
        </w:rPr>
        <w:t>Přípravek nesmí být smíchán s kyselými roztoky v jedné nádobě, protože tyto destabilizují jeho pH a mohou způsobit vysrážení enrofloxacinu.</w:t>
      </w:r>
    </w:p>
    <w:p w:rsidR="00A72A1B" w:rsidRPr="00E040AB" w:rsidRDefault="00CA7845" w:rsidP="00C90CD6">
      <w:pPr>
        <w:ind w:left="0" w:firstLine="0"/>
        <w:rPr>
          <w:b/>
          <w:szCs w:val="24"/>
        </w:rPr>
      </w:pPr>
      <w:r w:rsidRPr="00E040AB">
        <w:rPr>
          <w:b/>
          <w:szCs w:val="24"/>
        </w:rPr>
        <w:t>13/ Zvláštní opatření pro zneškodňování nepoužitých přípravků nebo odpadu, pokud je jich třeba</w:t>
      </w:r>
    </w:p>
    <w:p w:rsidR="00A72A1B" w:rsidRPr="00C90CD6" w:rsidRDefault="00CA7845" w:rsidP="00C90CD6">
      <w:pPr>
        <w:spacing w:after="246" w:line="250" w:lineRule="auto"/>
        <w:ind w:left="0" w:right="9" w:firstLine="0"/>
        <w:rPr>
          <w:szCs w:val="24"/>
        </w:rPr>
      </w:pPr>
      <w:r w:rsidRPr="00C90CD6">
        <w:rPr>
          <w:szCs w:val="24"/>
        </w:rPr>
        <w:t>Všechen nepoužitý veterinární léčivý přípravek nebo odpad, který pochází z tohoto přípravku, musí být likvidován podle místních právních předpisů.</w:t>
      </w:r>
    </w:p>
    <w:p w:rsidR="00A72A1B" w:rsidRPr="00E040AB" w:rsidRDefault="00CA7845" w:rsidP="00C90CD6">
      <w:pPr>
        <w:spacing w:after="248"/>
        <w:ind w:left="0" w:firstLine="0"/>
        <w:rPr>
          <w:b/>
          <w:szCs w:val="24"/>
        </w:rPr>
      </w:pPr>
      <w:r w:rsidRPr="00E040AB">
        <w:rPr>
          <w:b/>
          <w:szCs w:val="24"/>
        </w:rPr>
        <w:t>14/ Další informace</w:t>
      </w:r>
    </w:p>
    <w:p w:rsidR="00A72A1B" w:rsidRPr="00E040AB" w:rsidRDefault="00CA7845" w:rsidP="00C90CD6">
      <w:pPr>
        <w:ind w:left="0" w:firstLine="0"/>
        <w:rPr>
          <w:i/>
          <w:szCs w:val="24"/>
        </w:rPr>
      </w:pPr>
      <w:r w:rsidRPr="00E040AB">
        <w:rPr>
          <w:i/>
          <w:szCs w:val="24"/>
        </w:rPr>
        <w:t>Pouze pro zvířata</w:t>
      </w:r>
      <w:r w:rsidR="00E040AB">
        <w:rPr>
          <w:i/>
          <w:szCs w:val="24"/>
        </w:rPr>
        <w:t>.</w:t>
      </w:r>
    </w:p>
    <w:p w:rsidR="00A72A1B" w:rsidRPr="00C90CD6" w:rsidRDefault="00CA7845" w:rsidP="00C90CD6">
      <w:pPr>
        <w:spacing w:after="252"/>
        <w:ind w:left="0" w:firstLine="0"/>
        <w:rPr>
          <w:szCs w:val="24"/>
        </w:rPr>
      </w:pPr>
      <w:r w:rsidRPr="00C90CD6">
        <w:rPr>
          <w:szCs w:val="24"/>
        </w:rPr>
        <w:t>Veterinární léčivý přípravek je vydáván pouze na předpis.</w:t>
      </w:r>
    </w:p>
    <w:p w:rsidR="00A72A1B" w:rsidRPr="00C90CD6" w:rsidRDefault="00CA7845" w:rsidP="00C90CD6">
      <w:pPr>
        <w:ind w:left="0" w:firstLine="0"/>
        <w:rPr>
          <w:szCs w:val="24"/>
        </w:rPr>
      </w:pPr>
      <w:r w:rsidRPr="00E040AB">
        <w:rPr>
          <w:b/>
          <w:i/>
          <w:szCs w:val="24"/>
        </w:rPr>
        <w:t>Registrované velikosti balení:</w:t>
      </w:r>
      <w:r w:rsidRPr="00C90CD6">
        <w:rPr>
          <w:szCs w:val="24"/>
        </w:rPr>
        <w:t xml:space="preserve"> 50 ml, 1000 ml</w:t>
      </w:r>
    </w:p>
    <w:p w:rsidR="00A72A1B" w:rsidRPr="00C90CD6" w:rsidRDefault="00CA7845" w:rsidP="00C90CD6">
      <w:pPr>
        <w:spacing w:after="265"/>
        <w:ind w:left="0" w:firstLine="0"/>
        <w:rPr>
          <w:szCs w:val="24"/>
        </w:rPr>
      </w:pPr>
      <w:r w:rsidRPr="00C90CD6">
        <w:rPr>
          <w:szCs w:val="24"/>
        </w:rPr>
        <w:t xml:space="preserve">Na </w:t>
      </w:r>
      <w:r>
        <w:rPr>
          <w:szCs w:val="24"/>
        </w:rPr>
        <w:t>t</w:t>
      </w:r>
      <w:r w:rsidRPr="00C90CD6">
        <w:rPr>
          <w:szCs w:val="24"/>
        </w:rPr>
        <w:t>rhu nemusí být všechny velikosti balení</w:t>
      </w:r>
    </w:p>
    <w:p w:rsidR="00A72A1B" w:rsidRPr="00C90CD6" w:rsidRDefault="00CA7845" w:rsidP="00C90CD6">
      <w:pPr>
        <w:ind w:left="0" w:firstLine="0"/>
        <w:rPr>
          <w:szCs w:val="24"/>
        </w:rPr>
      </w:pPr>
      <w:r w:rsidRPr="00C90CD6">
        <w:rPr>
          <w:szCs w:val="24"/>
        </w:rPr>
        <w:t>Pokud chcete získat informace o tomto veterinárním léčivém přípravku, kontaktujte prosím příslušného místního držitele rozhodnutí o registraci:</w:t>
      </w:r>
    </w:p>
    <w:p w:rsidR="00A72A1B" w:rsidRPr="00C90CD6" w:rsidRDefault="00CA7845" w:rsidP="00C90CD6">
      <w:pPr>
        <w:spacing w:after="297" w:line="250" w:lineRule="auto"/>
        <w:ind w:left="0" w:right="9" w:firstLine="0"/>
        <w:rPr>
          <w:szCs w:val="24"/>
        </w:rPr>
      </w:pPr>
      <w:r w:rsidRPr="00C90CD6">
        <w:rPr>
          <w:szCs w:val="24"/>
        </w:rPr>
        <w:t>Vétoquinol s,</w:t>
      </w:r>
      <w:proofErr w:type="gramStart"/>
      <w:r w:rsidRPr="00C90CD6">
        <w:rPr>
          <w:szCs w:val="24"/>
        </w:rPr>
        <w:t>r.o.</w:t>
      </w:r>
      <w:proofErr w:type="gramEnd"/>
      <w:r w:rsidRPr="00C90CD6">
        <w:rPr>
          <w:szCs w:val="24"/>
        </w:rPr>
        <w:t>, Zámečnická 411, Nymburk 288 02, Česká republika, tel.: 325 51 38 22, e-mail: vetoquinol@vetoquinol.cz</w:t>
      </w:r>
    </w:p>
    <w:p w:rsidR="00A72A1B" w:rsidRPr="00C90CD6" w:rsidRDefault="00CA7845" w:rsidP="00C90CD6">
      <w:pPr>
        <w:spacing w:after="6030"/>
        <w:ind w:left="0" w:firstLine="0"/>
        <w:rPr>
          <w:szCs w:val="24"/>
        </w:rPr>
      </w:pPr>
      <w:r w:rsidRPr="00C90CD6">
        <w:rPr>
          <w:szCs w:val="24"/>
        </w:rPr>
        <w:t>Datum poslední revize textu příbalové informace: červenec 201</w:t>
      </w:r>
      <w:r w:rsidR="00DE48C3">
        <w:rPr>
          <w:szCs w:val="24"/>
        </w:rPr>
        <w:t>8</w:t>
      </w:r>
    </w:p>
    <w:p w:rsidR="00A72A1B" w:rsidRDefault="00A72A1B">
      <w:pPr>
        <w:spacing w:after="0" w:line="259" w:lineRule="auto"/>
        <w:ind w:left="4676" w:right="-77" w:firstLine="0"/>
        <w:jc w:val="left"/>
      </w:pPr>
    </w:p>
    <w:sectPr w:rsidR="00A72A1B">
      <w:pgSz w:w="11906" w:h="16838"/>
      <w:pgMar w:top="1701" w:right="1431" w:bottom="442" w:left="15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C5DA1"/>
    <w:multiLevelType w:val="hybridMultilevel"/>
    <w:tmpl w:val="41967E8C"/>
    <w:lvl w:ilvl="0" w:tplc="6166F636">
      <w:start w:val="1"/>
      <w:numFmt w:val="bullet"/>
      <w:lvlText w:val="-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D8957A">
      <w:start w:val="1"/>
      <w:numFmt w:val="bullet"/>
      <w:lvlText w:val="o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320E88">
      <w:start w:val="1"/>
      <w:numFmt w:val="bullet"/>
      <w:lvlText w:val="▪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16D1EA">
      <w:start w:val="1"/>
      <w:numFmt w:val="bullet"/>
      <w:lvlText w:val="•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342B2E">
      <w:start w:val="1"/>
      <w:numFmt w:val="bullet"/>
      <w:lvlText w:val="o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8819B6">
      <w:start w:val="1"/>
      <w:numFmt w:val="bullet"/>
      <w:lvlText w:val="▪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6AD398">
      <w:start w:val="1"/>
      <w:numFmt w:val="bullet"/>
      <w:lvlText w:val="•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A477CA">
      <w:start w:val="1"/>
      <w:numFmt w:val="bullet"/>
      <w:lvlText w:val="o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24DBD2">
      <w:start w:val="1"/>
      <w:numFmt w:val="bullet"/>
      <w:lvlText w:val="▪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LEK Radosław">
    <w15:presenceInfo w15:providerId="AD" w15:userId="S-1-5-21-28383271-906341845-764575429-101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1B"/>
    <w:rsid w:val="00237055"/>
    <w:rsid w:val="0028756D"/>
    <w:rsid w:val="006319B6"/>
    <w:rsid w:val="00760A32"/>
    <w:rsid w:val="00A678F6"/>
    <w:rsid w:val="00A72A1B"/>
    <w:rsid w:val="00C90CD6"/>
    <w:rsid w:val="00CA7845"/>
    <w:rsid w:val="00DE48C3"/>
    <w:rsid w:val="00E040AB"/>
    <w:rsid w:val="00EE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5" w:line="251" w:lineRule="auto"/>
      <w:ind w:left="216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863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88" w:hanging="10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4"/>
      <w:ind w:left="283"/>
      <w:outlineLvl w:val="2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3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7055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5" w:line="251" w:lineRule="auto"/>
      <w:ind w:left="216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863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88" w:hanging="10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4"/>
      <w:ind w:left="283"/>
      <w:outlineLvl w:val="2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3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7055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0F9BB-8DC2-46D1-895B-305B87B32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1128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LITEROVA Danuse</dc:creator>
  <cp:lastModifiedBy>Wojtylová Jana</cp:lastModifiedBy>
  <cp:revision>7</cp:revision>
  <dcterms:created xsi:type="dcterms:W3CDTF">2018-07-09T08:21:00Z</dcterms:created>
  <dcterms:modified xsi:type="dcterms:W3CDTF">2018-07-11T11:19:00Z</dcterms:modified>
</cp:coreProperties>
</file>