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2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5F7963" w:rsidRPr="000C5D51" w:rsidRDefault="005F7963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113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B. PŘÍBALOVÁ INFORMACE</w:t>
      </w:r>
    </w:p>
    <w:p w:rsidR="000C0BA2" w:rsidRPr="000C5D51" w:rsidRDefault="000C0BA2" w:rsidP="007962AC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br w:type="page"/>
      </w:r>
      <w:r w:rsidRPr="000C5D51">
        <w:rPr>
          <w:rFonts w:ascii="Arial" w:hAnsi="Arial" w:cs="Arial"/>
          <w:b/>
          <w:szCs w:val="22"/>
          <w:lang w:eastAsia="cs-CZ" w:bidi="ne-IN"/>
        </w:rPr>
        <w:lastRenderedPageBreak/>
        <w:t>PŘÍBALOVÁ INFORMACE PRO:</w:t>
      </w:r>
    </w:p>
    <w:p w:rsidR="000C0BA2" w:rsidRDefault="000C0BA2" w:rsidP="00EA0086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Gallifen</w:t>
      </w:r>
      <w:proofErr w:type="spellEnd"/>
      <w:r>
        <w:rPr>
          <w:rFonts w:ascii="Arial" w:hAnsi="Arial" w:cs="Arial"/>
          <w:szCs w:val="22"/>
        </w:rPr>
        <w:t xml:space="preserve"> 200 mg/ml suspenze pro podání v pitné vodě</w:t>
      </w:r>
      <w:r w:rsidRPr="000C5D51">
        <w:rPr>
          <w:rFonts w:ascii="Arial" w:hAnsi="Arial" w:cs="Arial"/>
          <w:szCs w:val="22"/>
        </w:rPr>
        <w:t xml:space="preserve"> pro </w:t>
      </w:r>
      <w:r>
        <w:rPr>
          <w:rFonts w:ascii="Arial" w:hAnsi="Arial" w:cs="Arial"/>
          <w:szCs w:val="22"/>
        </w:rPr>
        <w:t>kura domácího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JMÉNO A ADRESA DRŽITELE ROZHODNUTÍ O REGISTRACI A DRŽITELE POVOLENÍ K VÝROBĚ ODPOVĚDNÉHO ZA UVOLNĚNÍ ŠARŽE, POKUD SE NESHODUJE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  <w:r w:rsidRPr="000C5D51">
        <w:rPr>
          <w:rFonts w:ascii="Arial" w:hAnsi="Arial" w:cs="Arial"/>
          <w:iCs/>
          <w:szCs w:val="22"/>
          <w:u w:val="single"/>
          <w:lang w:eastAsia="cs-CZ" w:bidi="ne-IN"/>
        </w:rPr>
        <w:t>Držitel rozhodnutí o registraci: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</w:p>
    <w:p w:rsidR="000C0BA2" w:rsidRPr="000C5D51" w:rsidRDefault="000C0BA2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Huvepharma</w:t>
      </w:r>
      <w:proofErr w:type="spellEnd"/>
      <w:r w:rsidRPr="000C5D51">
        <w:rPr>
          <w:rFonts w:ascii="Arial" w:hAnsi="Arial" w:cs="Arial"/>
          <w:szCs w:val="22"/>
        </w:rPr>
        <w:t xml:space="preserve"> NV</w:t>
      </w:r>
    </w:p>
    <w:p w:rsidR="000C0BA2" w:rsidRPr="000C5D51" w:rsidRDefault="000C0BA2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Uitbreidingstraat</w:t>
      </w:r>
      <w:proofErr w:type="spellEnd"/>
      <w:r w:rsidRPr="000C5D51">
        <w:rPr>
          <w:rFonts w:ascii="Arial" w:hAnsi="Arial" w:cs="Arial"/>
          <w:szCs w:val="22"/>
        </w:rPr>
        <w:t xml:space="preserve"> 80</w:t>
      </w:r>
    </w:p>
    <w:p w:rsidR="000C0BA2" w:rsidRPr="000C5D51" w:rsidRDefault="000C0BA2" w:rsidP="007962AC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2600 </w:t>
      </w:r>
      <w:proofErr w:type="spellStart"/>
      <w:r w:rsidRPr="000C5D51">
        <w:rPr>
          <w:rFonts w:ascii="Arial" w:hAnsi="Arial" w:cs="Arial"/>
          <w:szCs w:val="22"/>
        </w:rPr>
        <w:t>Antwerp</w:t>
      </w:r>
      <w:proofErr w:type="spellEnd"/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Belgie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Výrobce odpovědný za uvolnění šarže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  <w:proofErr w:type="spellStart"/>
      <w:r w:rsidRPr="000C5D51">
        <w:rPr>
          <w:rFonts w:ascii="Arial" w:hAnsi="Arial" w:cs="Arial"/>
          <w:szCs w:val="22"/>
        </w:rPr>
        <w:t>Biovet</w:t>
      </w:r>
      <w:proofErr w:type="spellEnd"/>
      <w:r w:rsidRPr="000C5D51">
        <w:rPr>
          <w:rFonts w:ascii="Arial" w:hAnsi="Arial" w:cs="Arial"/>
          <w:szCs w:val="22"/>
        </w:rPr>
        <w:t xml:space="preserve"> JSC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Petar Rakov 39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4550 </w:t>
      </w:r>
      <w:proofErr w:type="spellStart"/>
      <w:r w:rsidRPr="000C5D51">
        <w:rPr>
          <w:rFonts w:ascii="Arial" w:hAnsi="Arial" w:cs="Arial"/>
          <w:szCs w:val="22"/>
        </w:rPr>
        <w:t>Peštera</w:t>
      </w:r>
      <w:proofErr w:type="spellEnd"/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Bulharsko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NÁZEV VETERINÁRNÍHO LÉČIVÉHO PŘÍPRAVKU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340D9D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Gallifen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Pr="000C5D51">
        <w:rPr>
          <w:rFonts w:ascii="Arial" w:hAnsi="Arial" w:cs="Arial"/>
          <w:szCs w:val="22"/>
        </w:rPr>
        <w:t>0 mg/</w:t>
      </w:r>
      <w:r>
        <w:rPr>
          <w:rFonts w:ascii="Arial" w:hAnsi="Arial" w:cs="Arial"/>
          <w:szCs w:val="22"/>
        </w:rPr>
        <w:t>ml</w:t>
      </w:r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suspenze pro podání v pitné vodě</w:t>
      </w:r>
      <w:r w:rsidRPr="000C5D51">
        <w:rPr>
          <w:rFonts w:ascii="Arial" w:hAnsi="Arial" w:cs="Arial"/>
          <w:szCs w:val="22"/>
        </w:rPr>
        <w:t xml:space="preserve"> pro </w:t>
      </w:r>
      <w:r>
        <w:rPr>
          <w:rFonts w:ascii="Arial" w:hAnsi="Arial" w:cs="Arial"/>
          <w:szCs w:val="22"/>
        </w:rPr>
        <w:t>kura domácího</w:t>
      </w:r>
      <w:r>
        <w:rPr>
          <w:rFonts w:ascii="Arial" w:hAnsi="Arial" w:cs="Arial"/>
          <w:szCs w:val="22"/>
        </w:rPr>
        <w:br/>
      </w:r>
      <w:proofErr w:type="spellStart"/>
      <w:r>
        <w:rPr>
          <w:rFonts w:ascii="Arial" w:hAnsi="Arial" w:cs="Arial"/>
          <w:szCs w:val="22"/>
        </w:rPr>
        <w:t>Fenbendazolum</w:t>
      </w:r>
      <w:proofErr w:type="spellEnd"/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OBSAH LÉČIVÝCH A OSTATNÍCH LÁTEK</w:t>
      </w: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Suspenze pro podání v pitné vodě</w:t>
      </w:r>
      <w:r>
        <w:rPr>
          <w:rFonts w:ascii="Arial" w:hAnsi="Arial" w:cs="Arial"/>
          <w:szCs w:val="22"/>
        </w:rPr>
        <w:br/>
        <w:t>Každý ml bílé až téměř bílé suspenze obsahuje: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340D9D">
      <w:pPr>
        <w:tabs>
          <w:tab w:val="left" w:pos="720"/>
          <w:tab w:val="left" w:pos="851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</w:rPr>
        <w:t>Léčivá látka</w:t>
      </w:r>
      <w:r w:rsidRPr="000C5D51">
        <w:rPr>
          <w:rFonts w:ascii="Arial" w:hAnsi="Arial" w:cs="Arial"/>
          <w:szCs w:val="22"/>
        </w:rPr>
        <w:t>:</w:t>
      </w:r>
      <w:r w:rsidRPr="000C5D51">
        <w:rPr>
          <w:rFonts w:ascii="Arial" w:hAnsi="Arial" w:cs="Arial"/>
          <w:szCs w:val="22"/>
        </w:rPr>
        <w:tab/>
      </w:r>
      <w:r w:rsidRPr="000C5D51">
        <w:rPr>
          <w:rFonts w:ascii="Arial" w:hAnsi="Arial" w:cs="Arial"/>
          <w:szCs w:val="22"/>
        </w:rPr>
        <w:tab/>
      </w:r>
    </w:p>
    <w:p w:rsidR="000C0BA2" w:rsidRPr="000C5D51" w:rsidRDefault="000C0BA2" w:rsidP="00340D9D">
      <w:pPr>
        <w:tabs>
          <w:tab w:val="left" w:pos="720"/>
          <w:tab w:val="left" w:pos="851"/>
          <w:tab w:val="left" w:pos="3969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Fenbendazolum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20</w:t>
      </w:r>
      <w:r w:rsidRPr="000C5D51">
        <w:rPr>
          <w:rFonts w:ascii="Arial" w:hAnsi="Arial" w:cs="Arial"/>
          <w:szCs w:val="22"/>
        </w:rPr>
        <w:t>0 mg</w:t>
      </w:r>
    </w:p>
    <w:p w:rsidR="000C0BA2" w:rsidRPr="000C5D51" w:rsidRDefault="000C0BA2" w:rsidP="00340D9D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340D9D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  <w:lang w:eastAsia="cs-CZ" w:bidi="ne-IN"/>
        </w:rPr>
      </w:pPr>
      <w:r>
        <w:rPr>
          <w:rFonts w:ascii="Arial" w:hAnsi="Arial" w:cs="Arial"/>
          <w:bCs/>
          <w:szCs w:val="22"/>
          <w:u w:val="single"/>
          <w:lang w:eastAsia="cs-CZ" w:bidi="ne-IN"/>
        </w:rPr>
        <w:t>Pomocné látky</w:t>
      </w: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:</w:t>
      </w:r>
    </w:p>
    <w:p w:rsidR="000C0BA2" w:rsidRPr="0029048F" w:rsidRDefault="000E546E" w:rsidP="00340D9D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Natrium-b</w:t>
      </w:r>
      <w:r w:rsidR="000C0BA2" w:rsidRPr="0029048F">
        <w:rPr>
          <w:rFonts w:ascii="Arial" w:hAnsi="Arial" w:cs="Arial"/>
          <w:bCs/>
          <w:szCs w:val="22"/>
        </w:rPr>
        <w:t>enzoát</w:t>
      </w:r>
      <w:r w:rsidR="000C0BA2">
        <w:rPr>
          <w:rFonts w:ascii="Arial" w:hAnsi="Arial" w:cs="Arial"/>
          <w:bCs/>
          <w:szCs w:val="22"/>
        </w:rPr>
        <w:tab/>
      </w:r>
      <w:r w:rsidR="000C0BA2">
        <w:rPr>
          <w:rFonts w:ascii="Arial" w:hAnsi="Arial" w:cs="Arial"/>
          <w:bCs/>
          <w:szCs w:val="22"/>
        </w:rPr>
        <w:tab/>
      </w:r>
      <w:r w:rsidR="000C0BA2">
        <w:rPr>
          <w:rFonts w:ascii="Arial" w:hAnsi="Arial" w:cs="Arial"/>
          <w:bCs/>
          <w:szCs w:val="22"/>
        </w:rPr>
        <w:tab/>
      </w:r>
      <w:r w:rsidR="000C0BA2">
        <w:rPr>
          <w:rFonts w:ascii="Arial" w:hAnsi="Arial" w:cs="Arial"/>
          <w:bCs/>
          <w:szCs w:val="22"/>
        </w:rPr>
        <w:tab/>
      </w:r>
      <w:r w:rsidR="000C0BA2">
        <w:rPr>
          <w:rFonts w:ascii="Arial" w:hAnsi="Arial" w:cs="Arial"/>
          <w:bCs/>
          <w:szCs w:val="22"/>
        </w:rPr>
        <w:tab/>
        <w:t>3 mg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INDIKACE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B63E0">
        <w:rPr>
          <w:rFonts w:ascii="Arial" w:hAnsi="Arial" w:cs="Arial"/>
          <w:szCs w:val="22"/>
        </w:rPr>
        <w:t xml:space="preserve">Léčba kura domácího infikovaného </w:t>
      </w:r>
      <w:proofErr w:type="spellStart"/>
      <w:r w:rsidRPr="000B63E0">
        <w:rPr>
          <w:rFonts w:ascii="Arial" w:hAnsi="Arial" w:cs="Arial"/>
          <w:i/>
          <w:iCs/>
          <w:szCs w:val="22"/>
        </w:rPr>
        <w:t>Heterakis</w:t>
      </w:r>
      <w:proofErr w:type="spellEnd"/>
      <w:r w:rsidRPr="000B63E0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0B63E0">
        <w:rPr>
          <w:rFonts w:ascii="Arial" w:hAnsi="Arial" w:cs="Arial"/>
          <w:i/>
          <w:iCs/>
          <w:szCs w:val="22"/>
        </w:rPr>
        <w:t>gallinarum</w:t>
      </w:r>
      <w:proofErr w:type="spellEnd"/>
      <w:r w:rsidRPr="000B63E0">
        <w:rPr>
          <w:rFonts w:ascii="Arial" w:hAnsi="Arial" w:cs="Arial"/>
          <w:i/>
          <w:iCs/>
          <w:szCs w:val="22"/>
        </w:rPr>
        <w:t xml:space="preserve"> </w:t>
      </w:r>
      <w:r w:rsidRPr="000B63E0">
        <w:rPr>
          <w:rFonts w:ascii="Arial" w:hAnsi="Arial" w:cs="Arial"/>
          <w:iCs/>
          <w:szCs w:val="22"/>
        </w:rPr>
        <w:t>(dospěl</w:t>
      </w:r>
      <w:r w:rsidR="00277337">
        <w:rPr>
          <w:rFonts w:ascii="Arial" w:hAnsi="Arial" w:cs="Arial"/>
          <w:iCs/>
          <w:szCs w:val="22"/>
        </w:rPr>
        <w:t>ci</w:t>
      </w:r>
      <w:r w:rsidRPr="000B63E0">
        <w:rPr>
          <w:rFonts w:ascii="Arial" w:hAnsi="Arial" w:cs="Arial"/>
          <w:iCs/>
          <w:szCs w:val="22"/>
        </w:rPr>
        <w:t>) nebo</w:t>
      </w:r>
      <w:r w:rsidRPr="000B63E0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0B63E0">
        <w:rPr>
          <w:rFonts w:ascii="Arial" w:hAnsi="Arial" w:cs="Arial"/>
          <w:i/>
          <w:iCs/>
          <w:szCs w:val="22"/>
        </w:rPr>
        <w:t>Ascaridia</w:t>
      </w:r>
      <w:proofErr w:type="spellEnd"/>
      <w:r w:rsidRPr="000B63E0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Pr="000B63E0">
        <w:rPr>
          <w:rFonts w:ascii="Arial" w:hAnsi="Arial" w:cs="Arial"/>
          <w:i/>
          <w:iCs/>
          <w:szCs w:val="22"/>
        </w:rPr>
        <w:t>galli</w:t>
      </w:r>
      <w:proofErr w:type="spellEnd"/>
      <w:r w:rsidRPr="000B63E0">
        <w:rPr>
          <w:rFonts w:ascii="Arial" w:hAnsi="Arial" w:cs="Arial"/>
          <w:i/>
          <w:iCs/>
          <w:szCs w:val="22"/>
        </w:rPr>
        <w:t xml:space="preserve"> </w:t>
      </w:r>
      <w:r w:rsidRPr="000B63E0">
        <w:rPr>
          <w:rFonts w:ascii="Arial" w:hAnsi="Arial" w:cs="Arial"/>
          <w:szCs w:val="22"/>
        </w:rPr>
        <w:t>(dospěl</w:t>
      </w:r>
      <w:r w:rsidR="00277337">
        <w:rPr>
          <w:rFonts w:ascii="Arial" w:hAnsi="Arial" w:cs="Arial"/>
          <w:szCs w:val="22"/>
        </w:rPr>
        <w:t>ci</w:t>
      </w:r>
      <w:r w:rsidRPr="000B63E0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 xml:space="preserve">5. 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KONTRAINDIKACE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</w:rPr>
        <w:t>Nepoužív</w:t>
      </w:r>
      <w:r w:rsidR="00100974">
        <w:rPr>
          <w:rFonts w:ascii="Arial" w:hAnsi="Arial" w:cs="Arial"/>
          <w:szCs w:val="22"/>
        </w:rPr>
        <w:t>at</w:t>
      </w:r>
      <w:r w:rsidRPr="000C5D51">
        <w:rPr>
          <w:rFonts w:ascii="Arial" w:hAnsi="Arial" w:cs="Arial"/>
          <w:szCs w:val="22"/>
        </w:rPr>
        <w:t xml:space="preserve"> v případě přecitlivělosti na léčivou látku</w:t>
      </w:r>
      <w:r w:rsidR="00100974">
        <w:rPr>
          <w:rFonts w:ascii="Arial" w:hAnsi="Arial" w:cs="Arial"/>
          <w:szCs w:val="22"/>
        </w:rPr>
        <w:t>,</w:t>
      </w:r>
      <w:r w:rsidRPr="000C5D51">
        <w:rPr>
          <w:rFonts w:ascii="Arial" w:hAnsi="Arial" w:cs="Arial"/>
          <w:szCs w:val="22"/>
        </w:rPr>
        <w:t xml:space="preserve"> nebo na </w:t>
      </w:r>
      <w:r w:rsidRPr="000C5D51">
        <w:rPr>
          <w:rFonts w:ascii="Arial" w:hAnsi="Arial" w:cs="Arial"/>
          <w:szCs w:val="22"/>
          <w:lang w:eastAsia="cs-CZ" w:bidi="ne-IN"/>
        </w:rPr>
        <w:t>některou z pomocných látek.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6.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NEŽÁDOUCÍ ÚČINKY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Nejsou známy. 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Jestliže zaznamenáte jakékoliv nežádoucí účinky</w:t>
      </w:r>
      <w:r w:rsidR="00100974">
        <w:rPr>
          <w:rFonts w:ascii="Arial" w:hAnsi="Arial" w:cs="Arial"/>
          <w:szCs w:val="22"/>
          <w:lang w:eastAsia="cs-CZ" w:bidi="ne-IN"/>
        </w:rPr>
        <w:t>, a to i takové, které nejsou uvedeny v této příbalové informaci</w:t>
      </w:r>
      <w:r w:rsidRPr="000C5D51">
        <w:rPr>
          <w:rFonts w:ascii="Arial" w:hAnsi="Arial" w:cs="Arial"/>
          <w:szCs w:val="22"/>
          <w:lang w:eastAsia="cs-CZ" w:bidi="ne-IN"/>
        </w:rPr>
        <w:t>,</w:t>
      </w:r>
      <w:r w:rsidR="00100974">
        <w:rPr>
          <w:rFonts w:ascii="Arial" w:hAnsi="Arial" w:cs="Arial"/>
          <w:szCs w:val="22"/>
          <w:lang w:eastAsia="cs-CZ" w:bidi="ne-IN"/>
        </w:rPr>
        <w:t xml:space="preserve"> nebo si myslíte, že léčivý přípravek není účinný,</w:t>
      </w:r>
      <w:r w:rsidRPr="000C5D51">
        <w:rPr>
          <w:rFonts w:ascii="Arial" w:hAnsi="Arial" w:cs="Arial"/>
          <w:szCs w:val="22"/>
          <w:lang w:eastAsia="cs-CZ" w:bidi="ne-IN"/>
        </w:rPr>
        <w:t xml:space="preserve"> oznamte to</w:t>
      </w:r>
      <w:r w:rsidR="00100974">
        <w:rPr>
          <w:rFonts w:ascii="Arial" w:hAnsi="Arial" w:cs="Arial"/>
          <w:szCs w:val="22"/>
          <w:lang w:eastAsia="cs-CZ" w:bidi="ne-IN"/>
        </w:rPr>
        <w:t>,</w:t>
      </w:r>
      <w:r w:rsidRPr="000C5D51">
        <w:rPr>
          <w:rFonts w:ascii="Arial" w:hAnsi="Arial" w:cs="Arial"/>
          <w:szCs w:val="22"/>
          <w:lang w:eastAsia="cs-CZ" w:bidi="ne-IN"/>
        </w:rPr>
        <w:t xml:space="preserve"> prosím</w:t>
      </w:r>
      <w:r w:rsidR="00100974">
        <w:rPr>
          <w:rFonts w:ascii="Arial" w:hAnsi="Arial" w:cs="Arial"/>
          <w:szCs w:val="22"/>
          <w:lang w:eastAsia="cs-CZ" w:bidi="ne-IN"/>
        </w:rPr>
        <w:t>,</w:t>
      </w:r>
      <w:r w:rsidRPr="000C5D51">
        <w:rPr>
          <w:rFonts w:ascii="Arial" w:hAnsi="Arial" w:cs="Arial"/>
          <w:szCs w:val="22"/>
          <w:lang w:eastAsia="cs-CZ" w:bidi="ne-IN"/>
        </w:rPr>
        <w:t xml:space="preserve"> vašemu veterinárnímu lékaři.</w:t>
      </w: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7.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CÍLOVÝ DRUH ZVÍŘAT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Kur domácí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8.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 xml:space="preserve">DÁVKOVÁNÍ PRO KAŽDÝ DRUH, </w:t>
      </w:r>
      <w:proofErr w:type="gramStart"/>
      <w:r w:rsidRPr="000C5D51">
        <w:rPr>
          <w:rFonts w:ascii="Arial" w:hAnsi="Arial" w:cs="Arial"/>
          <w:b/>
          <w:szCs w:val="22"/>
          <w:lang w:eastAsia="cs-CZ" w:bidi="ne-IN"/>
        </w:rPr>
        <w:t>CESTA(Y) A ZPŮSOB</w:t>
      </w:r>
      <w:proofErr w:type="gramEnd"/>
      <w:r w:rsidRPr="000C5D51">
        <w:rPr>
          <w:rFonts w:ascii="Arial" w:hAnsi="Arial" w:cs="Arial"/>
          <w:b/>
          <w:szCs w:val="22"/>
          <w:lang w:eastAsia="cs-CZ" w:bidi="ne-IN"/>
        </w:rPr>
        <w:t xml:space="preserve"> PODÁNÍ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465320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Pro </w:t>
      </w:r>
      <w:r>
        <w:rPr>
          <w:rFonts w:ascii="Arial" w:hAnsi="Arial" w:cs="Arial"/>
          <w:szCs w:val="22"/>
        </w:rPr>
        <w:t>podání</w:t>
      </w:r>
      <w:r w:rsidRPr="000C5D51">
        <w:rPr>
          <w:rFonts w:ascii="Arial" w:hAnsi="Arial" w:cs="Arial"/>
          <w:szCs w:val="22"/>
        </w:rPr>
        <w:t xml:space="preserve"> v</w:t>
      </w:r>
      <w:r>
        <w:rPr>
          <w:rFonts w:ascii="Arial" w:hAnsi="Arial" w:cs="Arial"/>
          <w:szCs w:val="22"/>
        </w:rPr>
        <w:t> pitné vodě</w:t>
      </w:r>
      <w:r w:rsidRPr="000C5D51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br/>
      </w:r>
    </w:p>
    <w:p w:rsidR="000C0BA2" w:rsidRPr="000C5D51" w:rsidRDefault="000C0BA2" w:rsidP="00465320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Před použitím dobře protřepejte.</w:t>
      </w: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Dávka je 1,0 mg </w:t>
      </w:r>
      <w:proofErr w:type="spellStart"/>
      <w:r>
        <w:rPr>
          <w:rFonts w:ascii="Arial" w:hAnsi="Arial" w:cs="Arial"/>
          <w:szCs w:val="22"/>
        </w:rPr>
        <w:t>fenbendazolu</w:t>
      </w:r>
      <w:proofErr w:type="spellEnd"/>
      <w:r>
        <w:rPr>
          <w:rFonts w:ascii="Arial" w:hAnsi="Arial" w:cs="Arial"/>
          <w:szCs w:val="22"/>
        </w:rPr>
        <w:t xml:space="preserve"> na kg živé hmotnosti a den (odpovídá 0,005 ml přípravku </w:t>
      </w:r>
      <w:proofErr w:type="spellStart"/>
      <w:r>
        <w:rPr>
          <w:rFonts w:ascii="Arial" w:hAnsi="Arial" w:cs="Arial"/>
          <w:szCs w:val="22"/>
        </w:rPr>
        <w:t>Gallifen</w:t>
      </w:r>
      <w:proofErr w:type="spellEnd"/>
      <w:r>
        <w:rPr>
          <w:rFonts w:ascii="Arial" w:hAnsi="Arial" w:cs="Arial"/>
          <w:szCs w:val="22"/>
        </w:rPr>
        <w:t xml:space="preserve"> suspen</w:t>
      </w:r>
      <w:r w:rsidR="00277337">
        <w:rPr>
          <w:rFonts w:ascii="Arial" w:hAnsi="Arial" w:cs="Arial"/>
          <w:szCs w:val="22"/>
        </w:rPr>
        <w:t>ze</w:t>
      </w:r>
      <w:r>
        <w:rPr>
          <w:rFonts w:ascii="Arial" w:hAnsi="Arial" w:cs="Arial"/>
          <w:szCs w:val="22"/>
        </w:rPr>
        <w:t xml:space="preserve">). Tato dávka musí být podávána </w:t>
      </w:r>
      <w:r w:rsidR="00100974">
        <w:rPr>
          <w:rFonts w:ascii="Arial" w:hAnsi="Arial" w:cs="Arial"/>
          <w:szCs w:val="22"/>
        </w:rPr>
        <w:t xml:space="preserve">5 </w:t>
      </w:r>
      <w:r>
        <w:rPr>
          <w:rFonts w:ascii="Arial" w:hAnsi="Arial" w:cs="Arial"/>
          <w:szCs w:val="22"/>
        </w:rPr>
        <w:t>po sobě následujících dnů.</w:t>
      </w: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Výpočet dávky:</w:t>
      </w: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Požadované denní množství přípravku se počítá z celkové odhadované živé hmotnosti (kg) celé skupiny kuřat, která mají být léčena. Prosím, použijte následující vzorec:</w:t>
      </w:r>
    </w:p>
    <w:p w:rsidR="000C0BA2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465320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ml přípravku/den = celková odhadovaná živá hmotnost kuřat (kg), která mají být léčena x 0,005 ml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9.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POKYNY PRO SPRÁVNÉ PODÁNÍ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zajištění podání správné dávky by měla být co nejpřesněji stanovena živá hmotnost.</w:t>
      </w:r>
    </w:p>
    <w:p w:rsidR="000C0BA2" w:rsidRDefault="000C0BA2" w:rsidP="00AE1F1B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:rsidR="00100974" w:rsidRPr="000C5D51" w:rsidRDefault="00100974" w:rsidP="00100974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zajištění správného dávkování, by předtím, než se umožní zvířatům přístup k </w:t>
      </w:r>
      <w:proofErr w:type="spellStart"/>
      <w:r>
        <w:rPr>
          <w:rFonts w:ascii="Arial" w:hAnsi="Arial" w:cs="Arial"/>
          <w:szCs w:val="22"/>
        </w:rPr>
        <w:t>medikované</w:t>
      </w:r>
      <w:proofErr w:type="spellEnd"/>
      <w:r>
        <w:rPr>
          <w:rFonts w:ascii="Arial" w:hAnsi="Arial" w:cs="Arial"/>
          <w:szCs w:val="22"/>
        </w:rPr>
        <w:t xml:space="preserve"> vodě, měl být napájecí systém vypuštěn a propláchnut </w:t>
      </w:r>
      <w:proofErr w:type="spellStart"/>
      <w:r>
        <w:rPr>
          <w:rFonts w:ascii="Arial" w:hAnsi="Arial" w:cs="Arial"/>
          <w:szCs w:val="22"/>
        </w:rPr>
        <w:t>medikovanou</w:t>
      </w:r>
      <w:proofErr w:type="spellEnd"/>
      <w:r>
        <w:rPr>
          <w:rFonts w:ascii="Arial" w:hAnsi="Arial" w:cs="Arial"/>
          <w:szCs w:val="22"/>
        </w:rPr>
        <w:t xml:space="preserve"> vodou. Tento postup je nutno provést po všechny dny léčby.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Příjem medikované vody závisí na věku a klinickém stavu ptáků, okolní teplotě a světelném režimu. Aby bylo zajištěno správné dávkování, musí být koncentrace přípravku odpovídajícím způsobem upravena.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 přípravě medikované vody postupujte podle níže uvedených pokynů. Použijte dostatečně přesné, komerčně dostupné, měřicí zařízení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Medikovaná voda musí být pro každý den léčby připravena čerstvá.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použití v medikačních nádržích: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Přidejte vypočítané množství přípravku do 40 až 80 % denní dávky vody pro ptáky. Míchejte, dokud není obsah v medikační nádrži viditelně homogenní. Medikovaná voda není čirá. Během podávání není nutné další míchání.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použití v dávkovacích pumpách: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Přidejte vypočítané množství přípravku do 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vody v zásobním kontejneru dávkovací pumpy. Objem 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vody v zásobním kontejneru se vypočítává ze základní vstřikovací rychlosti dávkovací pumpy a 40 až 80 % denní dávky vody pro ptáky. Míchejte, dokud není obsah v zásobním kontejneru homogenní. Medikovaná voda není čirá.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Během léčby musí mít všechna zvířata výhradní a neomezený přístup k medikované vodě.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Během léčby, po kompletním spotřebování medikované vody, musí být zvířatům co nejdříve umožněn přístup k </w:t>
      </w:r>
      <w:proofErr w:type="spellStart"/>
      <w:r>
        <w:rPr>
          <w:rFonts w:ascii="Arial" w:hAnsi="Arial" w:cs="Arial"/>
          <w:szCs w:val="22"/>
        </w:rPr>
        <w:t>nemedikované</w:t>
      </w:r>
      <w:proofErr w:type="spellEnd"/>
      <w:r>
        <w:rPr>
          <w:rFonts w:ascii="Arial" w:hAnsi="Arial" w:cs="Arial"/>
          <w:szCs w:val="22"/>
        </w:rPr>
        <w:t xml:space="preserve"> pitné vodě.</w:t>
      </w:r>
    </w:p>
    <w:p w:rsidR="000C0BA2" w:rsidRDefault="000C0BA2" w:rsidP="00AE1F1B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AE1F1B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Ujistěte se, že celkové množství nabídnuté medikované vody bylo spotřebováno</w:t>
      </w:r>
    </w:p>
    <w:p w:rsidR="00A912B0" w:rsidRDefault="00A912B0" w:rsidP="007962AC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</w:p>
    <w:p w:rsidR="007112EF" w:rsidRPr="000C5D51" w:rsidRDefault="007112EF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112EF" w:rsidRDefault="007112EF" w:rsidP="007112EF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lang w:eastAsia="cs-CZ" w:bidi="ne-IN"/>
        </w:rPr>
        <w:t>10.</w:t>
      </w:r>
      <w:r>
        <w:rPr>
          <w:rFonts w:ascii="Arial" w:hAnsi="Arial" w:cs="Arial"/>
          <w:b/>
          <w:szCs w:val="22"/>
          <w:lang w:eastAsia="cs-CZ" w:bidi="ne-IN"/>
        </w:rPr>
        <w:tab/>
        <w:t xml:space="preserve">OCHRANNÁ(É) </w:t>
      </w:r>
      <w:proofErr w:type="gramStart"/>
      <w:r>
        <w:rPr>
          <w:rFonts w:ascii="Arial" w:hAnsi="Arial" w:cs="Arial"/>
          <w:b/>
          <w:szCs w:val="22"/>
          <w:lang w:eastAsia="cs-CZ" w:bidi="ne-IN"/>
        </w:rPr>
        <w:t>LHŮTA(Y)</w:t>
      </w:r>
      <w:proofErr w:type="gramEnd"/>
      <w:r>
        <w:rPr>
          <w:rFonts w:ascii="Arial" w:hAnsi="Arial" w:cs="Arial"/>
          <w:b/>
          <w:szCs w:val="22"/>
          <w:lang w:eastAsia="cs-CZ" w:bidi="ne-IN"/>
        </w:rPr>
        <w:t xml:space="preserve"> 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Maso: </w:t>
      </w:r>
      <w:r>
        <w:rPr>
          <w:rFonts w:ascii="Arial" w:hAnsi="Arial" w:cs="Arial"/>
          <w:szCs w:val="22"/>
        </w:rPr>
        <w:t>6 dnů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Vejce: </w:t>
      </w:r>
      <w:r w:rsidR="00EC1908">
        <w:rPr>
          <w:rFonts w:ascii="Arial" w:hAnsi="Arial" w:cs="Arial"/>
          <w:iCs/>
          <w:szCs w:val="22"/>
        </w:rPr>
        <w:t>Bez ochranných lhůt.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UCHOVÁVÁNÍ</w:t>
      </w: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Uchovávat mimo do</w:t>
      </w:r>
      <w:r w:rsidR="00F0381F">
        <w:rPr>
          <w:rFonts w:ascii="Arial" w:hAnsi="Arial" w:cs="Arial"/>
          <w:szCs w:val="22"/>
          <w:lang w:eastAsia="cs-CZ" w:bidi="ne-IN"/>
        </w:rPr>
        <w:t>hled a do</w:t>
      </w:r>
      <w:r w:rsidRPr="000C5D51">
        <w:rPr>
          <w:rFonts w:ascii="Arial" w:hAnsi="Arial" w:cs="Arial"/>
          <w:szCs w:val="22"/>
          <w:lang w:eastAsia="cs-CZ" w:bidi="ne-IN"/>
        </w:rPr>
        <w:t>sah dětí.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E546E" w:rsidP="007962AC">
      <w:pPr>
        <w:tabs>
          <w:tab w:val="left" w:pos="720"/>
        </w:tabs>
        <w:ind w:left="0" w:right="-2" w:firstLine="0"/>
        <w:rPr>
          <w:rFonts w:ascii="Arial" w:hAnsi="Arial" w:cs="Arial"/>
          <w:szCs w:val="22"/>
          <w:lang w:eastAsia="cs-CZ" w:bidi="ne-IN"/>
        </w:rPr>
      </w:pPr>
      <w:r>
        <w:rPr>
          <w:rFonts w:ascii="Arial" w:hAnsi="Arial" w:cs="Arial"/>
          <w:szCs w:val="22"/>
          <w:lang w:eastAsia="cs-CZ" w:bidi="ne-IN"/>
        </w:rPr>
        <w:t>Přípravek v neporušeném obalu</w:t>
      </w:r>
      <w:r w:rsidR="000C0BA2">
        <w:rPr>
          <w:rFonts w:ascii="Arial" w:hAnsi="Arial" w:cs="Arial"/>
          <w:szCs w:val="22"/>
          <w:lang w:eastAsia="cs-CZ" w:bidi="ne-IN"/>
        </w:rPr>
        <w:t xml:space="preserve"> a po prvním otevření nezmrazujte. </w:t>
      </w:r>
      <w:r w:rsidR="00275A81">
        <w:rPr>
          <w:rFonts w:ascii="Arial" w:hAnsi="Arial" w:cs="Arial"/>
          <w:szCs w:val="22"/>
          <w:lang w:eastAsia="cs-CZ" w:bidi="ne-IN"/>
        </w:rPr>
        <w:br/>
      </w:r>
      <w:r w:rsidR="000C0BA2">
        <w:rPr>
          <w:rFonts w:ascii="Arial" w:hAnsi="Arial" w:cs="Arial"/>
          <w:szCs w:val="22"/>
          <w:lang w:eastAsia="cs-CZ" w:bidi="ne-IN"/>
        </w:rPr>
        <w:t xml:space="preserve">Chraňte před mrazem. </w:t>
      </w:r>
      <w:r w:rsidR="00275A81">
        <w:rPr>
          <w:rFonts w:ascii="Arial" w:hAnsi="Arial" w:cs="Arial"/>
          <w:szCs w:val="22"/>
          <w:lang w:eastAsia="cs-CZ" w:bidi="ne-IN"/>
        </w:rPr>
        <w:br/>
      </w:r>
      <w:proofErr w:type="spellStart"/>
      <w:r w:rsidR="000C0BA2">
        <w:rPr>
          <w:rFonts w:ascii="Arial" w:hAnsi="Arial" w:cs="Arial"/>
          <w:szCs w:val="22"/>
          <w:lang w:eastAsia="cs-CZ" w:bidi="ne-IN"/>
        </w:rPr>
        <w:t>Medikovan</w:t>
      </w:r>
      <w:r>
        <w:rPr>
          <w:rFonts w:ascii="Arial" w:hAnsi="Arial" w:cs="Arial"/>
          <w:szCs w:val="22"/>
          <w:lang w:eastAsia="cs-CZ" w:bidi="ne-IN"/>
        </w:rPr>
        <w:t>ou</w:t>
      </w:r>
      <w:proofErr w:type="spellEnd"/>
      <w:r w:rsidR="000C0BA2">
        <w:rPr>
          <w:rFonts w:ascii="Arial" w:hAnsi="Arial" w:cs="Arial"/>
          <w:szCs w:val="22"/>
          <w:lang w:eastAsia="cs-CZ" w:bidi="ne-IN"/>
        </w:rPr>
        <w:t xml:space="preserve"> vod</w:t>
      </w:r>
      <w:r>
        <w:rPr>
          <w:rFonts w:ascii="Arial" w:hAnsi="Arial" w:cs="Arial"/>
          <w:szCs w:val="22"/>
          <w:lang w:eastAsia="cs-CZ" w:bidi="ne-IN"/>
        </w:rPr>
        <w:t>u</w:t>
      </w:r>
      <w:r w:rsidR="000C0BA2">
        <w:rPr>
          <w:rFonts w:ascii="Arial" w:hAnsi="Arial" w:cs="Arial"/>
          <w:szCs w:val="22"/>
          <w:lang w:eastAsia="cs-CZ" w:bidi="ne-IN"/>
        </w:rPr>
        <w:t xml:space="preserve"> nezmrazujte.</w:t>
      </w:r>
    </w:p>
    <w:p w:rsidR="000C0BA2" w:rsidRPr="000C5D51" w:rsidRDefault="000C0BA2" w:rsidP="007962AC">
      <w:pPr>
        <w:tabs>
          <w:tab w:val="left" w:pos="720"/>
        </w:tabs>
        <w:ind w:left="0" w:right="-2" w:firstLine="0"/>
        <w:rPr>
          <w:rFonts w:ascii="Arial" w:hAnsi="Arial" w:cs="Arial"/>
          <w:noProof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Nepoužívejte tento veterinární léčivý přípravek po uplynutí doby použitelnost</w:t>
      </w:r>
      <w:r>
        <w:rPr>
          <w:rFonts w:ascii="Arial" w:hAnsi="Arial" w:cs="Arial"/>
          <w:szCs w:val="22"/>
          <w:lang w:eastAsia="cs-CZ" w:bidi="ne-IN"/>
        </w:rPr>
        <w:t>i</w:t>
      </w:r>
      <w:r w:rsidRPr="000C5D51">
        <w:rPr>
          <w:rFonts w:ascii="Arial" w:hAnsi="Arial" w:cs="Arial"/>
          <w:szCs w:val="22"/>
          <w:lang w:eastAsia="cs-CZ" w:bidi="ne-IN"/>
        </w:rPr>
        <w:t xml:space="preserve"> uvedené na </w:t>
      </w:r>
      <w:r>
        <w:rPr>
          <w:rFonts w:ascii="Arial" w:hAnsi="Arial" w:cs="Arial"/>
          <w:szCs w:val="22"/>
          <w:lang w:eastAsia="cs-CZ" w:bidi="ne-IN"/>
        </w:rPr>
        <w:t>l</w:t>
      </w:r>
      <w:r w:rsidR="000E546E">
        <w:rPr>
          <w:rFonts w:ascii="Arial" w:hAnsi="Arial" w:cs="Arial"/>
          <w:szCs w:val="22"/>
          <w:lang w:eastAsia="cs-CZ" w:bidi="ne-IN"/>
        </w:rPr>
        <w:t>a</w:t>
      </w:r>
      <w:r>
        <w:rPr>
          <w:rFonts w:ascii="Arial" w:hAnsi="Arial" w:cs="Arial"/>
          <w:szCs w:val="22"/>
          <w:lang w:eastAsia="cs-CZ" w:bidi="ne-IN"/>
        </w:rPr>
        <w:t>hvi</w:t>
      </w:r>
      <w:r w:rsidRPr="000C5D51">
        <w:rPr>
          <w:rFonts w:ascii="Arial" w:hAnsi="Arial" w:cs="Arial"/>
          <w:szCs w:val="22"/>
          <w:lang w:eastAsia="cs-CZ" w:bidi="ne-IN"/>
        </w:rPr>
        <w:t xml:space="preserve"> </w:t>
      </w:r>
      <w:r w:rsidR="000E546E">
        <w:rPr>
          <w:rFonts w:ascii="Arial" w:hAnsi="Arial" w:cs="Arial"/>
          <w:szCs w:val="22"/>
          <w:lang w:eastAsia="cs-CZ" w:bidi="ne-IN"/>
        </w:rPr>
        <w:t>po</w:t>
      </w:r>
      <w:r w:rsidRPr="000C5D51">
        <w:rPr>
          <w:rFonts w:ascii="Arial" w:hAnsi="Arial" w:cs="Arial"/>
          <w:szCs w:val="22"/>
          <w:lang w:eastAsia="cs-CZ" w:bidi="ne-IN"/>
        </w:rPr>
        <w:t xml:space="preserve"> </w:t>
      </w:r>
      <w:r>
        <w:rPr>
          <w:rFonts w:ascii="Arial" w:hAnsi="Arial" w:cs="Arial"/>
          <w:szCs w:val="22"/>
          <w:lang w:eastAsia="cs-CZ" w:bidi="ne-IN"/>
        </w:rPr>
        <w:t>„</w:t>
      </w:r>
      <w:r w:rsidRPr="000C5D51">
        <w:rPr>
          <w:rFonts w:ascii="Arial" w:hAnsi="Arial" w:cs="Arial"/>
          <w:szCs w:val="22"/>
          <w:lang w:eastAsia="cs-CZ" w:bidi="ne-IN"/>
        </w:rPr>
        <w:t>EXP</w:t>
      </w:r>
      <w:r>
        <w:rPr>
          <w:rFonts w:ascii="Arial" w:hAnsi="Arial" w:cs="Arial"/>
          <w:szCs w:val="22"/>
          <w:lang w:eastAsia="cs-CZ" w:bidi="ne-IN"/>
        </w:rPr>
        <w:t>“</w:t>
      </w:r>
      <w:r w:rsidRPr="000C5D51">
        <w:rPr>
          <w:rFonts w:ascii="Arial" w:hAnsi="Arial" w:cs="Arial"/>
          <w:szCs w:val="22"/>
          <w:lang w:eastAsia="cs-CZ" w:bidi="ne-IN"/>
        </w:rPr>
        <w:t>. Doba použitelnosti končí posledním dnem v uvedeném měsíci.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right="-2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Doba použitelnosti po prvním otevření vnitřního obalu: 3 měsíce</w:t>
      </w:r>
      <w:r w:rsidR="0041588F">
        <w:rPr>
          <w:rFonts w:ascii="Arial" w:hAnsi="Arial" w:cs="Arial"/>
          <w:szCs w:val="22"/>
          <w:lang w:eastAsia="cs-CZ" w:bidi="ne-IN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Doba použitelnosti po </w:t>
      </w:r>
      <w:r w:rsidR="0041588F">
        <w:rPr>
          <w:rFonts w:ascii="Arial" w:hAnsi="Arial" w:cs="Arial"/>
          <w:szCs w:val="22"/>
          <w:lang w:eastAsia="cs-CZ" w:bidi="ne-IN"/>
        </w:rPr>
        <w:t>rekonstituci v</w:t>
      </w:r>
      <w:r w:rsidRPr="000C5D51">
        <w:rPr>
          <w:rFonts w:ascii="Arial" w:hAnsi="Arial" w:cs="Arial"/>
          <w:szCs w:val="22"/>
          <w:lang w:eastAsia="cs-CZ" w:bidi="ne-IN"/>
        </w:rPr>
        <w:t xml:space="preserve"> </w:t>
      </w:r>
      <w:r>
        <w:rPr>
          <w:rFonts w:ascii="Arial" w:hAnsi="Arial" w:cs="Arial"/>
          <w:szCs w:val="22"/>
          <w:lang w:eastAsia="cs-CZ" w:bidi="ne-IN"/>
        </w:rPr>
        <w:t>pitné vod</w:t>
      </w:r>
      <w:r w:rsidR="0041588F">
        <w:rPr>
          <w:rFonts w:ascii="Arial" w:hAnsi="Arial" w:cs="Arial"/>
          <w:szCs w:val="22"/>
          <w:lang w:eastAsia="cs-CZ" w:bidi="ne-IN"/>
        </w:rPr>
        <w:t>ě</w:t>
      </w:r>
      <w:r w:rsidRPr="000C5D51">
        <w:rPr>
          <w:rFonts w:ascii="Arial" w:hAnsi="Arial" w:cs="Arial"/>
          <w:szCs w:val="22"/>
          <w:lang w:eastAsia="cs-CZ" w:bidi="ne-IN"/>
        </w:rPr>
        <w:t xml:space="preserve">: </w:t>
      </w:r>
      <w:r>
        <w:rPr>
          <w:rFonts w:ascii="Arial" w:hAnsi="Arial" w:cs="Arial"/>
          <w:szCs w:val="22"/>
          <w:lang w:eastAsia="cs-CZ" w:bidi="ne-IN"/>
        </w:rPr>
        <w:t>24 hodin.</w:t>
      </w:r>
    </w:p>
    <w:p w:rsidR="000C0BA2" w:rsidRPr="000C5D51" w:rsidRDefault="000C0BA2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UPOZORNĚNÍ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upozornění pro každý cílový druh:</w:t>
      </w: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</w:p>
    <w:p w:rsidR="00100974" w:rsidRDefault="00100974" w:rsidP="00100974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2A5BE1">
        <w:rPr>
          <w:rFonts w:ascii="Arial" w:hAnsi="Arial" w:cs="Arial"/>
          <w:szCs w:val="22"/>
        </w:rPr>
        <w:t>Z důvodu zvýšení rizika možného vývoje rezistence, které by mohlo vést k neúčinné terapii, je třeba přistupovat k podání přípravku obezřetně a vyhnout se následujícím praktikám:</w:t>
      </w:r>
    </w:p>
    <w:p w:rsidR="00100974" w:rsidRPr="000C5D51" w:rsidRDefault="00100974" w:rsidP="00100974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00974" w:rsidRPr="000C5D51" w:rsidRDefault="00100974" w:rsidP="00100974">
      <w:pPr>
        <w:numPr>
          <w:ilvl w:val="0"/>
          <w:numId w:val="43"/>
        </w:numPr>
        <w:tabs>
          <w:tab w:val="left" w:pos="720"/>
          <w:tab w:val="num" w:pos="1260"/>
        </w:tabs>
        <w:ind w:left="10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0C5D51">
        <w:rPr>
          <w:rFonts w:ascii="Arial" w:hAnsi="Arial" w:cs="Arial"/>
          <w:szCs w:val="22"/>
        </w:rPr>
        <w:t xml:space="preserve">říliš časté a opakované použití anthelmintik ze stejné </w:t>
      </w:r>
      <w:r>
        <w:rPr>
          <w:rFonts w:ascii="Arial" w:hAnsi="Arial" w:cs="Arial"/>
          <w:szCs w:val="22"/>
        </w:rPr>
        <w:t>skupiny, příliš dlouhé době podávání</w:t>
      </w:r>
    </w:p>
    <w:p w:rsidR="00100974" w:rsidRPr="002A5BE1" w:rsidRDefault="00100974" w:rsidP="00100974">
      <w:pPr>
        <w:rPr>
          <w:rFonts w:ascii="Arial" w:hAnsi="Arial" w:cs="Arial"/>
          <w:szCs w:val="22"/>
        </w:rPr>
      </w:pPr>
    </w:p>
    <w:p w:rsidR="00100974" w:rsidRPr="000C5D51" w:rsidRDefault="00100974" w:rsidP="00100974">
      <w:pPr>
        <w:numPr>
          <w:ilvl w:val="0"/>
          <w:numId w:val="43"/>
        </w:numPr>
        <w:tabs>
          <w:tab w:val="left" w:pos="720"/>
          <w:tab w:val="num" w:pos="1276"/>
        </w:tabs>
        <w:ind w:left="1276" w:hanging="556"/>
        <w:jc w:val="both"/>
        <w:rPr>
          <w:rFonts w:ascii="Arial" w:hAnsi="Arial" w:cs="Arial"/>
          <w:szCs w:val="22"/>
        </w:rPr>
      </w:pPr>
      <w:proofErr w:type="spellStart"/>
      <w:r w:rsidRPr="002A5BE1">
        <w:rPr>
          <w:rFonts w:ascii="Arial" w:hAnsi="Arial" w:cs="Arial"/>
          <w:szCs w:val="22"/>
        </w:rPr>
        <w:t>poddávkování</w:t>
      </w:r>
      <w:proofErr w:type="spellEnd"/>
      <w:r w:rsidRPr="002A5BE1">
        <w:rPr>
          <w:rFonts w:ascii="Arial" w:hAnsi="Arial" w:cs="Arial"/>
          <w:szCs w:val="22"/>
        </w:rPr>
        <w:t>, z důvodu špatného stanovení živé hmotnosti, chybného podání přípravku nebo nedostatečné kalibrace dávkovacího zařízení (pokud je použito)</w:t>
      </w:r>
    </w:p>
    <w:p w:rsidR="00100974" w:rsidRPr="000C5D51" w:rsidRDefault="00100974" w:rsidP="00100974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100974" w:rsidRPr="000C5D51" w:rsidRDefault="00100974" w:rsidP="00100974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C14584">
        <w:rPr>
          <w:rFonts w:ascii="Arial" w:hAnsi="Arial" w:cs="Arial"/>
          <w:szCs w:val="22"/>
        </w:rPr>
        <w:t>Za použití vhodných testů (na</w:t>
      </w:r>
      <w:r>
        <w:rPr>
          <w:rFonts w:ascii="Arial" w:hAnsi="Arial" w:cs="Arial"/>
          <w:szCs w:val="22"/>
        </w:rPr>
        <w:t>př. test redukce počtu vajíček</w:t>
      </w:r>
      <w:r w:rsidRPr="00C14584">
        <w:rPr>
          <w:rFonts w:ascii="Arial" w:hAnsi="Arial" w:cs="Arial"/>
          <w:szCs w:val="22"/>
        </w:rPr>
        <w:t>) mají být vyšetřeny podezřelé klinické případy na rezistenci k anthelmintikům. Tam, kde výsledky testu potvrzují rezistenci k určitému anthelmintiku, by mělo být použito anthelmintikum náležející do jiné skupiny a mající jiný způsob účinku.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pro použití u zvířat:</w:t>
      </w: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Default="000C0BA2" w:rsidP="00F833DD">
      <w:pPr>
        <w:rPr>
          <w:rFonts w:ascii="Arial" w:hAnsi="Arial" w:cs="Arial"/>
        </w:rPr>
      </w:pPr>
      <w:r>
        <w:rPr>
          <w:rFonts w:ascii="Arial" w:hAnsi="Arial" w:cs="Arial"/>
        </w:rPr>
        <w:t>U kuřat mladších 8 týdnů nebyla posouzena bezpečnost přípravku při předávkování</w:t>
      </w:r>
      <w:r w:rsidRPr="008F6775">
        <w:rPr>
          <w:rFonts w:ascii="Arial" w:hAnsi="Arial" w:cs="Arial"/>
        </w:rPr>
        <w:t>.</w:t>
      </w:r>
    </w:p>
    <w:p w:rsidR="000C0BA2" w:rsidRDefault="000C0BA2" w:rsidP="00F833DD">
      <w:pPr>
        <w:rPr>
          <w:rFonts w:ascii="Arial" w:hAnsi="Arial" w:cs="Arial"/>
        </w:rPr>
      </w:pPr>
    </w:p>
    <w:p w:rsidR="000C0BA2" w:rsidRPr="00740D19" w:rsidRDefault="000C0BA2" w:rsidP="00F833DD">
      <w:pPr>
        <w:ind w:left="0" w:firstLine="0"/>
        <w:rPr>
          <w:rFonts w:ascii="Arial" w:hAnsi="Arial" w:cs="Arial"/>
        </w:rPr>
      </w:pPr>
      <w:r w:rsidRPr="00740D19">
        <w:rPr>
          <w:rFonts w:ascii="Arial" w:hAnsi="Arial" w:cs="Arial"/>
        </w:rPr>
        <w:t xml:space="preserve">Účinnost veterinárního léčivého přípravku podávaného v doporučené dávce není dostatečná pro léčbu infestace </w:t>
      </w:r>
      <w:proofErr w:type="spellStart"/>
      <w:r w:rsidRPr="00F833DD">
        <w:rPr>
          <w:rFonts w:ascii="Arial" w:hAnsi="Arial" w:cs="Arial"/>
          <w:i/>
        </w:rPr>
        <w:t>Capillaria</w:t>
      </w:r>
      <w:proofErr w:type="spellEnd"/>
      <w:r w:rsidRPr="00740D19">
        <w:rPr>
          <w:rFonts w:ascii="Arial" w:hAnsi="Arial" w:cs="Arial"/>
        </w:rPr>
        <w:t xml:space="preserve"> </w:t>
      </w:r>
      <w:proofErr w:type="spellStart"/>
      <w:r w:rsidRPr="00740D19">
        <w:rPr>
          <w:rFonts w:ascii="Arial" w:hAnsi="Arial" w:cs="Arial"/>
        </w:rPr>
        <w:t>spp</w:t>
      </w:r>
      <w:proofErr w:type="spellEnd"/>
      <w:r w:rsidRPr="00740D19">
        <w:rPr>
          <w:rFonts w:ascii="Arial" w:hAnsi="Arial" w:cs="Arial"/>
        </w:rPr>
        <w:t xml:space="preserve">. Před podáváním přípravku má být vyloučena infestace </w:t>
      </w:r>
      <w:proofErr w:type="spellStart"/>
      <w:r w:rsidRPr="00F833DD">
        <w:rPr>
          <w:rFonts w:ascii="Arial" w:hAnsi="Arial" w:cs="Arial"/>
          <w:i/>
        </w:rPr>
        <w:t>Capillaria</w:t>
      </w:r>
      <w:proofErr w:type="spellEnd"/>
      <w:r w:rsidRPr="00740D19">
        <w:rPr>
          <w:rFonts w:ascii="Arial" w:hAnsi="Arial" w:cs="Arial"/>
        </w:rPr>
        <w:t xml:space="preserve"> </w:t>
      </w:r>
      <w:proofErr w:type="spellStart"/>
      <w:r w:rsidRPr="00740D19">
        <w:rPr>
          <w:rFonts w:ascii="Arial" w:hAnsi="Arial" w:cs="Arial"/>
        </w:rPr>
        <w:t>spp</w:t>
      </w:r>
      <w:proofErr w:type="spellEnd"/>
      <w:r w:rsidRPr="00740D19">
        <w:rPr>
          <w:rFonts w:ascii="Arial" w:hAnsi="Arial" w:cs="Arial"/>
        </w:rPr>
        <w:t xml:space="preserve">. V případě infestace </w:t>
      </w:r>
      <w:proofErr w:type="spellStart"/>
      <w:r w:rsidRPr="00F833DD">
        <w:rPr>
          <w:rFonts w:ascii="Arial" w:hAnsi="Arial" w:cs="Arial"/>
          <w:i/>
        </w:rPr>
        <w:t>Capillaria</w:t>
      </w:r>
      <w:proofErr w:type="spellEnd"/>
      <w:r w:rsidRPr="00740D19">
        <w:rPr>
          <w:rFonts w:ascii="Arial" w:hAnsi="Arial" w:cs="Arial"/>
        </w:rPr>
        <w:t xml:space="preserve"> </w:t>
      </w:r>
      <w:proofErr w:type="spellStart"/>
      <w:r w:rsidRPr="00740D19">
        <w:rPr>
          <w:rFonts w:ascii="Arial" w:hAnsi="Arial" w:cs="Arial"/>
        </w:rPr>
        <w:t>spp</w:t>
      </w:r>
      <w:proofErr w:type="spellEnd"/>
      <w:r w:rsidRPr="00740D19">
        <w:rPr>
          <w:rFonts w:ascii="Arial" w:hAnsi="Arial" w:cs="Arial"/>
        </w:rPr>
        <w:t xml:space="preserve">. je třeba použít jiné vhodné veterinární anthelmintikum. Použití léčivého přípravku v rozporu se schváleným souhrnem údajů o přípravku může mít za následek zvýšení rizika rozvoje rezistence </w:t>
      </w:r>
      <w:r w:rsidR="00100974">
        <w:rPr>
          <w:rFonts w:ascii="Arial" w:hAnsi="Arial" w:cs="Arial"/>
        </w:rPr>
        <w:t>k</w:t>
      </w:r>
      <w:r w:rsidR="00100974" w:rsidRPr="00740D19">
        <w:rPr>
          <w:rFonts w:ascii="Arial" w:hAnsi="Arial" w:cs="Arial"/>
        </w:rPr>
        <w:t xml:space="preserve"> </w:t>
      </w:r>
      <w:r w:rsidRPr="00740D19">
        <w:rPr>
          <w:rFonts w:ascii="Arial" w:hAnsi="Arial" w:cs="Arial"/>
        </w:rPr>
        <w:t>anthelmintik</w:t>
      </w:r>
      <w:r w:rsidR="00100974">
        <w:rPr>
          <w:rFonts w:ascii="Arial" w:hAnsi="Arial" w:cs="Arial"/>
        </w:rPr>
        <w:t>ům</w:t>
      </w:r>
      <w:r>
        <w:rPr>
          <w:rFonts w:ascii="Arial" w:hAnsi="Arial" w:cs="Arial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určené osobám, které podávají veterinární léčivý přípravek zvířatům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Nelze vyloučit embryotoxické účinky. Těhotné ženy musí být při manipulaci s tímto veterinárním léčivým přípravkem obzvláště obezřetné.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bookmarkStart w:id="0" w:name="_Hlk505365145"/>
      <w:r w:rsidRPr="00085A6C">
        <w:rPr>
          <w:rFonts w:ascii="Arial" w:hAnsi="Arial" w:cs="Arial"/>
          <w:szCs w:val="22"/>
        </w:rPr>
        <w:t>Tento veterinární léčivý přípravek může být pro člověka po požití toxický.</w:t>
      </w:r>
      <w:bookmarkEnd w:id="0"/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Tento přípravek může způsobit podráždění očí.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bCs/>
          <w:szCs w:val="22"/>
        </w:rPr>
        <w:t>Zabraňte kontaktu přípravku</w:t>
      </w:r>
      <w:r w:rsidRPr="00085A6C">
        <w:rPr>
          <w:rFonts w:ascii="Arial" w:hAnsi="Arial" w:cs="Arial"/>
          <w:szCs w:val="22"/>
        </w:rPr>
        <w:t xml:space="preserve"> s pokožkou a očima nebo náhodnému požití přípravku.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Při manipulaci s veterinárním léčivým přípravkem nekuřte, nejezte a nepijte.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Při manipulaci nebo přípravě medikované pitné vody používejte ochranné brýle a nepropustné rukavice, abyste zabránili přímému kontaktu přípravku s kůží a očima.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V případě náhodného požití vypláchněte ústa velkým množstvím čisté vody a vyhledejte lékařskou pomoc. V případě náhodného kontaktu s pokožkou nebo očima je vypláchněte</w:t>
      </w:r>
      <w:r w:rsidRPr="0008017F">
        <w:rPr>
          <w:rFonts w:ascii="Arial" w:hAnsi="Arial" w:cs="Arial"/>
          <w:szCs w:val="22"/>
        </w:rPr>
        <w:t xml:space="preserve"> velkým množstvím vody a</w:t>
      </w:r>
      <w:r w:rsidRPr="00085A6C">
        <w:rPr>
          <w:rFonts w:ascii="Arial" w:hAnsi="Arial" w:cs="Arial"/>
          <w:szCs w:val="22"/>
        </w:rPr>
        <w:t> vyhledejte lékařskou pomoc.</w:t>
      </w:r>
    </w:p>
    <w:p w:rsidR="0071782E" w:rsidRPr="00085A6C" w:rsidRDefault="0071782E" w:rsidP="0071782E">
      <w:pPr>
        <w:pStyle w:val="Odstavecseseznamem"/>
        <w:tabs>
          <w:tab w:val="left" w:pos="0"/>
        </w:tabs>
        <w:ind w:left="0" w:firstLine="0"/>
        <w:jc w:val="both"/>
        <w:rPr>
          <w:rFonts w:ascii="Arial" w:hAnsi="Arial" w:cs="Arial"/>
          <w:szCs w:val="22"/>
        </w:rPr>
      </w:pPr>
      <w:r w:rsidRPr="00085A6C">
        <w:rPr>
          <w:rFonts w:ascii="Arial" w:hAnsi="Arial" w:cs="Arial"/>
          <w:szCs w:val="22"/>
        </w:rPr>
        <w:t>Po použití si umyjte ruce.</w:t>
      </w:r>
    </w:p>
    <w:p w:rsidR="000C0BA2" w:rsidRDefault="000C0BA2" w:rsidP="007962AC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lastRenderedPageBreak/>
        <w:t>Březost a laktace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0C0BA2" w:rsidRPr="000C5D51" w:rsidRDefault="000C0BA2" w:rsidP="00FF0E68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8F1BA5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Může být použit v průběhu snášky</w:t>
      </w:r>
      <w:r w:rsidRPr="000C5D51">
        <w:rPr>
          <w:rFonts w:ascii="Arial" w:hAnsi="Arial" w:cs="Arial"/>
          <w:szCs w:val="22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Interakce s dalšími léčivými přípravky a další formy interakce:</w:t>
      </w:r>
    </w:p>
    <w:p w:rsidR="000C0BA2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Nejsou známy.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Předávkování (symptomy, první pomoc, antidota)</w:t>
      </w:r>
      <w:r>
        <w:rPr>
          <w:rFonts w:ascii="Arial" w:hAnsi="Arial" w:cs="Arial"/>
          <w:szCs w:val="22"/>
          <w:u w:val="single"/>
          <w:lang w:eastAsia="cs-CZ" w:bidi="ne-IN"/>
        </w:rPr>
        <w:t>, pokud je to nutné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0C0BA2" w:rsidRPr="000C5D51" w:rsidRDefault="000C0BA2" w:rsidP="008F1BA5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Při podání pětinásobku doporučené dávky u brojlerů (ve věku přibližně 8 týdnů) nebyly pozorovány žádné nežádoucí účinky. Při podání trojnásobku nadměrné dávky nebyly u nosnic a chovných jedinců pozorovány žádné nežádoucí </w:t>
      </w:r>
      <w:r w:rsidR="00BB5150">
        <w:rPr>
          <w:rFonts w:ascii="Arial" w:hAnsi="Arial" w:cs="Arial"/>
          <w:szCs w:val="22"/>
        </w:rPr>
        <w:t>reakce</w:t>
      </w:r>
      <w:r w:rsidRPr="000C5D51">
        <w:rPr>
          <w:rFonts w:ascii="Arial" w:hAnsi="Arial" w:cs="Arial"/>
          <w:szCs w:val="22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Inkompatibility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Studie kompatibility nejsou k dispozici, a proto tento veterinární léčivý přípravek nesmí být mísen s žádnými dalšími veterinárními léčivými přípravky</w:t>
      </w:r>
      <w:r>
        <w:rPr>
          <w:rFonts w:ascii="Arial" w:hAnsi="Arial" w:cs="Arial"/>
          <w:szCs w:val="22"/>
        </w:rPr>
        <w:t>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ZNEŠKODŇOVÁNÍ NEPOUŽITÝCH PŘÍPRAVKŮ NEBO ODPADU, POKUD JE JICH TŘEBA</w:t>
      </w:r>
    </w:p>
    <w:p w:rsidR="000C0BA2" w:rsidRPr="000C5D51" w:rsidRDefault="000C0BA2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0C0BA2" w:rsidRDefault="000C0BA2" w:rsidP="007962A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Všechen nepoužitý veterinární léčivý přípravek nebo odpad, který pochází </w:t>
      </w:r>
      <w:r w:rsidR="0071782E" w:rsidRPr="000C5D51">
        <w:rPr>
          <w:rFonts w:ascii="Arial" w:hAnsi="Arial" w:cs="Arial"/>
          <w:szCs w:val="22"/>
        </w:rPr>
        <w:t>z</w:t>
      </w:r>
      <w:r w:rsidR="0071782E"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 xml:space="preserve">tohoto přípravku, musí být likvidován podle místních právních předpisů. </w:t>
      </w:r>
    </w:p>
    <w:p w:rsidR="000C0BA2" w:rsidRDefault="000C0BA2" w:rsidP="007962A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Přípravek nesmí kontaminovat vodní toky, protože může být nebezpečný pro vodní organismy.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DATUM POSLEDNÍ REVIZE PŘÍBALOVÉ INFORMACE</w:t>
      </w:r>
    </w:p>
    <w:p w:rsidR="000C0BA2" w:rsidRDefault="000C0BA2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71782E" w:rsidRDefault="005F7963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Květen</w:t>
      </w:r>
      <w:bookmarkStart w:id="1" w:name="_GoBack"/>
      <w:bookmarkEnd w:id="1"/>
      <w:r w:rsidR="00277337">
        <w:rPr>
          <w:rFonts w:ascii="Arial" w:hAnsi="Arial" w:cs="Arial"/>
          <w:szCs w:val="22"/>
        </w:rPr>
        <w:t xml:space="preserve"> 2019</w:t>
      </w:r>
    </w:p>
    <w:p w:rsidR="0071782E" w:rsidRPr="000C5D51" w:rsidRDefault="0071782E" w:rsidP="007962AC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15.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DALŠÍ INFORMACE</w:t>
      </w:r>
    </w:p>
    <w:p w:rsidR="000C0BA2" w:rsidRPr="000C5D51" w:rsidRDefault="000C0BA2" w:rsidP="007962AC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277337" w:rsidRPr="00FF0E68" w:rsidRDefault="00277337" w:rsidP="00277337">
      <w:pPr>
        <w:rPr>
          <w:rFonts w:ascii="Arial" w:hAnsi="Arial" w:cs="Arial"/>
        </w:rPr>
      </w:pPr>
      <w:r w:rsidRPr="00FF0E68">
        <w:rPr>
          <w:rFonts w:ascii="Arial" w:hAnsi="Arial" w:cs="Arial"/>
        </w:rPr>
        <w:t>Pouze pro zvířata.</w:t>
      </w:r>
    </w:p>
    <w:p w:rsidR="00277337" w:rsidRPr="00FF0E68" w:rsidRDefault="00277337" w:rsidP="00277337">
      <w:pPr>
        <w:rPr>
          <w:rFonts w:ascii="Arial" w:hAnsi="Arial" w:cs="Arial"/>
        </w:rPr>
      </w:pPr>
      <w:r w:rsidRPr="00FF0E68">
        <w:rPr>
          <w:rFonts w:ascii="Arial" w:hAnsi="Arial" w:cs="Arial"/>
        </w:rPr>
        <w:t>Veterinární léčivý přípravek je vydáván pouze na předpis.</w:t>
      </w:r>
    </w:p>
    <w:p w:rsidR="00277337" w:rsidRDefault="00277337" w:rsidP="00277337"/>
    <w:p w:rsidR="000C0BA2" w:rsidRPr="000C5D51" w:rsidRDefault="000C0BA2" w:rsidP="00EC4516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Bílá válcovitá l</w:t>
      </w:r>
      <w:r w:rsidR="0041588F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hev z polyetylenu s vysokou hustotou (HDPE) s bílým polypropylenovým šroubovacím uzávěrem</w:t>
      </w:r>
      <w:r w:rsidR="0041588F">
        <w:rPr>
          <w:rFonts w:ascii="Arial" w:hAnsi="Arial" w:cs="Arial"/>
          <w:szCs w:val="22"/>
        </w:rPr>
        <w:t xml:space="preserve"> zajištěným proti neoprávněné manipulaci </w:t>
      </w:r>
      <w:r>
        <w:rPr>
          <w:rFonts w:ascii="Arial" w:hAnsi="Arial" w:cs="Arial"/>
          <w:szCs w:val="22"/>
        </w:rPr>
        <w:t>o objemu 125 ml a 1 litr; bílá hranatá HDPE</w:t>
      </w:r>
      <w:r w:rsidR="0041588F">
        <w:rPr>
          <w:rFonts w:ascii="Arial" w:hAnsi="Arial" w:cs="Arial"/>
          <w:szCs w:val="22"/>
        </w:rPr>
        <w:t xml:space="preserve"> lahev </w:t>
      </w:r>
      <w:r>
        <w:rPr>
          <w:rFonts w:ascii="Arial" w:hAnsi="Arial" w:cs="Arial"/>
          <w:szCs w:val="22"/>
        </w:rPr>
        <w:t xml:space="preserve">o objemu 1 litr </w:t>
      </w:r>
      <w:r w:rsidR="00CC2D34">
        <w:rPr>
          <w:rFonts w:ascii="Arial" w:hAnsi="Arial" w:cs="Arial"/>
          <w:szCs w:val="22"/>
        </w:rPr>
        <w:t>se svislým</w:t>
      </w:r>
      <w:r>
        <w:rPr>
          <w:rFonts w:ascii="Arial" w:hAnsi="Arial" w:cs="Arial"/>
          <w:szCs w:val="22"/>
        </w:rPr>
        <w:t xml:space="preserve"> průhledn</w:t>
      </w:r>
      <w:r w:rsidR="00CC2D34">
        <w:rPr>
          <w:rFonts w:ascii="Arial" w:hAnsi="Arial" w:cs="Arial"/>
          <w:szCs w:val="22"/>
        </w:rPr>
        <w:t>ým proužkem uzavřená</w:t>
      </w:r>
      <w:r>
        <w:rPr>
          <w:rFonts w:ascii="Arial" w:hAnsi="Arial" w:cs="Arial"/>
          <w:szCs w:val="22"/>
        </w:rPr>
        <w:t xml:space="preserve"> vložkou z polyetylenu nízké hustoty (L</w:t>
      </w:r>
      <w:r w:rsidR="00FB0E7B">
        <w:rPr>
          <w:rFonts w:ascii="Arial" w:hAnsi="Arial" w:cs="Arial"/>
          <w:szCs w:val="22"/>
        </w:rPr>
        <w:t>DP</w:t>
      </w:r>
      <w:r>
        <w:rPr>
          <w:rFonts w:ascii="Arial" w:hAnsi="Arial" w:cs="Arial"/>
          <w:szCs w:val="22"/>
        </w:rPr>
        <w:t>E)</w:t>
      </w:r>
      <w:r w:rsidR="00CC2D34">
        <w:rPr>
          <w:rFonts w:ascii="Arial" w:hAnsi="Arial" w:cs="Arial"/>
          <w:szCs w:val="22"/>
        </w:rPr>
        <w:t xml:space="preserve"> a</w:t>
      </w:r>
      <w:r>
        <w:rPr>
          <w:rFonts w:ascii="Arial" w:hAnsi="Arial" w:cs="Arial"/>
          <w:szCs w:val="22"/>
        </w:rPr>
        <w:t xml:space="preserve"> polypropylenovým šroubovacím uzávěrem</w:t>
      </w:r>
      <w:r w:rsidR="00CC2D34" w:rsidRPr="00CC2D34">
        <w:rPr>
          <w:rFonts w:ascii="Arial" w:hAnsi="Arial" w:cs="Arial"/>
          <w:szCs w:val="22"/>
        </w:rPr>
        <w:t xml:space="preserve"> </w:t>
      </w:r>
      <w:r w:rsidR="00CC2D34">
        <w:rPr>
          <w:rFonts w:ascii="Arial" w:hAnsi="Arial" w:cs="Arial"/>
          <w:szCs w:val="22"/>
        </w:rPr>
        <w:t xml:space="preserve">zajištěným proti neoprávněné manipulaci </w:t>
      </w:r>
      <w:r>
        <w:rPr>
          <w:rFonts w:ascii="Arial" w:hAnsi="Arial" w:cs="Arial"/>
          <w:szCs w:val="22"/>
        </w:rPr>
        <w:t>s těsnicí vložkou z L</w:t>
      </w:r>
      <w:r w:rsidR="00FB0E7B">
        <w:rPr>
          <w:rFonts w:ascii="Arial" w:hAnsi="Arial" w:cs="Arial"/>
          <w:szCs w:val="22"/>
        </w:rPr>
        <w:t>DP</w:t>
      </w:r>
      <w:r>
        <w:rPr>
          <w:rFonts w:ascii="Arial" w:hAnsi="Arial" w:cs="Arial"/>
          <w:szCs w:val="22"/>
        </w:rPr>
        <w:t>E. Bílé HDPE kanystry s HDPE vroubkovaným šroubovacími uzávěrem</w:t>
      </w:r>
      <w:r w:rsidR="00CC2D34">
        <w:rPr>
          <w:rFonts w:ascii="Arial" w:hAnsi="Arial" w:cs="Arial"/>
          <w:szCs w:val="22"/>
        </w:rPr>
        <w:t xml:space="preserve"> zajištěným proti neoprávněné manipulaci </w:t>
      </w:r>
      <w:r>
        <w:rPr>
          <w:rFonts w:ascii="Arial" w:hAnsi="Arial" w:cs="Arial"/>
          <w:szCs w:val="22"/>
        </w:rPr>
        <w:t>o objemu 2, 5 litrů a 5 litrů.</w:t>
      </w:r>
    </w:p>
    <w:p w:rsidR="000C0BA2" w:rsidRPr="000C5D51" w:rsidRDefault="000C0BA2" w:rsidP="007962AC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:rsidR="000C0BA2" w:rsidRDefault="000C0BA2" w:rsidP="008F1BA5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Na trhu nemusí být všechny velikosti balení.</w:t>
      </w:r>
    </w:p>
    <w:p w:rsidR="000C0BA2" w:rsidRPr="000C5D51" w:rsidRDefault="000C0BA2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sectPr w:rsidR="000C0BA2" w:rsidRPr="000C5D51" w:rsidSect="00E343D6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F3" w:rsidRDefault="001D0BF3">
      <w:r>
        <w:separator/>
      </w:r>
    </w:p>
  </w:endnote>
  <w:endnote w:type="continuationSeparator" w:id="0">
    <w:p w:rsidR="001D0BF3" w:rsidRDefault="001D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2" w:rsidRDefault="000C0BA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0C0BA2" w:rsidRDefault="000C0B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F796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2" w:rsidRDefault="000C0BA2">
    <w:pPr>
      <w:pStyle w:val="Zpat"/>
      <w:tabs>
        <w:tab w:val="clear" w:pos="8930"/>
        <w:tab w:val="right" w:pos="8931"/>
      </w:tabs>
    </w:pPr>
  </w:p>
  <w:p w:rsidR="000C0BA2" w:rsidRDefault="000C0BA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F79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F3" w:rsidRDefault="001D0BF3">
      <w:r>
        <w:separator/>
      </w:r>
    </w:p>
  </w:footnote>
  <w:footnote w:type="continuationSeparator" w:id="0">
    <w:p w:rsidR="001D0BF3" w:rsidRDefault="001D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8F" w:rsidRDefault="0075248F" w:rsidP="00FF0E68">
    <w:pPr>
      <w:pStyle w:val="Zhlav"/>
      <w:ind w:left="0" w:firstLine="0"/>
    </w:pPr>
    <w:r>
      <w:t xml:space="preserve">             </w:t>
    </w:r>
  </w:p>
  <w:p w:rsidR="000C0BA2" w:rsidRDefault="000C0BA2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1A087B"/>
    <w:multiLevelType w:val="hybridMultilevel"/>
    <w:tmpl w:val="3E04B23C"/>
    <w:lvl w:ilvl="0" w:tplc="CB1EC20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29E4D22"/>
    <w:multiLevelType w:val="hybridMultilevel"/>
    <w:tmpl w:val="B6DEF0FC"/>
    <w:lvl w:ilvl="0" w:tplc="AF0E31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A3F65D8"/>
    <w:multiLevelType w:val="multilevel"/>
    <w:tmpl w:val="A02E932A"/>
    <w:numStyleLink w:val="BulletsAgency"/>
  </w:abstractNum>
  <w:abstractNum w:abstractNumId="3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1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62338"/>
    <w:multiLevelType w:val="hybridMultilevel"/>
    <w:tmpl w:val="CC489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2"/>
  </w:num>
  <w:num w:numId="5">
    <w:abstractNumId w:val="41"/>
  </w:num>
  <w:num w:numId="6">
    <w:abstractNumId w:val="13"/>
  </w:num>
  <w:num w:numId="7">
    <w:abstractNumId w:val="26"/>
  </w:num>
  <w:num w:numId="8">
    <w:abstractNumId w:val="24"/>
  </w:num>
  <w:num w:numId="9">
    <w:abstractNumId w:val="8"/>
  </w:num>
  <w:num w:numId="10">
    <w:abstractNumId w:val="39"/>
  </w:num>
  <w:num w:numId="11">
    <w:abstractNumId w:val="40"/>
  </w:num>
  <w:num w:numId="12">
    <w:abstractNumId w:val="20"/>
  </w:num>
  <w:num w:numId="13">
    <w:abstractNumId w:val="15"/>
  </w:num>
  <w:num w:numId="14">
    <w:abstractNumId w:val="2"/>
  </w:num>
  <w:num w:numId="15">
    <w:abstractNumId w:val="37"/>
  </w:num>
  <w:num w:numId="16">
    <w:abstractNumId w:val="22"/>
  </w:num>
  <w:num w:numId="17">
    <w:abstractNumId w:val="43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7"/>
  </w:num>
  <w:num w:numId="23">
    <w:abstractNumId w:val="30"/>
  </w:num>
  <w:num w:numId="24">
    <w:abstractNumId w:val="12"/>
  </w:num>
  <w:num w:numId="25">
    <w:abstractNumId w:val="36"/>
  </w:num>
  <w:num w:numId="26">
    <w:abstractNumId w:val="28"/>
  </w:num>
  <w:num w:numId="27">
    <w:abstractNumId w:val="14"/>
  </w:num>
  <w:num w:numId="28">
    <w:abstractNumId w:val="11"/>
  </w:num>
  <w:num w:numId="29">
    <w:abstractNumId w:val="23"/>
  </w:num>
  <w:num w:numId="30">
    <w:abstractNumId w:val="27"/>
  </w:num>
  <w:num w:numId="31">
    <w:abstractNumId w:val="17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18"/>
  </w:num>
  <w:num w:numId="37">
    <w:abstractNumId w:val="4"/>
  </w:num>
  <w:num w:numId="38">
    <w:abstractNumId w:val="44"/>
  </w:num>
  <w:num w:numId="39">
    <w:abstractNumId w:val="16"/>
  </w:num>
  <w:num w:numId="40">
    <w:abstractNumId w:val="6"/>
  </w:num>
  <w:num w:numId="41">
    <w:abstractNumId w:val="29"/>
  </w:num>
  <w:num w:numId="42">
    <w:abstractNumId w:val="38"/>
  </w:num>
  <w:num w:numId="43">
    <w:abstractNumId w:val="19"/>
  </w:num>
  <w:num w:numId="44">
    <w:abstractNumId w:val="32"/>
  </w:num>
  <w:num w:numId="45">
    <w:abstractNumId w:val="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30B"/>
    <w:rsid w:val="00013853"/>
    <w:rsid w:val="0003476C"/>
    <w:rsid w:val="00041A7A"/>
    <w:rsid w:val="00042909"/>
    <w:rsid w:val="00044181"/>
    <w:rsid w:val="0004621C"/>
    <w:rsid w:val="000603E1"/>
    <w:rsid w:val="00067640"/>
    <w:rsid w:val="00091A23"/>
    <w:rsid w:val="000A7089"/>
    <w:rsid w:val="000B63E0"/>
    <w:rsid w:val="000C0BA2"/>
    <w:rsid w:val="000C5D51"/>
    <w:rsid w:val="000C7585"/>
    <w:rsid w:val="000D0CFE"/>
    <w:rsid w:val="000E546E"/>
    <w:rsid w:val="000F1AB7"/>
    <w:rsid w:val="000F60FA"/>
    <w:rsid w:val="00100974"/>
    <w:rsid w:val="00106445"/>
    <w:rsid w:val="00116F84"/>
    <w:rsid w:val="0012481A"/>
    <w:rsid w:val="001322ED"/>
    <w:rsid w:val="00140775"/>
    <w:rsid w:val="00142AB0"/>
    <w:rsid w:val="001443DA"/>
    <w:rsid w:val="00151E52"/>
    <w:rsid w:val="00152E20"/>
    <w:rsid w:val="001556FD"/>
    <w:rsid w:val="00155E9D"/>
    <w:rsid w:val="001652DE"/>
    <w:rsid w:val="00175CFD"/>
    <w:rsid w:val="0019539C"/>
    <w:rsid w:val="001A24A9"/>
    <w:rsid w:val="001A5B3A"/>
    <w:rsid w:val="001D0BF3"/>
    <w:rsid w:val="001E0872"/>
    <w:rsid w:val="001E1209"/>
    <w:rsid w:val="001E1CC3"/>
    <w:rsid w:val="001E1F34"/>
    <w:rsid w:val="001F66B4"/>
    <w:rsid w:val="002031D8"/>
    <w:rsid w:val="0020738F"/>
    <w:rsid w:val="00217C79"/>
    <w:rsid w:val="0025342C"/>
    <w:rsid w:val="0025393A"/>
    <w:rsid w:val="00275A81"/>
    <w:rsid w:val="00277337"/>
    <w:rsid w:val="00277D8A"/>
    <w:rsid w:val="002822A4"/>
    <w:rsid w:val="00290413"/>
    <w:rsid w:val="0029048F"/>
    <w:rsid w:val="00291F12"/>
    <w:rsid w:val="00294D9B"/>
    <w:rsid w:val="00296924"/>
    <w:rsid w:val="002B7702"/>
    <w:rsid w:val="002C4E18"/>
    <w:rsid w:val="002E3C14"/>
    <w:rsid w:val="002E5B39"/>
    <w:rsid w:val="002E703B"/>
    <w:rsid w:val="002F0842"/>
    <w:rsid w:val="00314F63"/>
    <w:rsid w:val="003209F6"/>
    <w:rsid w:val="0032403C"/>
    <w:rsid w:val="00340D9D"/>
    <w:rsid w:val="00356BF6"/>
    <w:rsid w:val="00360392"/>
    <w:rsid w:val="00376FBD"/>
    <w:rsid w:val="00381254"/>
    <w:rsid w:val="003A7224"/>
    <w:rsid w:val="003C5751"/>
    <w:rsid w:val="003C663E"/>
    <w:rsid w:val="003D4FDD"/>
    <w:rsid w:val="003D5850"/>
    <w:rsid w:val="003E0D57"/>
    <w:rsid w:val="003E3E6C"/>
    <w:rsid w:val="003F7E7F"/>
    <w:rsid w:val="00401AB8"/>
    <w:rsid w:val="00403374"/>
    <w:rsid w:val="00410FC4"/>
    <w:rsid w:val="00411CB7"/>
    <w:rsid w:val="0041588F"/>
    <w:rsid w:val="00442224"/>
    <w:rsid w:val="00445750"/>
    <w:rsid w:val="00451EDF"/>
    <w:rsid w:val="00453EE6"/>
    <w:rsid w:val="00455F65"/>
    <w:rsid w:val="00462F21"/>
    <w:rsid w:val="00464269"/>
    <w:rsid w:val="00465320"/>
    <w:rsid w:val="00482248"/>
    <w:rsid w:val="004845FF"/>
    <w:rsid w:val="00486AAA"/>
    <w:rsid w:val="004A4A2C"/>
    <w:rsid w:val="004A6C10"/>
    <w:rsid w:val="004D3940"/>
    <w:rsid w:val="004E33B0"/>
    <w:rsid w:val="004F1166"/>
    <w:rsid w:val="004F3604"/>
    <w:rsid w:val="0050121C"/>
    <w:rsid w:val="00512EF6"/>
    <w:rsid w:val="005216A6"/>
    <w:rsid w:val="00525669"/>
    <w:rsid w:val="005421A8"/>
    <w:rsid w:val="00547880"/>
    <w:rsid w:val="00547D84"/>
    <w:rsid w:val="00553BF1"/>
    <w:rsid w:val="00554D84"/>
    <w:rsid w:val="005603BA"/>
    <w:rsid w:val="005657D9"/>
    <w:rsid w:val="00591803"/>
    <w:rsid w:val="00592696"/>
    <w:rsid w:val="0059689D"/>
    <w:rsid w:val="005C3ECE"/>
    <w:rsid w:val="005C5F30"/>
    <w:rsid w:val="005C67DB"/>
    <w:rsid w:val="005E50A5"/>
    <w:rsid w:val="005F2E32"/>
    <w:rsid w:val="005F7963"/>
    <w:rsid w:val="005F7FA2"/>
    <w:rsid w:val="0064542A"/>
    <w:rsid w:val="00682E55"/>
    <w:rsid w:val="006A250C"/>
    <w:rsid w:val="006A2F72"/>
    <w:rsid w:val="006A3A98"/>
    <w:rsid w:val="006A49BD"/>
    <w:rsid w:val="006C733F"/>
    <w:rsid w:val="006D2E0C"/>
    <w:rsid w:val="006D4FCD"/>
    <w:rsid w:val="006E2117"/>
    <w:rsid w:val="006E66ED"/>
    <w:rsid w:val="006F09CF"/>
    <w:rsid w:val="006F5B78"/>
    <w:rsid w:val="007112EF"/>
    <w:rsid w:val="0071782E"/>
    <w:rsid w:val="00717DDF"/>
    <w:rsid w:val="0072023E"/>
    <w:rsid w:val="00725273"/>
    <w:rsid w:val="007252A8"/>
    <w:rsid w:val="0073070A"/>
    <w:rsid w:val="00730F7C"/>
    <w:rsid w:val="00740D19"/>
    <w:rsid w:val="00742EB3"/>
    <w:rsid w:val="00743110"/>
    <w:rsid w:val="0075248F"/>
    <w:rsid w:val="00765A64"/>
    <w:rsid w:val="007661D2"/>
    <w:rsid w:val="00785F21"/>
    <w:rsid w:val="007962AC"/>
    <w:rsid w:val="00796AE8"/>
    <w:rsid w:val="007A00B9"/>
    <w:rsid w:val="007A5610"/>
    <w:rsid w:val="007A66A3"/>
    <w:rsid w:val="007B2920"/>
    <w:rsid w:val="007B68CE"/>
    <w:rsid w:val="007C5DD8"/>
    <w:rsid w:val="007C6C15"/>
    <w:rsid w:val="007D2F19"/>
    <w:rsid w:val="007F0B23"/>
    <w:rsid w:val="008039B0"/>
    <w:rsid w:val="008043EC"/>
    <w:rsid w:val="0081008D"/>
    <w:rsid w:val="00814E55"/>
    <w:rsid w:val="0082001E"/>
    <w:rsid w:val="00870214"/>
    <w:rsid w:val="008758DA"/>
    <w:rsid w:val="0088105E"/>
    <w:rsid w:val="008828DB"/>
    <w:rsid w:val="008839B3"/>
    <w:rsid w:val="00891D1E"/>
    <w:rsid w:val="008963C9"/>
    <w:rsid w:val="008A06BF"/>
    <w:rsid w:val="008A1D73"/>
    <w:rsid w:val="008B1355"/>
    <w:rsid w:val="008B6A18"/>
    <w:rsid w:val="008E1461"/>
    <w:rsid w:val="008F1BA5"/>
    <w:rsid w:val="008F656E"/>
    <w:rsid w:val="008F6775"/>
    <w:rsid w:val="0091204C"/>
    <w:rsid w:val="00916A7A"/>
    <w:rsid w:val="00921AAF"/>
    <w:rsid w:val="00926288"/>
    <w:rsid w:val="00930FEB"/>
    <w:rsid w:val="00942E59"/>
    <w:rsid w:val="00945D2D"/>
    <w:rsid w:val="00952E34"/>
    <w:rsid w:val="00953EB1"/>
    <w:rsid w:val="00955A6D"/>
    <w:rsid w:val="00960C7B"/>
    <w:rsid w:val="00976E1F"/>
    <w:rsid w:val="00976FEC"/>
    <w:rsid w:val="009C7506"/>
    <w:rsid w:val="009D5C28"/>
    <w:rsid w:val="009D7FF5"/>
    <w:rsid w:val="009E41CB"/>
    <w:rsid w:val="00A032FD"/>
    <w:rsid w:val="00A11448"/>
    <w:rsid w:val="00A121C4"/>
    <w:rsid w:val="00A219CA"/>
    <w:rsid w:val="00A304F8"/>
    <w:rsid w:val="00A33D05"/>
    <w:rsid w:val="00A37836"/>
    <w:rsid w:val="00A47369"/>
    <w:rsid w:val="00A53042"/>
    <w:rsid w:val="00A60A84"/>
    <w:rsid w:val="00A912B0"/>
    <w:rsid w:val="00A94807"/>
    <w:rsid w:val="00AB30E2"/>
    <w:rsid w:val="00AC607A"/>
    <w:rsid w:val="00AE1F1B"/>
    <w:rsid w:val="00AF0F5F"/>
    <w:rsid w:val="00AF489D"/>
    <w:rsid w:val="00B02CBF"/>
    <w:rsid w:val="00B1150B"/>
    <w:rsid w:val="00B1626E"/>
    <w:rsid w:val="00B41526"/>
    <w:rsid w:val="00B50083"/>
    <w:rsid w:val="00B52AFE"/>
    <w:rsid w:val="00B57005"/>
    <w:rsid w:val="00B62DA0"/>
    <w:rsid w:val="00B73AB4"/>
    <w:rsid w:val="00B95D1E"/>
    <w:rsid w:val="00BA7E09"/>
    <w:rsid w:val="00BB5150"/>
    <w:rsid w:val="00BC2BF5"/>
    <w:rsid w:val="00BD0D80"/>
    <w:rsid w:val="00BD6DD5"/>
    <w:rsid w:val="00C009AF"/>
    <w:rsid w:val="00C03F49"/>
    <w:rsid w:val="00C0465F"/>
    <w:rsid w:val="00C26101"/>
    <w:rsid w:val="00C27C63"/>
    <w:rsid w:val="00C420A0"/>
    <w:rsid w:val="00C424EA"/>
    <w:rsid w:val="00C62C4B"/>
    <w:rsid w:val="00C65C5C"/>
    <w:rsid w:val="00C6607A"/>
    <w:rsid w:val="00C7574D"/>
    <w:rsid w:val="00C774F7"/>
    <w:rsid w:val="00C82DDD"/>
    <w:rsid w:val="00C8461A"/>
    <w:rsid w:val="00C8498E"/>
    <w:rsid w:val="00C9401A"/>
    <w:rsid w:val="00CA0601"/>
    <w:rsid w:val="00CA0A9E"/>
    <w:rsid w:val="00CB1ED6"/>
    <w:rsid w:val="00CC2D34"/>
    <w:rsid w:val="00CF3211"/>
    <w:rsid w:val="00CF421C"/>
    <w:rsid w:val="00CF5161"/>
    <w:rsid w:val="00CF6096"/>
    <w:rsid w:val="00CF7CB3"/>
    <w:rsid w:val="00D042A0"/>
    <w:rsid w:val="00D058B2"/>
    <w:rsid w:val="00D1643F"/>
    <w:rsid w:val="00D26FFF"/>
    <w:rsid w:val="00D316B9"/>
    <w:rsid w:val="00D64CE2"/>
    <w:rsid w:val="00D747D8"/>
    <w:rsid w:val="00D86292"/>
    <w:rsid w:val="00D8668E"/>
    <w:rsid w:val="00D950D7"/>
    <w:rsid w:val="00DA1193"/>
    <w:rsid w:val="00DB0E57"/>
    <w:rsid w:val="00DC75C2"/>
    <w:rsid w:val="00DD214B"/>
    <w:rsid w:val="00DE2E3E"/>
    <w:rsid w:val="00DF1B51"/>
    <w:rsid w:val="00E32C0F"/>
    <w:rsid w:val="00E343D6"/>
    <w:rsid w:val="00E428E4"/>
    <w:rsid w:val="00E72264"/>
    <w:rsid w:val="00E97859"/>
    <w:rsid w:val="00EA0086"/>
    <w:rsid w:val="00EA67B0"/>
    <w:rsid w:val="00EA74C5"/>
    <w:rsid w:val="00EB45EB"/>
    <w:rsid w:val="00EB566F"/>
    <w:rsid w:val="00EC0BFB"/>
    <w:rsid w:val="00EC1908"/>
    <w:rsid w:val="00EC4516"/>
    <w:rsid w:val="00ED08CE"/>
    <w:rsid w:val="00ED67DB"/>
    <w:rsid w:val="00ED7C4C"/>
    <w:rsid w:val="00F0026B"/>
    <w:rsid w:val="00F0381F"/>
    <w:rsid w:val="00F10A37"/>
    <w:rsid w:val="00F15350"/>
    <w:rsid w:val="00F15818"/>
    <w:rsid w:val="00F16315"/>
    <w:rsid w:val="00F51039"/>
    <w:rsid w:val="00F564C7"/>
    <w:rsid w:val="00F637CA"/>
    <w:rsid w:val="00F75554"/>
    <w:rsid w:val="00F833DD"/>
    <w:rsid w:val="00FA4BEE"/>
    <w:rsid w:val="00FA4E27"/>
    <w:rsid w:val="00FB0E7B"/>
    <w:rsid w:val="00FB23D6"/>
    <w:rsid w:val="00FC0924"/>
    <w:rsid w:val="00FC0AF7"/>
    <w:rsid w:val="00FE4BC2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  <w:lang w:val="cs-CZ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  <w:lang w:val="cs-CZ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  <w:lang w:val="cs-CZ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  <w:lang w:val="cs-CZ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  <w:lang w:val="cs-CZ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lang w:val="cs-CZ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/>
      <w:sz w:val="24"/>
      <w:lang w:val="cs-CZ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  <w:lang w:val="cs-CZ" w:eastAsia="en-US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locked/>
    <w:rPr>
      <w:sz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locked/>
    <w:rPr>
      <w:sz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sz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z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locked/>
    <w:rPr>
      <w:sz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99"/>
    <w:qFormat/>
    <w:rsid w:val="00960C7B"/>
    <w:pPr>
      <w:ind w:left="720"/>
      <w:contextualSpacing/>
    </w:pPr>
  </w:style>
  <w:style w:type="numbering" w:customStyle="1" w:styleId="BulletsAgency">
    <w:name w:val="Bullets (Agency)"/>
    <w:rsid w:val="002550D5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60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3E1"/>
    <w:rPr>
      <w:b/>
      <w:bCs/>
      <w:sz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/>
      <w:b/>
      <w:kern w:val="32"/>
      <w:sz w:val="32"/>
      <w:lang w:val="cs-CZ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/>
      <w:b/>
      <w:i/>
      <w:sz w:val="28"/>
      <w:lang w:val="cs-CZ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  <w:lang w:val="cs-CZ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/>
      <w:b/>
      <w:sz w:val="28"/>
      <w:lang w:val="cs-CZ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/>
      <w:b/>
      <w:i/>
      <w:sz w:val="26"/>
      <w:lang w:val="cs-CZ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lang w:val="cs-CZ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/>
      <w:sz w:val="24"/>
      <w:lang w:val="cs-CZ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/>
      <w:i/>
      <w:sz w:val="24"/>
      <w:lang w:val="cs-CZ" w:eastAsia="en-US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locked/>
    <w:rPr>
      <w:sz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locked/>
    <w:rPr>
      <w:sz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sz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z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locked/>
    <w:rPr>
      <w:sz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locked/>
    <w:rPr>
      <w:sz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z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z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99"/>
    <w:qFormat/>
    <w:rsid w:val="00960C7B"/>
    <w:pPr>
      <w:ind w:left="720"/>
      <w:contextualSpacing/>
    </w:pPr>
  </w:style>
  <w:style w:type="numbering" w:customStyle="1" w:styleId="BulletsAgency">
    <w:name w:val="Bullets (Agency)"/>
    <w:rsid w:val="002550D5"/>
    <w:pPr>
      <w:numPr>
        <w:numId w:val="40"/>
      </w:numPr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60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3E1"/>
    <w:rPr>
      <w:b/>
      <w:bCs/>
      <w:sz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8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2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1159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Hana</dc:creator>
  <cp:lastModifiedBy>Neugebauerová Kateřina</cp:lastModifiedBy>
  <cp:revision>21</cp:revision>
  <cp:lastPrinted>2019-05-29T08:56:00Z</cp:lastPrinted>
  <dcterms:created xsi:type="dcterms:W3CDTF">2018-08-16T11:37:00Z</dcterms:created>
  <dcterms:modified xsi:type="dcterms:W3CDTF">2019-05-29T08:56:00Z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