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B69C6" w14:textId="77777777" w:rsidR="007C3DDD" w:rsidRPr="001F26AD" w:rsidRDefault="007C3DDD" w:rsidP="007C3DDD">
      <w:pPr>
        <w:spacing w:after="0" w:line="240" w:lineRule="auto"/>
        <w:jc w:val="center"/>
        <w:rPr>
          <w:rFonts w:ascii="Times New Roman" w:hAnsi="Times New Roman" w:cs="Times New Roman"/>
          <w:b/>
          <w:lang w:val="en-US"/>
        </w:rPr>
      </w:pPr>
    </w:p>
    <w:p w14:paraId="4865B482" w14:textId="77777777" w:rsidR="007C3DDD" w:rsidRPr="001F26AD" w:rsidRDefault="007C3DDD" w:rsidP="007C3DDD">
      <w:pPr>
        <w:spacing w:after="0" w:line="240" w:lineRule="auto"/>
        <w:jc w:val="center"/>
        <w:rPr>
          <w:rFonts w:ascii="Times New Roman" w:hAnsi="Times New Roman" w:cs="Times New Roman"/>
          <w:b/>
          <w:lang w:val="en-US"/>
        </w:rPr>
      </w:pPr>
    </w:p>
    <w:p w14:paraId="00CAC86E" w14:textId="77777777" w:rsidR="007C3DDD" w:rsidRPr="001F26AD" w:rsidRDefault="007C3DDD" w:rsidP="007C3DDD">
      <w:pPr>
        <w:spacing w:after="0" w:line="240" w:lineRule="auto"/>
        <w:jc w:val="center"/>
        <w:rPr>
          <w:rFonts w:ascii="Times New Roman" w:hAnsi="Times New Roman" w:cs="Times New Roman"/>
          <w:b/>
          <w:lang w:val="en-US"/>
        </w:rPr>
      </w:pPr>
    </w:p>
    <w:p w14:paraId="7E77D855" w14:textId="77777777" w:rsidR="007C3DDD" w:rsidRPr="001F26AD" w:rsidRDefault="007C3DDD" w:rsidP="007C3DDD">
      <w:pPr>
        <w:spacing w:after="0" w:line="240" w:lineRule="auto"/>
        <w:rPr>
          <w:rFonts w:ascii="Times New Roman" w:hAnsi="Times New Roman" w:cs="Times New Roman"/>
        </w:rPr>
      </w:pPr>
    </w:p>
    <w:p w14:paraId="56B333CF" w14:textId="77777777" w:rsidR="007C3DDD" w:rsidRPr="001F26AD" w:rsidRDefault="007C3DDD" w:rsidP="007C3DDD">
      <w:pPr>
        <w:spacing w:after="0" w:line="240" w:lineRule="auto"/>
        <w:rPr>
          <w:rFonts w:ascii="Times New Roman" w:hAnsi="Times New Roman" w:cs="Times New Roman"/>
        </w:rPr>
      </w:pPr>
    </w:p>
    <w:p w14:paraId="33D7660A" w14:textId="77777777" w:rsidR="007C3DDD" w:rsidRPr="001F26AD" w:rsidRDefault="007C3DDD" w:rsidP="007C3DDD">
      <w:pPr>
        <w:spacing w:after="0" w:line="240" w:lineRule="auto"/>
        <w:rPr>
          <w:rFonts w:ascii="Times New Roman" w:hAnsi="Times New Roman" w:cs="Times New Roman"/>
        </w:rPr>
      </w:pPr>
    </w:p>
    <w:p w14:paraId="69725F4D" w14:textId="77777777" w:rsidR="007C3DDD" w:rsidRPr="001F26AD" w:rsidRDefault="007C3DDD" w:rsidP="007C3DDD">
      <w:pPr>
        <w:spacing w:after="0" w:line="240" w:lineRule="auto"/>
        <w:rPr>
          <w:rFonts w:ascii="Times New Roman" w:hAnsi="Times New Roman" w:cs="Times New Roman"/>
        </w:rPr>
      </w:pPr>
    </w:p>
    <w:p w14:paraId="63BF0CB9" w14:textId="77777777" w:rsidR="007C3DDD" w:rsidRPr="001F26AD" w:rsidRDefault="007C3DDD" w:rsidP="007C3DDD">
      <w:pPr>
        <w:spacing w:after="0" w:line="240" w:lineRule="auto"/>
        <w:rPr>
          <w:rFonts w:ascii="Times New Roman" w:hAnsi="Times New Roman" w:cs="Times New Roman"/>
        </w:rPr>
      </w:pPr>
    </w:p>
    <w:p w14:paraId="335809CC" w14:textId="77777777" w:rsidR="007C3DDD" w:rsidRPr="001F26AD" w:rsidRDefault="007C3DDD" w:rsidP="007C3DDD">
      <w:pPr>
        <w:spacing w:after="0" w:line="240" w:lineRule="auto"/>
        <w:rPr>
          <w:rFonts w:ascii="Times New Roman" w:hAnsi="Times New Roman" w:cs="Times New Roman"/>
        </w:rPr>
      </w:pPr>
    </w:p>
    <w:p w14:paraId="537CA2DC" w14:textId="77777777" w:rsidR="007C3DDD" w:rsidRPr="001F26AD" w:rsidRDefault="007C3DDD" w:rsidP="007C3DDD">
      <w:pPr>
        <w:spacing w:after="0" w:line="240" w:lineRule="auto"/>
        <w:rPr>
          <w:rFonts w:ascii="Times New Roman" w:hAnsi="Times New Roman" w:cs="Times New Roman"/>
        </w:rPr>
      </w:pPr>
    </w:p>
    <w:p w14:paraId="6F80C443" w14:textId="77777777" w:rsidR="007C3DDD" w:rsidRPr="001F26AD" w:rsidRDefault="007C3DDD" w:rsidP="007C3DDD">
      <w:pPr>
        <w:spacing w:after="0" w:line="240" w:lineRule="auto"/>
        <w:rPr>
          <w:rFonts w:ascii="Times New Roman" w:hAnsi="Times New Roman" w:cs="Times New Roman"/>
        </w:rPr>
      </w:pPr>
    </w:p>
    <w:p w14:paraId="39F61F39" w14:textId="77777777" w:rsidR="007C3DDD" w:rsidRPr="001F26AD" w:rsidRDefault="007C3DDD" w:rsidP="007C3DDD">
      <w:pPr>
        <w:spacing w:after="0" w:line="240" w:lineRule="auto"/>
        <w:rPr>
          <w:rFonts w:ascii="Times New Roman" w:hAnsi="Times New Roman" w:cs="Times New Roman"/>
        </w:rPr>
      </w:pPr>
    </w:p>
    <w:p w14:paraId="3218A24D" w14:textId="77777777" w:rsidR="007C3DDD" w:rsidRPr="001F26AD" w:rsidRDefault="007C3DDD" w:rsidP="007C3DDD">
      <w:pPr>
        <w:spacing w:after="0" w:line="240" w:lineRule="auto"/>
        <w:rPr>
          <w:rFonts w:ascii="Times New Roman" w:hAnsi="Times New Roman" w:cs="Times New Roman"/>
        </w:rPr>
      </w:pPr>
    </w:p>
    <w:p w14:paraId="76174095" w14:textId="77777777" w:rsidR="007C3DDD" w:rsidRPr="001F26AD" w:rsidRDefault="007C3DDD" w:rsidP="007C3DDD">
      <w:pPr>
        <w:spacing w:after="0" w:line="240" w:lineRule="auto"/>
        <w:rPr>
          <w:rFonts w:ascii="Times New Roman" w:hAnsi="Times New Roman" w:cs="Times New Roman"/>
        </w:rPr>
      </w:pPr>
    </w:p>
    <w:p w14:paraId="75158172" w14:textId="77777777" w:rsidR="007C3DDD" w:rsidRPr="001F26AD" w:rsidRDefault="007C3DDD" w:rsidP="007C3DDD">
      <w:pPr>
        <w:spacing w:after="0" w:line="240" w:lineRule="auto"/>
        <w:rPr>
          <w:rFonts w:ascii="Times New Roman" w:hAnsi="Times New Roman" w:cs="Times New Roman"/>
        </w:rPr>
      </w:pPr>
    </w:p>
    <w:p w14:paraId="5513F337" w14:textId="77777777" w:rsidR="007C3DDD" w:rsidRPr="001F26AD" w:rsidRDefault="007C3DDD" w:rsidP="007C3DDD">
      <w:pPr>
        <w:spacing w:after="0" w:line="240" w:lineRule="auto"/>
        <w:rPr>
          <w:rFonts w:ascii="Times New Roman" w:hAnsi="Times New Roman" w:cs="Times New Roman"/>
        </w:rPr>
      </w:pPr>
    </w:p>
    <w:p w14:paraId="7966681B" w14:textId="77777777" w:rsidR="007C3DDD" w:rsidRPr="001F26AD" w:rsidRDefault="007C3DDD" w:rsidP="007C3DDD">
      <w:pPr>
        <w:spacing w:after="0" w:line="240" w:lineRule="auto"/>
        <w:rPr>
          <w:rFonts w:ascii="Times New Roman" w:hAnsi="Times New Roman" w:cs="Times New Roman"/>
        </w:rPr>
      </w:pPr>
    </w:p>
    <w:p w14:paraId="68B4DFEC" w14:textId="77777777" w:rsidR="007C3DDD" w:rsidRPr="001F26AD" w:rsidRDefault="007C3DDD" w:rsidP="007C3DDD">
      <w:pPr>
        <w:spacing w:after="0" w:line="240" w:lineRule="auto"/>
        <w:rPr>
          <w:rFonts w:ascii="Times New Roman" w:hAnsi="Times New Roman" w:cs="Times New Roman"/>
        </w:rPr>
      </w:pPr>
    </w:p>
    <w:p w14:paraId="7DFF5458" w14:textId="77777777" w:rsidR="007C3DDD" w:rsidRPr="001F26AD" w:rsidRDefault="007C3DDD" w:rsidP="007C3DDD">
      <w:pPr>
        <w:spacing w:after="0" w:line="240" w:lineRule="auto"/>
        <w:rPr>
          <w:rFonts w:ascii="Times New Roman" w:hAnsi="Times New Roman" w:cs="Times New Roman"/>
        </w:rPr>
      </w:pPr>
    </w:p>
    <w:p w14:paraId="4753BE96" w14:textId="77777777" w:rsidR="007C3DDD" w:rsidRPr="001F26AD" w:rsidRDefault="007C3DDD" w:rsidP="007C3DDD">
      <w:pPr>
        <w:spacing w:after="0" w:line="240" w:lineRule="auto"/>
        <w:rPr>
          <w:rFonts w:ascii="Times New Roman" w:hAnsi="Times New Roman" w:cs="Times New Roman"/>
        </w:rPr>
      </w:pPr>
    </w:p>
    <w:p w14:paraId="72C35BD4" w14:textId="77777777" w:rsidR="007C3DDD" w:rsidRPr="001F26AD" w:rsidRDefault="007C3DDD" w:rsidP="007C3DDD">
      <w:pPr>
        <w:spacing w:after="0" w:line="240" w:lineRule="auto"/>
        <w:rPr>
          <w:rFonts w:ascii="Times New Roman" w:hAnsi="Times New Roman" w:cs="Times New Roman"/>
        </w:rPr>
      </w:pPr>
    </w:p>
    <w:p w14:paraId="4BA6BDF7" w14:textId="77777777" w:rsidR="007C3DDD" w:rsidRPr="001F26AD" w:rsidRDefault="007C3DDD" w:rsidP="007C3DDD">
      <w:pPr>
        <w:spacing w:after="0" w:line="240" w:lineRule="auto"/>
        <w:rPr>
          <w:rFonts w:ascii="Times New Roman" w:hAnsi="Times New Roman" w:cs="Times New Roman"/>
        </w:rPr>
      </w:pPr>
    </w:p>
    <w:p w14:paraId="56D28093" w14:textId="77777777" w:rsidR="007C3DDD" w:rsidRPr="001F26AD" w:rsidRDefault="007C3DDD" w:rsidP="007C3DDD">
      <w:pPr>
        <w:spacing w:after="0" w:line="240" w:lineRule="auto"/>
        <w:rPr>
          <w:rFonts w:ascii="Times New Roman" w:hAnsi="Times New Roman" w:cs="Times New Roman"/>
          <w:b/>
          <w:lang w:val="en-US"/>
        </w:rPr>
      </w:pPr>
    </w:p>
    <w:p w14:paraId="649B6B0E" w14:textId="1D0F5AE6" w:rsidR="007C3DDD" w:rsidRPr="001F26AD" w:rsidRDefault="00F5058B" w:rsidP="007C3DDD">
      <w:pPr>
        <w:pStyle w:val="Odstavecseseznamem"/>
        <w:numPr>
          <w:ilvl w:val="0"/>
          <w:numId w:val="17"/>
        </w:numPr>
        <w:spacing w:after="0" w:line="240" w:lineRule="auto"/>
        <w:jc w:val="center"/>
        <w:rPr>
          <w:rFonts w:ascii="Times New Roman" w:hAnsi="Times New Roman" w:cs="Times New Roman"/>
          <w:b/>
          <w:lang w:val="en-US"/>
        </w:rPr>
      </w:pPr>
      <w:r w:rsidRPr="001F26AD">
        <w:rPr>
          <w:rFonts w:ascii="Times New Roman" w:hAnsi="Times New Roman" w:cs="Times New Roman"/>
          <w:b/>
          <w:lang w:bidi="cs-CZ"/>
        </w:rPr>
        <w:t>PŘÍBALOVÁ INFORMACE</w:t>
      </w:r>
    </w:p>
    <w:p w14:paraId="3966E841" w14:textId="77777777" w:rsidR="007C3DDD" w:rsidRPr="001F26AD" w:rsidRDefault="007C3DDD" w:rsidP="007C3DDD">
      <w:pPr>
        <w:spacing w:after="0" w:line="240" w:lineRule="auto"/>
        <w:jc w:val="center"/>
        <w:rPr>
          <w:rFonts w:ascii="Times New Roman" w:hAnsi="Times New Roman" w:cs="Times New Roman"/>
          <w:b/>
          <w:lang w:val="en-US"/>
        </w:rPr>
      </w:pPr>
    </w:p>
    <w:p w14:paraId="6C3D1578" w14:textId="77777777" w:rsidR="007C3DDD" w:rsidRPr="001F26AD" w:rsidRDefault="007C3DDD" w:rsidP="005D2CC4">
      <w:pPr>
        <w:spacing w:after="0" w:line="276" w:lineRule="auto"/>
        <w:jc w:val="center"/>
        <w:rPr>
          <w:rFonts w:ascii="Times New Roman" w:hAnsi="Times New Roman" w:cs="Times New Roman"/>
          <w:b/>
          <w:lang w:val="en-US"/>
        </w:rPr>
        <w:sectPr w:rsidR="007C3DDD" w:rsidRPr="001F26AD" w:rsidSect="00360EF1">
          <w:headerReference w:type="default" r:id="rId9"/>
          <w:pgSz w:w="11906" w:h="16838"/>
          <w:pgMar w:top="1418" w:right="1134" w:bottom="1134" w:left="1134" w:header="709" w:footer="709" w:gutter="0"/>
          <w:pgNumType w:start="1"/>
          <w:cols w:space="708"/>
          <w:docGrid w:linePitch="360"/>
        </w:sectPr>
      </w:pPr>
    </w:p>
    <w:p w14:paraId="0FF4C41E" w14:textId="22A9594C" w:rsidR="00A364B9" w:rsidRPr="001F26AD" w:rsidRDefault="00F5058B" w:rsidP="005D2CC4">
      <w:pPr>
        <w:spacing w:after="0" w:line="276" w:lineRule="auto"/>
        <w:jc w:val="center"/>
        <w:rPr>
          <w:rFonts w:ascii="Times New Roman" w:hAnsi="Times New Roman" w:cs="Times New Roman"/>
          <w:b/>
          <w:lang w:val="en-US"/>
        </w:rPr>
      </w:pPr>
      <w:r w:rsidRPr="001F26AD">
        <w:rPr>
          <w:rFonts w:ascii="Times New Roman" w:hAnsi="Times New Roman" w:cs="Times New Roman"/>
          <w:b/>
          <w:lang w:bidi="cs-CZ"/>
        </w:rPr>
        <w:lastRenderedPageBreak/>
        <w:t>PŘÍBALOVÁ INFORMACE</w:t>
      </w:r>
      <w:r w:rsidR="00951C32">
        <w:rPr>
          <w:rFonts w:ascii="Times New Roman" w:hAnsi="Times New Roman" w:cs="Times New Roman"/>
          <w:b/>
          <w:lang w:bidi="cs-CZ"/>
        </w:rPr>
        <w:t xml:space="preserve"> PRO</w:t>
      </w:r>
    </w:p>
    <w:p w14:paraId="50BD5891" w14:textId="77777777" w:rsidR="00A344AA" w:rsidRPr="001F26AD" w:rsidRDefault="00A344AA" w:rsidP="005D2CC4">
      <w:pPr>
        <w:spacing w:after="0" w:line="276" w:lineRule="auto"/>
        <w:jc w:val="center"/>
        <w:rPr>
          <w:rFonts w:ascii="Times New Roman" w:eastAsiaTheme="minorEastAsia" w:hAnsi="Times New Roman" w:cs="Times New Roman"/>
          <w:lang w:val="en-US"/>
        </w:rPr>
      </w:pPr>
    </w:p>
    <w:p w14:paraId="59EDC875" w14:textId="62305786" w:rsidR="0049768D" w:rsidRPr="001F26AD" w:rsidRDefault="0049768D" w:rsidP="00EE09CD">
      <w:pPr>
        <w:spacing w:after="0" w:line="276" w:lineRule="auto"/>
        <w:contextualSpacing/>
        <w:jc w:val="center"/>
        <w:rPr>
          <w:rFonts w:ascii="Times New Roman" w:eastAsiaTheme="minorEastAsia" w:hAnsi="Times New Roman" w:cs="Times New Roman"/>
          <w:b/>
          <w:lang w:val="en-US"/>
        </w:rPr>
      </w:pPr>
      <w:r w:rsidRPr="001F26AD">
        <w:rPr>
          <w:rFonts w:ascii="Times New Roman" w:hAnsi="Times New Roman" w:cs="Times New Roman"/>
          <w:b/>
          <w:lang w:bidi="cs-CZ"/>
        </w:rPr>
        <w:t xml:space="preserve">SEMELCEF 200 mg tablety pro psy a kočky </w:t>
      </w:r>
    </w:p>
    <w:p w14:paraId="50508423" w14:textId="77777777" w:rsidR="00E5741B" w:rsidRPr="001F26AD" w:rsidRDefault="00E5741B">
      <w:pPr>
        <w:spacing w:after="0" w:line="276" w:lineRule="auto"/>
        <w:ind w:left="426" w:firstLine="11"/>
        <w:jc w:val="center"/>
        <w:rPr>
          <w:rFonts w:ascii="Times New Roman" w:eastAsiaTheme="minorEastAsia" w:hAnsi="Times New Roman" w:cs="Times New Roman"/>
          <w:lang w:val="en-US"/>
        </w:rPr>
      </w:pPr>
    </w:p>
    <w:p w14:paraId="07F72740" w14:textId="53C974B3" w:rsidR="005D2CC4" w:rsidRPr="001F26AD" w:rsidRDefault="00A364B9" w:rsidP="00041F0D">
      <w:pPr>
        <w:pStyle w:val="Nadpis1"/>
        <w:spacing w:before="0" w:line="240" w:lineRule="auto"/>
        <w:ind w:left="426"/>
        <w:jc w:val="both"/>
        <w:rPr>
          <w:rFonts w:ascii="Times New Roman" w:hAnsi="Times New Roman" w:cs="Times New Roman"/>
          <w:sz w:val="22"/>
          <w:szCs w:val="22"/>
          <w:lang w:val="en-US"/>
        </w:rPr>
      </w:pPr>
      <w:r w:rsidRPr="001F26AD">
        <w:rPr>
          <w:rFonts w:ascii="Times New Roman" w:hAnsi="Times New Roman" w:cs="Times New Roman"/>
          <w:color w:val="auto"/>
          <w:sz w:val="22"/>
          <w:szCs w:val="22"/>
          <w:lang w:bidi="cs-CZ"/>
        </w:rPr>
        <w:t xml:space="preserve">JMÉNO A ADRESA DRŽITELE ROZHODNUTÍ O REGISTRACI A DRŽITELE </w:t>
      </w:r>
      <w:r w:rsidR="00E7695C" w:rsidRPr="001F26AD">
        <w:rPr>
          <w:rFonts w:ascii="Times New Roman" w:hAnsi="Times New Roman" w:cs="Times New Roman"/>
          <w:color w:val="auto"/>
          <w:sz w:val="22"/>
          <w:szCs w:val="22"/>
          <w:lang w:bidi="cs-CZ"/>
        </w:rPr>
        <w:t xml:space="preserve">POVOLENÍ K </w:t>
      </w:r>
      <w:r w:rsidRPr="001F26AD">
        <w:rPr>
          <w:rFonts w:ascii="Times New Roman" w:hAnsi="Times New Roman" w:cs="Times New Roman"/>
          <w:color w:val="auto"/>
          <w:sz w:val="22"/>
          <w:szCs w:val="22"/>
          <w:lang w:bidi="cs-CZ"/>
        </w:rPr>
        <w:t>VÝROBĚ, ODPOVĚDNÉHO ZA UVOLNĚNÍ ŠARŽE, POKUD SE NESHODUJ</w:t>
      </w:r>
      <w:r w:rsidR="00041F0D" w:rsidRPr="001F26AD">
        <w:rPr>
          <w:rFonts w:ascii="Times New Roman" w:hAnsi="Times New Roman" w:cs="Times New Roman"/>
          <w:color w:val="auto"/>
          <w:sz w:val="22"/>
          <w:szCs w:val="22"/>
          <w:lang w:bidi="cs-CZ"/>
        </w:rPr>
        <w:t>E</w:t>
      </w:r>
    </w:p>
    <w:p w14:paraId="3BD9CCF5" w14:textId="77777777" w:rsidR="000C6499" w:rsidRPr="001F26AD" w:rsidRDefault="000C6499" w:rsidP="00071372">
      <w:pPr>
        <w:spacing w:after="0"/>
        <w:rPr>
          <w:rFonts w:ascii="Times New Roman" w:hAnsi="Times New Roman" w:cs="Times New Roman"/>
          <w:lang w:val="en-US"/>
        </w:rPr>
      </w:pPr>
    </w:p>
    <w:p w14:paraId="29BB484C" w14:textId="2F8F17A7" w:rsidR="00041F0D" w:rsidRPr="001F26AD" w:rsidRDefault="00041F0D" w:rsidP="00041F0D">
      <w:pPr>
        <w:spacing w:after="0" w:line="276" w:lineRule="auto"/>
        <w:ind w:left="426"/>
        <w:rPr>
          <w:rFonts w:ascii="Times New Roman" w:hAnsi="Times New Roman" w:cs="Times New Roman"/>
          <w:bCs/>
          <w:iCs/>
          <w:u w:val="single"/>
          <w:lang w:bidi="cs-CZ"/>
        </w:rPr>
      </w:pPr>
      <w:r w:rsidRPr="001F26AD">
        <w:rPr>
          <w:rFonts w:ascii="Times New Roman" w:hAnsi="Times New Roman" w:cs="Times New Roman"/>
          <w:bCs/>
          <w:iCs/>
          <w:u w:val="single"/>
          <w:lang w:bidi="cs-CZ"/>
        </w:rPr>
        <w:t>Držitel rozhodnutí o registraci</w:t>
      </w:r>
      <w:r w:rsidR="008279FE" w:rsidRPr="001F26AD">
        <w:rPr>
          <w:rFonts w:ascii="Times New Roman" w:hAnsi="Times New Roman" w:cs="Times New Roman"/>
          <w:bCs/>
          <w:iCs/>
          <w:u w:val="single"/>
          <w:lang w:bidi="cs-CZ"/>
        </w:rPr>
        <w:t>:</w:t>
      </w:r>
      <w:r w:rsidRPr="001F26AD">
        <w:rPr>
          <w:rFonts w:ascii="Times New Roman" w:hAnsi="Times New Roman" w:cs="Times New Roman"/>
          <w:bCs/>
          <w:iCs/>
          <w:u w:val="single"/>
          <w:lang w:bidi="cs-CZ"/>
        </w:rPr>
        <w:t xml:space="preserve"> </w:t>
      </w:r>
    </w:p>
    <w:p w14:paraId="023B5D0B" w14:textId="0C147068" w:rsidR="00167A30" w:rsidRPr="001F26AD" w:rsidRDefault="00167A30" w:rsidP="00041F0D">
      <w:pPr>
        <w:spacing w:after="0" w:line="276" w:lineRule="auto"/>
        <w:ind w:left="426"/>
        <w:rPr>
          <w:rFonts w:ascii="Times New Roman" w:eastAsiaTheme="minorEastAsia" w:hAnsi="Times New Roman" w:cs="Times New Roman"/>
          <w:bCs/>
          <w:lang w:val="it-IT"/>
        </w:rPr>
      </w:pPr>
      <w:r w:rsidRPr="001F26AD">
        <w:rPr>
          <w:rFonts w:ascii="Times New Roman" w:hAnsi="Times New Roman" w:cs="Times New Roman"/>
          <w:bCs/>
          <w:lang w:bidi="cs-CZ"/>
        </w:rPr>
        <w:t xml:space="preserve">SUPPORT PHARMA, </w:t>
      </w:r>
      <w:proofErr w:type="gramStart"/>
      <w:r w:rsidRPr="001F26AD">
        <w:rPr>
          <w:rFonts w:ascii="Times New Roman" w:hAnsi="Times New Roman" w:cs="Times New Roman"/>
          <w:bCs/>
          <w:lang w:bidi="cs-CZ"/>
        </w:rPr>
        <w:t>S.L.</w:t>
      </w:r>
      <w:proofErr w:type="gramEnd"/>
      <w:r w:rsidRPr="001F26AD">
        <w:rPr>
          <w:rFonts w:ascii="Times New Roman" w:hAnsi="Times New Roman" w:cs="Times New Roman"/>
          <w:bCs/>
          <w:lang w:bidi="cs-CZ"/>
        </w:rPr>
        <w:t xml:space="preserve">, General </w:t>
      </w:r>
      <w:proofErr w:type="spellStart"/>
      <w:r w:rsidRPr="001F26AD">
        <w:rPr>
          <w:rFonts w:ascii="Times New Roman" w:hAnsi="Times New Roman" w:cs="Times New Roman"/>
          <w:bCs/>
          <w:lang w:bidi="cs-CZ"/>
        </w:rPr>
        <w:t>Alvarez</w:t>
      </w:r>
      <w:proofErr w:type="spellEnd"/>
      <w:r w:rsidRPr="001F26AD">
        <w:rPr>
          <w:rFonts w:ascii="Times New Roman" w:hAnsi="Times New Roman" w:cs="Times New Roman"/>
          <w:bCs/>
          <w:lang w:bidi="cs-CZ"/>
        </w:rPr>
        <w:t xml:space="preserve"> de Castro</w:t>
      </w:r>
      <w:r w:rsidR="0089358B" w:rsidRPr="001F26AD">
        <w:rPr>
          <w:rFonts w:ascii="Times New Roman" w:hAnsi="Times New Roman" w:cs="Times New Roman"/>
          <w:bCs/>
          <w:lang w:bidi="cs-CZ"/>
        </w:rPr>
        <w:t>,</w:t>
      </w:r>
      <w:r w:rsidRPr="001F26AD">
        <w:rPr>
          <w:rFonts w:ascii="Times New Roman" w:hAnsi="Times New Roman" w:cs="Times New Roman"/>
          <w:bCs/>
          <w:lang w:bidi="cs-CZ"/>
        </w:rPr>
        <w:t xml:space="preserve"> 39</w:t>
      </w:r>
      <w:r w:rsidR="0089358B" w:rsidRPr="001F26AD">
        <w:rPr>
          <w:rFonts w:ascii="Times New Roman" w:hAnsi="Times New Roman" w:cs="Times New Roman"/>
          <w:bCs/>
          <w:lang w:bidi="cs-CZ"/>
        </w:rPr>
        <w:t xml:space="preserve"> -</w:t>
      </w:r>
      <w:r w:rsidRPr="001F26AD">
        <w:rPr>
          <w:rFonts w:ascii="Times New Roman" w:hAnsi="Times New Roman" w:cs="Times New Roman"/>
          <w:bCs/>
          <w:lang w:bidi="cs-CZ"/>
        </w:rPr>
        <w:t xml:space="preserve"> 28010 Madrid, </w:t>
      </w:r>
      <w:r w:rsidR="008279FE" w:rsidRPr="001F26AD">
        <w:rPr>
          <w:rFonts w:ascii="Times New Roman" w:hAnsi="Times New Roman" w:cs="Times New Roman"/>
          <w:bCs/>
          <w:lang w:bidi="cs-CZ"/>
        </w:rPr>
        <w:t>Španělsko</w:t>
      </w:r>
      <w:r w:rsidR="00F5058B" w:rsidRPr="001F26AD">
        <w:rPr>
          <w:rFonts w:ascii="Times New Roman" w:hAnsi="Times New Roman" w:cs="Times New Roman"/>
          <w:bCs/>
          <w:lang w:bidi="cs-CZ"/>
        </w:rPr>
        <w:t>.</w:t>
      </w:r>
    </w:p>
    <w:p w14:paraId="31E0BB7E" w14:textId="77777777" w:rsidR="00892BE5" w:rsidRPr="001F26AD" w:rsidRDefault="00892BE5">
      <w:pPr>
        <w:spacing w:after="0" w:line="276" w:lineRule="auto"/>
        <w:ind w:firstLine="426"/>
        <w:rPr>
          <w:rFonts w:ascii="Times New Roman" w:eastAsiaTheme="minorEastAsia" w:hAnsi="Times New Roman" w:cs="Times New Roman"/>
          <w:u w:val="single"/>
          <w:lang w:val="it-IT"/>
        </w:rPr>
      </w:pPr>
    </w:p>
    <w:p w14:paraId="20186415" w14:textId="6ECF8536" w:rsidR="004B5503" w:rsidRPr="001F26AD" w:rsidRDefault="004B5503">
      <w:pPr>
        <w:spacing w:after="0" w:line="276" w:lineRule="auto"/>
        <w:ind w:firstLine="426"/>
        <w:rPr>
          <w:rFonts w:ascii="Times New Roman" w:eastAsiaTheme="minorEastAsia" w:hAnsi="Times New Roman" w:cs="Times New Roman"/>
          <w:u w:val="single"/>
          <w:lang w:val="it-IT"/>
        </w:rPr>
      </w:pPr>
      <w:r w:rsidRPr="001F26AD">
        <w:rPr>
          <w:rFonts w:ascii="Times New Roman" w:hAnsi="Times New Roman" w:cs="Times New Roman"/>
          <w:u w:val="single"/>
          <w:lang w:bidi="cs-CZ"/>
        </w:rPr>
        <w:t>Výrobce odpovědný za uvolnění šarže:</w:t>
      </w:r>
    </w:p>
    <w:p w14:paraId="316F818D" w14:textId="76A19D2E" w:rsidR="004B5503" w:rsidRPr="001F26AD" w:rsidRDefault="004B5503">
      <w:pPr>
        <w:spacing w:after="0" w:line="276" w:lineRule="auto"/>
        <w:ind w:firstLine="426"/>
        <w:rPr>
          <w:rFonts w:ascii="Times New Roman" w:eastAsiaTheme="minorEastAsia" w:hAnsi="Times New Roman" w:cs="Times New Roman"/>
        </w:rPr>
      </w:pPr>
      <w:r w:rsidRPr="001F26AD">
        <w:rPr>
          <w:rFonts w:ascii="Times New Roman" w:hAnsi="Times New Roman" w:cs="Times New Roman"/>
          <w:lang w:bidi="cs-CZ"/>
        </w:rPr>
        <w:t xml:space="preserve">FATRO </w:t>
      </w:r>
      <w:proofErr w:type="spellStart"/>
      <w:r w:rsidRPr="001F26AD">
        <w:rPr>
          <w:rFonts w:ascii="Times New Roman" w:hAnsi="Times New Roman" w:cs="Times New Roman"/>
          <w:lang w:bidi="cs-CZ"/>
        </w:rPr>
        <w:t>S.p.A</w:t>
      </w:r>
      <w:proofErr w:type="spellEnd"/>
      <w:r w:rsidRPr="001F26AD">
        <w:rPr>
          <w:rFonts w:ascii="Times New Roman" w:hAnsi="Times New Roman" w:cs="Times New Roman"/>
          <w:lang w:bidi="cs-CZ"/>
        </w:rPr>
        <w:t>.</w:t>
      </w:r>
      <w:r w:rsidR="0089358B" w:rsidRPr="001F26AD">
        <w:rPr>
          <w:rFonts w:ascii="Times New Roman" w:hAnsi="Times New Roman" w:cs="Times New Roman"/>
          <w:lang w:bidi="cs-CZ"/>
        </w:rPr>
        <w:t xml:space="preserve"> -</w:t>
      </w:r>
      <w:r w:rsidRPr="001F26AD">
        <w:rPr>
          <w:rFonts w:ascii="Times New Roman" w:hAnsi="Times New Roman" w:cs="Times New Roman"/>
          <w:lang w:bidi="cs-CZ"/>
        </w:rPr>
        <w:t xml:space="preserve"> Via </w:t>
      </w:r>
      <w:proofErr w:type="gramStart"/>
      <w:r w:rsidRPr="001F26AD">
        <w:rPr>
          <w:rFonts w:ascii="Times New Roman" w:hAnsi="Times New Roman" w:cs="Times New Roman"/>
          <w:lang w:bidi="cs-CZ"/>
        </w:rPr>
        <w:t>Emilia</w:t>
      </w:r>
      <w:proofErr w:type="gramEnd"/>
      <w:r w:rsidR="0089358B" w:rsidRPr="001F26AD">
        <w:rPr>
          <w:rFonts w:ascii="Times New Roman" w:hAnsi="Times New Roman" w:cs="Times New Roman"/>
          <w:lang w:bidi="cs-CZ"/>
        </w:rPr>
        <w:t>,</w:t>
      </w:r>
      <w:r w:rsidRPr="001F26AD">
        <w:rPr>
          <w:rFonts w:ascii="Times New Roman" w:hAnsi="Times New Roman" w:cs="Times New Roman"/>
          <w:lang w:bidi="cs-CZ"/>
        </w:rPr>
        <w:t xml:space="preserve"> 285</w:t>
      </w:r>
      <w:r w:rsidR="0089358B" w:rsidRPr="001F26AD">
        <w:rPr>
          <w:rFonts w:ascii="Times New Roman" w:hAnsi="Times New Roman" w:cs="Times New Roman"/>
          <w:lang w:bidi="cs-CZ"/>
        </w:rPr>
        <w:t xml:space="preserve"> -</w:t>
      </w:r>
      <w:r w:rsidR="008279FE" w:rsidRPr="001F26AD">
        <w:rPr>
          <w:rFonts w:ascii="Times New Roman" w:hAnsi="Times New Roman" w:cs="Times New Roman"/>
          <w:lang w:bidi="cs-CZ"/>
        </w:rPr>
        <w:t xml:space="preserve"> </w:t>
      </w:r>
      <w:proofErr w:type="spellStart"/>
      <w:r w:rsidRPr="001F26AD">
        <w:rPr>
          <w:rFonts w:ascii="Times New Roman" w:hAnsi="Times New Roman" w:cs="Times New Roman"/>
          <w:lang w:bidi="cs-CZ"/>
        </w:rPr>
        <w:t>Ozzano</w:t>
      </w:r>
      <w:proofErr w:type="spellEnd"/>
      <w:r w:rsidRPr="001F26AD">
        <w:rPr>
          <w:rFonts w:ascii="Times New Roman" w:hAnsi="Times New Roman" w:cs="Times New Roman"/>
          <w:lang w:bidi="cs-CZ"/>
        </w:rPr>
        <w:t xml:space="preserve"> Emilia (BO), </w:t>
      </w:r>
      <w:r w:rsidR="008279FE" w:rsidRPr="001F26AD">
        <w:rPr>
          <w:rFonts w:ascii="Times New Roman" w:hAnsi="Times New Roman" w:cs="Times New Roman"/>
          <w:lang w:bidi="cs-CZ"/>
        </w:rPr>
        <w:t>Itálie</w:t>
      </w:r>
      <w:r w:rsidR="00F5058B" w:rsidRPr="001F26AD">
        <w:rPr>
          <w:rFonts w:ascii="Times New Roman" w:hAnsi="Times New Roman" w:cs="Times New Roman"/>
          <w:lang w:bidi="cs-CZ"/>
        </w:rPr>
        <w:t>.</w:t>
      </w:r>
    </w:p>
    <w:p w14:paraId="3593CBF4" w14:textId="77777777" w:rsidR="00892BE5" w:rsidRPr="001F26AD" w:rsidRDefault="00892BE5">
      <w:pPr>
        <w:spacing w:after="0" w:line="276" w:lineRule="auto"/>
        <w:ind w:firstLine="426"/>
        <w:rPr>
          <w:rFonts w:ascii="Times New Roman" w:eastAsiaTheme="minorEastAsia" w:hAnsi="Times New Roman" w:cs="Times New Roman"/>
        </w:rPr>
      </w:pPr>
    </w:p>
    <w:p w14:paraId="619F9C75" w14:textId="4882BEEA" w:rsidR="00A364B9" w:rsidRPr="001F26AD" w:rsidRDefault="00A364B9" w:rsidP="00071372">
      <w:pPr>
        <w:pStyle w:val="Nadpis1"/>
        <w:spacing w:before="0"/>
        <w:ind w:left="426"/>
        <w:rPr>
          <w:rFonts w:ascii="Times New Roman" w:hAnsi="Times New Roman" w:cs="Times New Roman"/>
          <w:b w:val="0"/>
          <w:bCs w:val="0"/>
          <w:sz w:val="22"/>
          <w:szCs w:val="22"/>
          <w:lang w:val="en-US"/>
        </w:rPr>
      </w:pPr>
      <w:r w:rsidRPr="001F26AD">
        <w:rPr>
          <w:rFonts w:ascii="Times New Roman" w:hAnsi="Times New Roman" w:cs="Times New Roman"/>
          <w:color w:val="auto"/>
          <w:sz w:val="22"/>
          <w:szCs w:val="22"/>
          <w:lang w:bidi="cs-CZ"/>
        </w:rPr>
        <w:t>NÁZEV VETERINÁRNÍHO LÉČIVÉHO PŘÍPRAVKU</w:t>
      </w:r>
    </w:p>
    <w:p w14:paraId="434215E9" w14:textId="77777777" w:rsidR="00A364B9" w:rsidRPr="001F26AD" w:rsidRDefault="00A364B9" w:rsidP="005D2CC4">
      <w:pPr>
        <w:spacing w:after="0" w:line="276" w:lineRule="auto"/>
        <w:ind w:left="709" w:firstLine="11"/>
        <w:jc w:val="both"/>
        <w:rPr>
          <w:rFonts w:ascii="Times New Roman" w:eastAsiaTheme="minorEastAsia" w:hAnsi="Times New Roman" w:cs="Times New Roman"/>
          <w:b/>
          <w:lang w:val="en-US"/>
        </w:rPr>
      </w:pPr>
    </w:p>
    <w:p w14:paraId="594F6A94" w14:textId="747E8472" w:rsidR="00A364B9" w:rsidRPr="001F26AD" w:rsidRDefault="00411DB4">
      <w:pPr>
        <w:spacing w:after="0" w:line="276" w:lineRule="auto"/>
        <w:ind w:left="426" w:firstLine="11"/>
        <w:jc w:val="both"/>
        <w:rPr>
          <w:rFonts w:ascii="Times New Roman" w:eastAsiaTheme="minorEastAsia" w:hAnsi="Times New Roman" w:cs="Times New Roman"/>
          <w:lang w:val="en-US"/>
        </w:rPr>
      </w:pPr>
      <w:r w:rsidRPr="001F26AD">
        <w:rPr>
          <w:rFonts w:ascii="Times New Roman" w:hAnsi="Times New Roman" w:cs="Times New Roman"/>
          <w:lang w:bidi="cs-CZ"/>
        </w:rPr>
        <w:t>SEMELCEF 200 mg</w:t>
      </w:r>
      <w:r w:rsidR="002A7F65" w:rsidRPr="001F26AD">
        <w:rPr>
          <w:rFonts w:ascii="Times New Roman" w:hAnsi="Times New Roman" w:cs="Times New Roman"/>
          <w:lang w:bidi="cs-CZ"/>
        </w:rPr>
        <w:t xml:space="preserve"> tablety </w:t>
      </w:r>
      <w:r w:rsidRPr="001F26AD">
        <w:rPr>
          <w:rFonts w:ascii="Times New Roman" w:hAnsi="Times New Roman" w:cs="Times New Roman"/>
          <w:lang w:bidi="cs-CZ"/>
        </w:rPr>
        <w:t>pro psy a kočky</w:t>
      </w:r>
    </w:p>
    <w:p w14:paraId="717C64CF" w14:textId="343976E2" w:rsidR="00A364B9" w:rsidRPr="001F26AD" w:rsidRDefault="005B3C3C" w:rsidP="00071372">
      <w:pPr>
        <w:spacing w:after="0" w:line="276" w:lineRule="auto"/>
        <w:ind w:left="426"/>
        <w:jc w:val="both"/>
        <w:rPr>
          <w:rFonts w:ascii="Times New Roman" w:eastAsiaTheme="minorEastAsia" w:hAnsi="Times New Roman" w:cs="Times New Roman"/>
          <w:lang w:val="en-US"/>
        </w:rPr>
      </w:pPr>
      <w:proofErr w:type="spellStart"/>
      <w:r w:rsidRPr="001F26AD">
        <w:rPr>
          <w:rFonts w:ascii="Times New Roman" w:hAnsi="Times New Roman" w:cs="Times New Roman"/>
          <w:lang w:bidi="cs-CZ"/>
        </w:rPr>
        <w:t>Cefadroxil</w:t>
      </w:r>
      <w:r w:rsidR="00B51999" w:rsidRPr="001F26AD">
        <w:rPr>
          <w:rFonts w:ascii="Times New Roman" w:hAnsi="Times New Roman" w:cs="Times New Roman"/>
          <w:lang w:bidi="cs-CZ"/>
        </w:rPr>
        <w:t>um</w:t>
      </w:r>
      <w:proofErr w:type="spellEnd"/>
      <w:r w:rsidRPr="001F26AD">
        <w:rPr>
          <w:rFonts w:ascii="Times New Roman" w:hAnsi="Times New Roman" w:cs="Times New Roman"/>
          <w:lang w:bidi="cs-CZ"/>
        </w:rPr>
        <w:t xml:space="preserve"> jako </w:t>
      </w:r>
      <w:proofErr w:type="spellStart"/>
      <w:r w:rsidR="00B51999" w:rsidRPr="001F26AD">
        <w:rPr>
          <w:rFonts w:ascii="Times New Roman" w:hAnsi="Times New Roman" w:cs="Times New Roman"/>
          <w:lang w:bidi="cs-CZ"/>
        </w:rPr>
        <w:t>cefadroxilum</w:t>
      </w:r>
      <w:proofErr w:type="spellEnd"/>
      <w:r w:rsidR="00B51999" w:rsidRPr="001F26AD">
        <w:rPr>
          <w:rFonts w:ascii="Times New Roman" w:hAnsi="Times New Roman" w:cs="Times New Roman"/>
          <w:lang w:bidi="cs-CZ"/>
        </w:rPr>
        <w:t xml:space="preserve"> </w:t>
      </w:r>
      <w:proofErr w:type="spellStart"/>
      <w:r w:rsidR="00B51999" w:rsidRPr="001F26AD">
        <w:rPr>
          <w:rFonts w:ascii="Times New Roman" w:hAnsi="Times New Roman" w:cs="Times New Roman"/>
          <w:lang w:bidi="cs-CZ"/>
        </w:rPr>
        <w:t>monohydricum</w:t>
      </w:r>
      <w:proofErr w:type="spellEnd"/>
    </w:p>
    <w:p w14:paraId="210B3CDC" w14:textId="77777777" w:rsidR="000C6499" w:rsidRPr="001F26AD" w:rsidRDefault="000C6499" w:rsidP="00071372">
      <w:pPr>
        <w:spacing w:after="0" w:line="276" w:lineRule="auto"/>
        <w:ind w:left="426"/>
        <w:jc w:val="both"/>
        <w:rPr>
          <w:rFonts w:ascii="Times New Roman" w:eastAsiaTheme="minorEastAsia" w:hAnsi="Times New Roman" w:cs="Times New Roman"/>
          <w:lang w:val="en-US"/>
        </w:rPr>
      </w:pPr>
    </w:p>
    <w:p w14:paraId="1BAF5276" w14:textId="6FF61F0A" w:rsidR="00C96FC2" w:rsidRPr="001F26AD" w:rsidRDefault="00A364B9" w:rsidP="00071372">
      <w:pPr>
        <w:pStyle w:val="Nadpis1"/>
        <w:spacing w:before="0"/>
        <w:ind w:left="426"/>
        <w:rPr>
          <w:rFonts w:ascii="Times New Roman" w:hAnsi="Times New Roman" w:cs="Times New Roman"/>
          <w:sz w:val="22"/>
          <w:szCs w:val="22"/>
          <w:lang w:val="en-US"/>
        </w:rPr>
      </w:pPr>
      <w:r w:rsidRPr="001F26AD">
        <w:rPr>
          <w:rFonts w:ascii="Times New Roman" w:hAnsi="Times New Roman" w:cs="Times New Roman"/>
          <w:color w:val="auto"/>
          <w:sz w:val="22"/>
          <w:szCs w:val="22"/>
          <w:lang w:bidi="cs-CZ"/>
        </w:rPr>
        <w:t>OBSAH LÉČIVÝCH A OSTATNÍCH LÁTEK</w:t>
      </w:r>
    </w:p>
    <w:p w14:paraId="5011BB57" w14:textId="77777777" w:rsidR="00C96FC2" w:rsidRPr="001F26AD" w:rsidRDefault="00C96FC2" w:rsidP="00071372">
      <w:pPr>
        <w:spacing w:after="0"/>
        <w:rPr>
          <w:rFonts w:ascii="Times New Roman" w:hAnsi="Times New Roman" w:cs="Times New Roman"/>
          <w:lang w:val="en-US"/>
        </w:rPr>
      </w:pPr>
    </w:p>
    <w:p w14:paraId="22210BE5" w14:textId="77777777" w:rsidR="00FA05A0" w:rsidRPr="001F26AD" w:rsidRDefault="00FA05A0" w:rsidP="0060724B">
      <w:pPr>
        <w:spacing w:after="0" w:line="278" w:lineRule="exact"/>
        <w:ind w:left="426"/>
        <w:jc w:val="both"/>
        <w:textAlignment w:val="baseline"/>
        <w:rPr>
          <w:rFonts w:ascii="Times New Roman" w:eastAsia="Times New Roman" w:hAnsi="Times New Roman" w:cs="Times New Roman"/>
          <w:color w:val="000000"/>
          <w:lang w:val="en-US"/>
        </w:rPr>
      </w:pPr>
      <w:r w:rsidRPr="001F26AD">
        <w:rPr>
          <w:rFonts w:ascii="Times New Roman" w:hAnsi="Times New Roman" w:cs="Times New Roman"/>
          <w:lang w:bidi="cs-CZ"/>
        </w:rPr>
        <w:t>Každá tableta obsahuje:</w:t>
      </w:r>
    </w:p>
    <w:p w14:paraId="74B3E68D" w14:textId="2A365557" w:rsidR="00BF3D98" w:rsidRPr="001F26AD" w:rsidRDefault="00041F0D" w:rsidP="00041F0D">
      <w:pPr>
        <w:spacing w:after="0" w:line="278" w:lineRule="exact"/>
        <w:ind w:left="426"/>
        <w:jc w:val="both"/>
        <w:textAlignment w:val="baseline"/>
        <w:rPr>
          <w:rFonts w:ascii="Times New Roman" w:eastAsia="Times New Roman" w:hAnsi="Times New Roman" w:cs="Times New Roman"/>
          <w:b/>
          <w:color w:val="000000"/>
          <w:lang w:val="en-US"/>
        </w:rPr>
      </w:pPr>
      <w:r w:rsidRPr="001F26AD">
        <w:rPr>
          <w:rFonts w:ascii="Times New Roman" w:hAnsi="Times New Roman" w:cs="Times New Roman"/>
          <w:b/>
          <w:lang w:bidi="cs-CZ"/>
        </w:rPr>
        <w:t>Léčivá</w:t>
      </w:r>
      <w:r w:rsidRPr="001F26AD" w:rsidDel="00041F0D">
        <w:rPr>
          <w:rFonts w:ascii="Times New Roman" w:hAnsi="Times New Roman" w:cs="Times New Roman"/>
          <w:b/>
          <w:lang w:bidi="cs-CZ"/>
        </w:rPr>
        <w:t xml:space="preserve"> </w:t>
      </w:r>
      <w:r w:rsidR="00FA05A0" w:rsidRPr="001F26AD">
        <w:rPr>
          <w:rFonts w:ascii="Times New Roman" w:hAnsi="Times New Roman" w:cs="Times New Roman"/>
          <w:b/>
          <w:lang w:bidi="cs-CZ"/>
        </w:rPr>
        <w:t xml:space="preserve">látka: </w:t>
      </w:r>
    </w:p>
    <w:p w14:paraId="6C0BD4CC" w14:textId="6FED62A7" w:rsidR="00AB4F60" w:rsidRPr="001F26AD" w:rsidRDefault="00FA05A0" w:rsidP="00C36C1E">
      <w:pPr>
        <w:spacing w:after="0" w:line="278" w:lineRule="exact"/>
        <w:ind w:left="426"/>
        <w:jc w:val="both"/>
        <w:textAlignment w:val="baseline"/>
        <w:rPr>
          <w:rFonts w:ascii="Times New Roman" w:eastAsiaTheme="minorEastAsia" w:hAnsi="Times New Roman" w:cs="Times New Roman"/>
          <w:b/>
          <w:lang w:val="en-US"/>
        </w:rPr>
      </w:pPr>
      <w:proofErr w:type="spellStart"/>
      <w:r w:rsidRPr="001F26AD">
        <w:rPr>
          <w:rFonts w:ascii="Times New Roman" w:hAnsi="Times New Roman" w:cs="Times New Roman"/>
          <w:lang w:bidi="cs-CZ"/>
        </w:rPr>
        <w:t>Cefadroxil</w:t>
      </w:r>
      <w:r w:rsidR="00B51999" w:rsidRPr="001F26AD">
        <w:rPr>
          <w:rFonts w:ascii="Times New Roman" w:hAnsi="Times New Roman" w:cs="Times New Roman"/>
          <w:lang w:bidi="cs-CZ"/>
        </w:rPr>
        <w:t>um</w:t>
      </w:r>
      <w:proofErr w:type="spellEnd"/>
      <w:r w:rsidRPr="001F26AD">
        <w:rPr>
          <w:rFonts w:ascii="Times New Roman" w:hAnsi="Times New Roman" w:cs="Times New Roman"/>
          <w:lang w:bidi="cs-CZ"/>
        </w:rPr>
        <w:t xml:space="preserve"> 200 mg</w:t>
      </w:r>
      <w:r w:rsidR="00C36C1E" w:rsidRPr="001F26AD">
        <w:rPr>
          <w:rFonts w:ascii="Times New Roman" w:hAnsi="Times New Roman" w:cs="Times New Roman"/>
          <w:lang w:bidi="cs-CZ"/>
        </w:rPr>
        <w:t xml:space="preserve"> </w:t>
      </w:r>
      <w:r w:rsidR="00CC75A2" w:rsidRPr="001F26AD">
        <w:rPr>
          <w:rFonts w:ascii="Times New Roman" w:hAnsi="Times New Roman" w:cs="Times New Roman"/>
          <w:lang w:bidi="cs-CZ"/>
        </w:rPr>
        <w:t>(</w:t>
      </w:r>
      <w:r w:rsidR="00B51999" w:rsidRPr="001F26AD">
        <w:rPr>
          <w:rFonts w:ascii="Times New Roman" w:hAnsi="Times New Roman" w:cs="Times New Roman"/>
          <w:lang w:bidi="cs-CZ"/>
        </w:rPr>
        <w:t xml:space="preserve">odpovídá </w:t>
      </w:r>
      <w:proofErr w:type="spellStart"/>
      <w:r w:rsidR="00CC75A2" w:rsidRPr="001F26AD">
        <w:rPr>
          <w:rFonts w:ascii="Times New Roman" w:hAnsi="Times New Roman" w:cs="Times New Roman"/>
          <w:lang w:bidi="cs-CZ"/>
        </w:rPr>
        <w:t>C</w:t>
      </w:r>
      <w:r w:rsidRPr="001F26AD">
        <w:rPr>
          <w:rFonts w:ascii="Times New Roman" w:hAnsi="Times New Roman" w:cs="Times New Roman"/>
          <w:lang w:bidi="cs-CZ"/>
        </w:rPr>
        <w:t>efadroxil</w:t>
      </w:r>
      <w:r w:rsidR="00B51999" w:rsidRPr="001F26AD">
        <w:rPr>
          <w:rFonts w:ascii="Times New Roman" w:hAnsi="Times New Roman" w:cs="Times New Roman"/>
          <w:lang w:bidi="cs-CZ"/>
        </w:rPr>
        <w:t>um</w:t>
      </w:r>
      <w:proofErr w:type="spellEnd"/>
      <w:r w:rsidRPr="001F26AD">
        <w:rPr>
          <w:rFonts w:ascii="Times New Roman" w:hAnsi="Times New Roman" w:cs="Times New Roman"/>
          <w:lang w:bidi="cs-CZ"/>
        </w:rPr>
        <w:t xml:space="preserve"> </w:t>
      </w:r>
      <w:proofErr w:type="spellStart"/>
      <w:r w:rsidR="00B51999" w:rsidRPr="001F26AD">
        <w:rPr>
          <w:rFonts w:ascii="Times New Roman" w:hAnsi="Times New Roman" w:cs="Times New Roman"/>
          <w:lang w:bidi="cs-CZ"/>
        </w:rPr>
        <w:t>monohydricum</w:t>
      </w:r>
      <w:proofErr w:type="spellEnd"/>
      <w:r w:rsidR="00B51999" w:rsidRPr="001F26AD">
        <w:rPr>
          <w:rFonts w:ascii="Times New Roman" w:hAnsi="Times New Roman" w:cs="Times New Roman"/>
          <w:lang w:bidi="cs-CZ"/>
        </w:rPr>
        <w:t xml:space="preserve"> </w:t>
      </w:r>
      <w:r w:rsidR="00C36C1E" w:rsidRPr="001F26AD">
        <w:rPr>
          <w:rFonts w:ascii="Times New Roman" w:hAnsi="Times New Roman" w:cs="Times New Roman"/>
          <w:lang w:bidi="cs-CZ"/>
        </w:rPr>
        <w:t>210 mg</w:t>
      </w:r>
      <w:r w:rsidR="005708AF" w:rsidRPr="001F26AD">
        <w:rPr>
          <w:rFonts w:ascii="Times New Roman" w:hAnsi="Times New Roman" w:cs="Times New Roman"/>
          <w:lang w:bidi="cs-CZ"/>
        </w:rPr>
        <w:t>)</w:t>
      </w:r>
      <w:r w:rsidR="00C36C1E" w:rsidRPr="001F26AD">
        <w:rPr>
          <w:rFonts w:ascii="Times New Roman" w:hAnsi="Times New Roman" w:cs="Times New Roman"/>
          <w:lang w:bidi="cs-CZ"/>
        </w:rPr>
        <w:t>.</w:t>
      </w:r>
      <w:r w:rsidR="005708AF" w:rsidRPr="001F26AD">
        <w:rPr>
          <w:rFonts w:ascii="Times New Roman" w:hAnsi="Times New Roman" w:cs="Times New Roman"/>
          <w:lang w:bidi="cs-CZ"/>
        </w:rPr>
        <w:t xml:space="preserve">  </w:t>
      </w:r>
    </w:p>
    <w:p w14:paraId="27992F7A" w14:textId="77777777" w:rsidR="00C36C1E" w:rsidRPr="001F26AD" w:rsidRDefault="00C36C1E" w:rsidP="0060724B">
      <w:pPr>
        <w:spacing w:after="0" w:line="276" w:lineRule="auto"/>
        <w:ind w:left="426"/>
        <w:jc w:val="both"/>
        <w:rPr>
          <w:rFonts w:ascii="Times New Roman" w:hAnsi="Times New Roman" w:cs="Times New Roman"/>
          <w:lang w:bidi="cs-CZ"/>
        </w:rPr>
      </w:pPr>
    </w:p>
    <w:p w14:paraId="0C0D85BC" w14:textId="2D0412BC" w:rsidR="00D83862" w:rsidRPr="001F26AD" w:rsidRDefault="00FA05A0" w:rsidP="0060724B">
      <w:pPr>
        <w:spacing w:after="0" w:line="276" w:lineRule="auto"/>
        <w:ind w:left="426"/>
        <w:jc w:val="both"/>
        <w:rPr>
          <w:rFonts w:ascii="Times New Roman" w:eastAsia="Times New Roman" w:hAnsi="Times New Roman" w:cs="Times New Roman"/>
        </w:rPr>
      </w:pPr>
      <w:r w:rsidRPr="001F26AD">
        <w:rPr>
          <w:rFonts w:ascii="Times New Roman" w:hAnsi="Times New Roman" w:cs="Times New Roman"/>
          <w:lang w:bidi="cs-CZ"/>
        </w:rPr>
        <w:t xml:space="preserve">Čtvercová bělavá tableta se dvěma dělicími </w:t>
      </w:r>
      <w:r w:rsidR="005708AF" w:rsidRPr="001F26AD">
        <w:rPr>
          <w:rFonts w:ascii="Times New Roman" w:hAnsi="Times New Roman" w:cs="Times New Roman"/>
          <w:lang w:bidi="cs-CZ"/>
        </w:rPr>
        <w:t>rýhami</w:t>
      </w:r>
      <w:r w:rsidRPr="001F26AD">
        <w:rPr>
          <w:rFonts w:ascii="Times New Roman" w:hAnsi="Times New Roman" w:cs="Times New Roman"/>
          <w:lang w:bidi="cs-CZ"/>
        </w:rPr>
        <w:t xml:space="preserve">. </w:t>
      </w:r>
      <w:r w:rsidR="00B51999" w:rsidRPr="001F26AD">
        <w:rPr>
          <w:rFonts w:ascii="Times New Roman" w:hAnsi="Times New Roman" w:cs="Times New Roman"/>
          <w:lang w:bidi="cs-CZ"/>
        </w:rPr>
        <w:t>Tablety lze dělit</w:t>
      </w:r>
      <w:r w:rsidRPr="001F26AD">
        <w:rPr>
          <w:rFonts w:ascii="Times New Roman" w:hAnsi="Times New Roman" w:cs="Times New Roman"/>
          <w:lang w:bidi="cs-CZ"/>
        </w:rPr>
        <w:t xml:space="preserve"> na dvě nebo čtyři stejné části.</w:t>
      </w:r>
    </w:p>
    <w:p w14:paraId="1D4F7378" w14:textId="77777777" w:rsidR="00D83862" w:rsidRPr="001F26AD" w:rsidRDefault="00D83862" w:rsidP="00FA05A0">
      <w:pPr>
        <w:spacing w:after="0" w:line="276" w:lineRule="auto"/>
        <w:ind w:firstLine="567"/>
        <w:rPr>
          <w:rFonts w:ascii="Times New Roman" w:eastAsia="Times New Roman" w:hAnsi="Times New Roman" w:cs="Times New Roman"/>
        </w:rPr>
      </w:pPr>
    </w:p>
    <w:p w14:paraId="660FCC81" w14:textId="66F885C7" w:rsidR="00A364B9" w:rsidRPr="001F26AD" w:rsidRDefault="00A364B9" w:rsidP="00071372">
      <w:pPr>
        <w:pStyle w:val="Nadpis1"/>
        <w:spacing w:before="0"/>
        <w:ind w:left="426"/>
        <w:rPr>
          <w:rFonts w:ascii="Times New Roman" w:hAnsi="Times New Roman" w:cs="Times New Roman"/>
          <w:sz w:val="22"/>
          <w:szCs w:val="22"/>
          <w:lang w:val="en-US"/>
        </w:rPr>
      </w:pPr>
      <w:r w:rsidRPr="001F26AD">
        <w:rPr>
          <w:rFonts w:ascii="Times New Roman" w:hAnsi="Times New Roman" w:cs="Times New Roman"/>
          <w:color w:val="auto"/>
          <w:sz w:val="22"/>
          <w:szCs w:val="22"/>
          <w:lang w:bidi="cs-CZ"/>
        </w:rPr>
        <w:t>INDIKACE</w:t>
      </w:r>
    </w:p>
    <w:p w14:paraId="012044EF" w14:textId="77777777" w:rsidR="00AC0CBA" w:rsidRPr="001F26AD" w:rsidRDefault="00AC0CBA" w:rsidP="002348F1">
      <w:pPr>
        <w:spacing w:after="0"/>
        <w:jc w:val="both"/>
        <w:rPr>
          <w:rFonts w:ascii="Times New Roman" w:hAnsi="Times New Roman" w:cs="Times New Roman"/>
          <w:lang w:val="en-US"/>
        </w:rPr>
      </w:pPr>
    </w:p>
    <w:p w14:paraId="56854932" w14:textId="77777777" w:rsidR="000076A5" w:rsidRPr="001F26AD" w:rsidRDefault="000076A5" w:rsidP="000076A5">
      <w:pPr>
        <w:spacing w:after="0" w:line="276" w:lineRule="auto"/>
        <w:ind w:left="426"/>
        <w:jc w:val="both"/>
        <w:rPr>
          <w:rFonts w:ascii="Times New Roman" w:eastAsiaTheme="minorEastAsia" w:hAnsi="Times New Roman" w:cs="Times New Roman"/>
          <w:lang w:val="en-GB"/>
        </w:rPr>
      </w:pPr>
      <w:r w:rsidRPr="001F26AD">
        <w:rPr>
          <w:rFonts w:ascii="Times New Roman" w:hAnsi="Times New Roman" w:cs="Times New Roman"/>
          <w:lang w:bidi="cs-CZ"/>
        </w:rPr>
        <w:t>Léčba následujících infekcí u psů a koček:</w:t>
      </w:r>
    </w:p>
    <w:p w14:paraId="5255DE5A" w14:textId="4DEBA5DA" w:rsidR="000076A5" w:rsidRPr="001F26AD" w:rsidRDefault="00C73C0A" w:rsidP="000076A5">
      <w:pPr>
        <w:numPr>
          <w:ilvl w:val="0"/>
          <w:numId w:val="15"/>
        </w:numPr>
        <w:spacing w:after="0" w:line="276" w:lineRule="auto"/>
        <w:jc w:val="both"/>
        <w:rPr>
          <w:rFonts w:ascii="Times New Roman" w:eastAsiaTheme="minorEastAsia" w:hAnsi="Times New Roman" w:cs="Times New Roman"/>
          <w:i/>
          <w:lang w:val="en-GB"/>
        </w:rPr>
      </w:pPr>
      <w:r w:rsidRPr="001F26AD">
        <w:rPr>
          <w:rFonts w:ascii="Times New Roman" w:hAnsi="Times New Roman" w:cs="Times New Roman"/>
          <w:lang w:bidi="cs-CZ"/>
        </w:rPr>
        <w:t>I</w:t>
      </w:r>
      <w:r w:rsidR="000076A5" w:rsidRPr="001F26AD">
        <w:rPr>
          <w:rFonts w:ascii="Times New Roman" w:hAnsi="Times New Roman" w:cs="Times New Roman"/>
          <w:lang w:bidi="cs-CZ"/>
        </w:rPr>
        <w:t xml:space="preserve">nfekce kůže a měkkých tkání </w:t>
      </w:r>
      <w:r w:rsidR="00575D16" w:rsidRPr="001F26AD">
        <w:rPr>
          <w:rFonts w:ascii="Times New Roman" w:hAnsi="Times New Roman" w:cs="Times New Roman"/>
          <w:lang w:bidi="cs-CZ"/>
        </w:rPr>
        <w:t xml:space="preserve">vyvolané patogeny </w:t>
      </w:r>
      <w:proofErr w:type="spellStart"/>
      <w:r w:rsidR="000076A5" w:rsidRPr="001F26AD">
        <w:rPr>
          <w:rFonts w:ascii="Times New Roman" w:hAnsi="Times New Roman" w:cs="Times New Roman"/>
          <w:i/>
          <w:lang w:bidi="cs-CZ"/>
        </w:rPr>
        <w:t>Staphylococcus</w:t>
      </w:r>
      <w:proofErr w:type="spellEnd"/>
      <w:r w:rsidR="000076A5" w:rsidRPr="001F26AD">
        <w:rPr>
          <w:rFonts w:ascii="Times New Roman" w:hAnsi="Times New Roman" w:cs="Times New Roman"/>
          <w:lang w:bidi="cs-CZ"/>
        </w:rPr>
        <w:t xml:space="preserve"> </w:t>
      </w:r>
      <w:proofErr w:type="spellStart"/>
      <w:r w:rsidR="005708AF" w:rsidRPr="001F26AD">
        <w:rPr>
          <w:rFonts w:ascii="Times New Roman" w:hAnsi="Times New Roman" w:cs="Times New Roman"/>
          <w:lang w:bidi="cs-CZ"/>
        </w:rPr>
        <w:t>spp</w:t>
      </w:r>
      <w:proofErr w:type="spellEnd"/>
      <w:r w:rsidR="005708AF" w:rsidRPr="001F26AD">
        <w:rPr>
          <w:rFonts w:ascii="Times New Roman" w:hAnsi="Times New Roman" w:cs="Times New Roman"/>
          <w:lang w:bidi="cs-CZ"/>
        </w:rPr>
        <w:t xml:space="preserve">. </w:t>
      </w:r>
      <w:r w:rsidR="000076A5" w:rsidRPr="001F26AD">
        <w:rPr>
          <w:rFonts w:ascii="Times New Roman" w:hAnsi="Times New Roman" w:cs="Times New Roman"/>
          <w:lang w:bidi="cs-CZ"/>
        </w:rPr>
        <w:t xml:space="preserve">a </w:t>
      </w:r>
      <w:r w:rsidR="000076A5" w:rsidRPr="001F26AD">
        <w:rPr>
          <w:rFonts w:ascii="Times New Roman" w:hAnsi="Times New Roman" w:cs="Times New Roman"/>
          <w:i/>
          <w:lang w:bidi="cs-CZ"/>
        </w:rPr>
        <w:t>Streptococcus</w:t>
      </w:r>
      <w:r w:rsidR="005708AF" w:rsidRPr="001F26AD">
        <w:rPr>
          <w:rFonts w:ascii="Times New Roman" w:hAnsi="Times New Roman" w:cs="Times New Roman"/>
          <w:i/>
          <w:lang w:bidi="cs-CZ"/>
        </w:rPr>
        <w:t xml:space="preserve"> </w:t>
      </w:r>
      <w:r w:rsidR="005708AF" w:rsidRPr="001F26AD">
        <w:rPr>
          <w:rFonts w:ascii="Times New Roman" w:hAnsi="Times New Roman" w:cs="Times New Roman"/>
          <w:lang w:bidi="cs-CZ"/>
        </w:rPr>
        <w:t>spp.</w:t>
      </w:r>
      <w:r w:rsidR="000076A5" w:rsidRPr="001F26AD">
        <w:rPr>
          <w:rFonts w:ascii="Times New Roman" w:hAnsi="Times New Roman" w:cs="Times New Roman"/>
          <w:lang w:bidi="cs-CZ"/>
        </w:rPr>
        <w:t xml:space="preserve"> (pyodermie, rány, abscesy) citlivými </w:t>
      </w:r>
      <w:r w:rsidR="00575D16" w:rsidRPr="001F26AD">
        <w:rPr>
          <w:rFonts w:ascii="Times New Roman" w:hAnsi="Times New Roman" w:cs="Times New Roman"/>
          <w:lang w:bidi="cs-CZ"/>
        </w:rPr>
        <w:t xml:space="preserve">k </w:t>
      </w:r>
      <w:proofErr w:type="spellStart"/>
      <w:r w:rsidR="000076A5" w:rsidRPr="001F26AD">
        <w:rPr>
          <w:rFonts w:ascii="Times New Roman" w:hAnsi="Times New Roman" w:cs="Times New Roman"/>
          <w:lang w:bidi="cs-CZ"/>
        </w:rPr>
        <w:t>cefadroxil</w:t>
      </w:r>
      <w:r w:rsidR="00575D16" w:rsidRPr="001F26AD">
        <w:rPr>
          <w:rFonts w:ascii="Times New Roman" w:hAnsi="Times New Roman" w:cs="Times New Roman"/>
          <w:lang w:bidi="cs-CZ"/>
        </w:rPr>
        <w:t>u</w:t>
      </w:r>
      <w:proofErr w:type="spellEnd"/>
      <w:r w:rsidRPr="001F26AD">
        <w:rPr>
          <w:rFonts w:ascii="Times New Roman" w:hAnsi="Times New Roman" w:cs="Times New Roman"/>
          <w:lang w:bidi="cs-CZ"/>
        </w:rPr>
        <w:t>.</w:t>
      </w:r>
    </w:p>
    <w:p w14:paraId="433FFEB5" w14:textId="666719F9" w:rsidR="000076A5" w:rsidRPr="001F26AD" w:rsidRDefault="00C73C0A" w:rsidP="000076A5">
      <w:pPr>
        <w:numPr>
          <w:ilvl w:val="0"/>
          <w:numId w:val="15"/>
        </w:numPr>
        <w:spacing w:after="0" w:line="276" w:lineRule="auto"/>
        <w:jc w:val="both"/>
        <w:rPr>
          <w:rFonts w:ascii="Times New Roman" w:eastAsiaTheme="minorEastAsia" w:hAnsi="Times New Roman" w:cs="Times New Roman"/>
        </w:rPr>
      </w:pPr>
      <w:r w:rsidRPr="001F26AD">
        <w:rPr>
          <w:rFonts w:ascii="Times New Roman" w:hAnsi="Times New Roman" w:cs="Times New Roman"/>
          <w:lang w:val="en-GB" w:bidi="cs-CZ"/>
        </w:rPr>
        <w:t>I</w:t>
      </w:r>
      <w:proofErr w:type="spellStart"/>
      <w:r w:rsidR="000076A5" w:rsidRPr="001F26AD">
        <w:rPr>
          <w:rFonts w:ascii="Times New Roman" w:hAnsi="Times New Roman" w:cs="Times New Roman"/>
          <w:lang w:bidi="cs-CZ"/>
        </w:rPr>
        <w:t>nfekce</w:t>
      </w:r>
      <w:proofErr w:type="spellEnd"/>
      <w:r w:rsidR="000076A5" w:rsidRPr="001F26AD">
        <w:rPr>
          <w:rFonts w:ascii="Times New Roman" w:hAnsi="Times New Roman" w:cs="Times New Roman"/>
          <w:lang w:bidi="cs-CZ"/>
        </w:rPr>
        <w:t xml:space="preserve"> močových cest </w:t>
      </w:r>
      <w:r w:rsidR="00575D16" w:rsidRPr="001F26AD">
        <w:rPr>
          <w:rFonts w:ascii="Times New Roman" w:hAnsi="Times New Roman" w:cs="Times New Roman"/>
          <w:lang w:bidi="cs-CZ"/>
        </w:rPr>
        <w:t xml:space="preserve">vyvolané </w:t>
      </w:r>
      <w:r w:rsidR="000076A5" w:rsidRPr="001F26AD">
        <w:rPr>
          <w:rFonts w:ascii="Times New Roman" w:hAnsi="Times New Roman" w:cs="Times New Roman"/>
          <w:i/>
          <w:lang w:bidi="cs-CZ"/>
        </w:rPr>
        <w:t>Staphylococcus</w:t>
      </w:r>
      <w:r w:rsidR="005708AF" w:rsidRPr="001F26AD">
        <w:rPr>
          <w:rFonts w:ascii="Times New Roman" w:hAnsi="Times New Roman" w:cs="Times New Roman"/>
          <w:i/>
          <w:lang w:bidi="cs-CZ"/>
        </w:rPr>
        <w:t xml:space="preserve"> </w:t>
      </w:r>
      <w:r w:rsidR="005708AF" w:rsidRPr="001F26AD">
        <w:rPr>
          <w:rFonts w:ascii="Times New Roman" w:hAnsi="Times New Roman" w:cs="Times New Roman"/>
          <w:lang w:bidi="cs-CZ"/>
        </w:rPr>
        <w:t>spp</w:t>
      </w:r>
      <w:r w:rsidR="005708AF" w:rsidRPr="001F26AD">
        <w:rPr>
          <w:rFonts w:ascii="Times New Roman" w:hAnsi="Times New Roman" w:cs="Times New Roman"/>
          <w:i/>
          <w:lang w:bidi="cs-CZ"/>
        </w:rPr>
        <w:t>.</w:t>
      </w:r>
      <w:r w:rsidR="000076A5" w:rsidRPr="001F26AD">
        <w:rPr>
          <w:rFonts w:ascii="Times New Roman" w:hAnsi="Times New Roman" w:cs="Times New Roman"/>
          <w:i/>
          <w:lang w:bidi="cs-CZ"/>
        </w:rPr>
        <w:t xml:space="preserve">, </w:t>
      </w:r>
      <w:proofErr w:type="spellStart"/>
      <w:r w:rsidR="000076A5" w:rsidRPr="001F26AD">
        <w:rPr>
          <w:rFonts w:ascii="Times New Roman" w:hAnsi="Times New Roman" w:cs="Times New Roman"/>
          <w:i/>
          <w:lang w:bidi="cs-CZ"/>
        </w:rPr>
        <w:t>Streptococcus</w:t>
      </w:r>
      <w:proofErr w:type="spellEnd"/>
      <w:r w:rsidR="005708AF" w:rsidRPr="001F26AD">
        <w:rPr>
          <w:rFonts w:ascii="Times New Roman" w:hAnsi="Times New Roman" w:cs="Times New Roman"/>
          <w:i/>
          <w:lang w:bidi="cs-CZ"/>
        </w:rPr>
        <w:t xml:space="preserve"> </w:t>
      </w:r>
      <w:proofErr w:type="spellStart"/>
      <w:r w:rsidR="005708AF" w:rsidRPr="001F26AD">
        <w:rPr>
          <w:rFonts w:ascii="Times New Roman" w:hAnsi="Times New Roman" w:cs="Times New Roman"/>
          <w:lang w:bidi="cs-CZ"/>
        </w:rPr>
        <w:t>spp</w:t>
      </w:r>
      <w:proofErr w:type="spellEnd"/>
      <w:r w:rsidR="005708AF" w:rsidRPr="001F26AD">
        <w:rPr>
          <w:rFonts w:ascii="Times New Roman" w:hAnsi="Times New Roman" w:cs="Times New Roman"/>
          <w:i/>
          <w:lang w:bidi="cs-CZ"/>
        </w:rPr>
        <w:t>.</w:t>
      </w:r>
      <w:r w:rsidR="000076A5" w:rsidRPr="001F26AD">
        <w:rPr>
          <w:rFonts w:ascii="Times New Roman" w:hAnsi="Times New Roman" w:cs="Times New Roman"/>
          <w:i/>
          <w:lang w:bidi="cs-CZ"/>
        </w:rPr>
        <w:t>, Pr</w:t>
      </w:r>
      <w:r w:rsidR="00951C32">
        <w:rPr>
          <w:rFonts w:ascii="Times New Roman" w:hAnsi="Times New Roman" w:cs="Times New Roman"/>
          <w:i/>
          <w:lang w:bidi="cs-CZ"/>
        </w:rPr>
        <w:t>o</w:t>
      </w:r>
      <w:r w:rsidR="000076A5" w:rsidRPr="001F26AD">
        <w:rPr>
          <w:rFonts w:ascii="Times New Roman" w:hAnsi="Times New Roman" w:cs="Times New Roman"/>
          <w:i/>
          <w:lang w:bidi="cs-CZ"/>
        </w:rPr>
        <w:t xml:space="preserve">teus </w:t>
      </w:r>
      <w:proofErr w:type="spellStart"/>
      <w:r w:rsidR="000076A5" w:rsidRPr="001F26AD">
        <w:rPr>
          <w:rFonts w:ascii="Times New Roman" w:hAnsi="Times New Roman" w:cs="Times New Roman"/>
          <w:i/>
          <w:lang w:bidi="cs-CZ"/>
        </w:rPr>
        <w:t>mirabilis</w:t>
      </w:r>
      <w:proofErr w:type="spellEnd"/>
      <w:r w:rsidR="000076A5" w:rsidRPr="001F26AD">
        <w:rPr>
          <w:rFonts w:ascii="Times New Roman" w:hAnsi="Times New Roman" w:cs="Times New Roman"/>
          <w:i/>
          <w:lang w:bidi="cs-CZ"/>
        </w:rPr>
        <w:t xml:space="preserve">, </w:t>
      </w:r>
      <w:proofErr w:type="spellStart"/>
      <w:r w:rsidR="000076A5" w:rsidRPr="001F26AD">
        <w:rPr>
          <w:rFonts w:ascii="Times New Roman" w:hAnsi="Times New Roman" w:cs="Times New Roman"/>
          <w:i/>
          <w:lang w:bidi="cs-CZ"/>
        </w:rPr>
        <w:t>Escherichia</w:t>
      </w:r>
      <w:proofErr w:type="spellEnd"/>
      <w:r w:rsidR="000076A5" w:rsidRPr="001F26AD">
        <w:rPr>
          <w:rFonts w:ascii="Times New Roman" w:hAnsi="Times New Roman" w:cs="Times New Roman"/>
          <w:i/>
          <w:lang w:bidi="cs-CZ"/>
        </w:rPr>
        <w:t xml:space="preserve"> coli </w:t>
      </w:r>
      <w:r w:rsidR="000076A5" w:rsidRPr="001F26AD">
        <w:rPr>
          <w:rFonts w:ascii="Times New Roman" w:hAnsi="Times New Roman" w:cs="Times New Roman"/>
          <w:lang w:bidi="cs-CZ"/>
        </w:rPr>
        <w:t>a</w:t>
      </w:r>
      <w:r w:rsidR="000076A5" w:rsidRPr="001F26AD">
        <w:rPr>
          <w:rFonts w:ascii="Times New Roman" w:hAnsi="Times New Roman" w:cs="Times New Roman"/>
          <w:i/>
          <w:lang w:bidi="cs-CZ"/>
        </w:rPr>
        <w:t xml:space="preserve"> </w:t>
      </w:r>
      <w:proofErr w:type="spellStart"/>
      <w:r w:rsidR="000076A5" w:rsidRPr="001F26AD">
        <w:rPr>
          <w:rFonts w:ascii="Times New Roman" w:hAnsi="Times New Roman" w:cs="Times New Roman"/>
          <w:i/>
          <w:lang w:bidi="cs-CZ"/>
        </w:rPr>
        <w:t>Klebsiella</w:t>
      </w:r>
      <w:proofErr w:type="spellEnd"/>
      <w:r w:rsidR="00575D16" w:rsidRPr="001F26AD">
        <w:rPr>
          <w:rFonts w:ascii="Times New Roman" w:hAnsi="Times New Roman" w:cs="Times New Roman"/>
          <w:i/>
          <w:lang w:bidi="cs-CZ"/>
        </w:rPr>
        <w:t xml:space="preserve"> </w:t>
      </w:r>
      <w:proofErr w:type="spellStart"/>
      <w:r w:rsidR="00575D16" w:rsidRPr="001F26AD">
        <w:rPr>
          <w:rFonts w:ascii="Times New Roman" w:hAnsi="Times New Roman" w:cs="Times New Roman"/>
          <w:lang w:bidi="cs-CZ"/>
        </w:rPr>
        <w:t>spp</w:t>
      </w:r>
      <w:proofErr w:type="spellEnd"/>
      <w:r w:rsidR="00575D16" w:rsidRPr="001F26AD">
        <w:rPr>
          <w:rFonts w:ascii="Times New Roman" w:hAnsi="Times New Roman" w:cs="Times New Roman"/>
          <w:i/>
          <w:lang w:bidi="cs-CZ"/>
        </w:rPr>
        <w:t>.</w:t>
      </w:r>
      <w:r w:rsidR="000076A5" w:rsidRPr="001F26AD">
        <w:rPr>
          <w:rFonts w:ascii="Times New Roman" w:hAnsi="Times New Roman" w:cs="Times New Roman"/>
          <w:lang w:bidi="cs-CZ"/>
        </w:rPr>
        <w:t xml:space="preserve"> citlivými </w:t>
      </w:r>
      <w:r w:rsidR="00575D16" w:rsidRPr="001F26AD">
        <w:rPr>
          <w:rFonts w:ascii="Times New Roman" w:hAnsi="Times New Roman" w:cs="Times New Roman"/>
          <w:lang w:bidi="cs-CZ"/>
        </w:rPr>
        <w:t xml:space="preserve">k </w:t>
      </w:r>
      <w:proofErr w:type="spellStart"/>
      <w:r w:rsidR="000076A5" w:rsidRPr="001F26AD">
        <w:rPr>
          <w:rFonts w:ascii="Times New Roman" w:hAnsi="Times New Roman" w:cs="Times New Roman"/>
          <w:lang w:bidi="cs-CZ"/>
        </w:rPr>
        <w:t>cefadroxil</w:t>
      </w:r>
      <w:r w:rsidR="00575D16" w:rsidRPr="001F26AD">
        <w:rPr>
          <w:rFonts w:ascii="Times New Roman" w:hAnsi="Times New Roman" w:cs="Times New Roman"/>
          <w:lang w:bidi="cs-CZ"/>
        </w:rPr>
        <w:t>u</w:t>
      </w:r>
      <w:proofErr w:type="spellEnd"/>
      <w:r w:rsidRPr="001F26AD">
        <w:rPr>
          <w:rFonts w:ascii="Times New Roman" w:hAnsi="Times New Roman" w:cs="Times New Roman"/>
          <w:lang w:bidi="cs-CZ"/>
        </w:rPr>
        <w:t>.</w:t>
      </w:r>
    </w:p>
    <w:p w14:paraId="091B41B2" w14:textId="1A9BDE93" w:rsidR="000076A5" w:rsidRPr="001F26AD" w:rsidRDefault="00C73C0A" w:rsidP="000076A5">
      <w:pPr>
        <w:numPr>
          <w:ilvl w:val="0"/>
          <w:numId w:val="15"/>
        </w:numPr>
        <w:spacing w:after="0" w:line="276" w:lineRule="auto"/>
        <w:jc w:val="both"/>
        <w:rPr>
          <w:rFonts w:ascii="Times New Roman" w:eastAsiaTheme="minorEastAsia" w:hAnsi="Times New Roman" w:cs="Times New Roman"/>
        </w:rPr>
      </w:pPr>
      <w:r w:rsidRPr="001F26AD">
        <w:rPr>
          <w:rFonts w:ascii="Times New Roman" w:hAnsi="Times New Roman" w:cs="Times New Roman"/>
          <w:lang w:bidi="cs-CZ"/>
        </w:rPr>
        <w:t>I</w:t>
      </w:r>
      <w:r w:rsidR="00ED60CD" w:rsidRPr="001F26AD">
        <w:rPr>
          <w:rFonts w:ascii="Times New Roman" w:hAnsi="Times New Roman" w:cs="Times New Roman"/>
          <w:lang w:bidi="cs-CZ"/>
        </w:rPr>
        <w:t xml:space="preserve">nfekce horních cest dýchacích </w:t>
      </w:r>
      <w:r w:rsidR="00575D16" w:rsidRPr="001F26AD">
        <w:rPr>
          <w:rFonts w:ascii="Times New Roman" w:hAnsi="Times New Roman" w:cs="Times New Roman"/>
          <w:lang w:bidi="cs-CZ"/>
        </w:rPr>
        <w:t xml:space="preserve">vyvolané </w:t>
      </w:r>
      <w:proofErr w:type="spellStart"/>
      <w:r w:rsidR="00ED60CD" w:rsidRPr="001F26AD">
        <w:rPr>
          <w:rFonts w:ascii="Times New Roman" w:hAnsi="Times New Roman" w:cs="Times New Roman"/>
          <w:i/>
          <w:lang w:bidi="cs-CZ"/>
        </w:rPr>
        <w:t>Staphylococcus</w:t>
      </w:r>
      <w:proofErr w:type="spellEnd"/>
      <w:r w:rsidR="005708AF" w:rsidRPr="001F26AD">
        <w:rPr>
          <w:rFonts w:ascii="Times New Roman" w:hAnsi="Times New Roman" w:cs="Times New Roman"/>
          <w:lang w:bidi="cs-CZ"/>
        </w:rPr>
        <w:t xml:space="preserve"> </w:t>
      </w:r>
      <w:proofErr w:type="spellStart"/>
      <w:r w:rsidR="005708AF" w:rsidRPr="001F26AD">
        <w:rPr>
          <w:rFonts w:ascii="Times New Roman" w:hAnsi="Times New Roman" w:cs="Times New Roman"/>
          <w:lang w:bidi="cs-CZ"/>
        </w:rPr>
        <w:t>spp</w:t>
      </w:r>
      <w:proofErr w:type="spellEnd"/>
      <w:r w:rsidR="005708AF" w:rsidRPr="001F26AD">
        <w:rPr>
          <w:rFonts w:ascii="Times New Roman" w:hAnsi="Times New Roman" w:cs="Times New Roman"/>
          <w:lang w:bidi="cs-CZ"/>
        </w:rPr>
        <w:t>.</w:t>
      </w:r>
      <w:r w:rsidR="00ED60CD" w:rsidRPr="001F26AD">
        <w:rPr>
          <w:rFonts w:ascii="Times New Roman" w:hAnsi="Times New Roman" w:cs="Times New Roman"/>
          <w:lang w:bidi="cs-CZ"/>
        </w:rPr>
        <w:t xml:space="preserve">, </w:t>
      </w:r>
      <w:r w:rsidR="00ED60CD" w:rsidRPr="001F26AD">
        <w:rPr>
          <w:rFonts w:ascii="Times New Roman" w:hAnsi="Times New Roman" w:cs="Times New Roman"/>
          <w:i/>
          <w:lang w:bidi="cs-CZ"/>
        </w:rPr>
        <w:t>Streptococcus</w:t>
      </w:r>
      <w:r w:rsidR="005708AF" w:rsidRPr="001F26AD">
        <w:rPr>
          <w:rFonts w:ascii="Times New Roman" w:hAnsi="Times New Roman" w:cs="Times New Roman"/>
          <w:lang w:bidi="cs-CZ"/>
        </w:rPr>
        <w:t xml:space="preserve"> spp.</w:t>
      </w:r>
      <w:r w:rsidR="00ED60CD" w:rsidRPr="001F26AD">
        <w:rPr>
          <w:rFonts w:ascii="Times New Roman" w:hAnsi="Times New Roman" w:cs="Times New Roman"/>
          <w:lang w:bidi="cs-CZ"/>
        </w:rPr>
        <w:t xml:space="preserve"> a </w:t>
      </w:r>
      <w:proofErr w:type="spellStart"/>
      <w:r w:rsidR="00ED60CD" w:rsidRPr="001F26AD">
        <w:rPr>
          <w:rFonts w:ascii="Times New Roman" w:hAnsi="Times New Roman" w:cs="Times New Roman"/>
          <w:i/>
          <w:lang w:bidi="cs-CZ"/>
        </w:rPr>
        <w:t>Pasteurella</w:t>
      </w:r>
      <w:proofErr w:type="spellEnd"/>
      <w:r w:rsidR="00ED60CD" w:rsidRPr="001F26AD">
        <w:rPr>
          <w:rFonts w:ascii="Times New Roman" w:hAnsi="Times New Roman" w:cs="Times New Roman"/>
          <w:i/>
          <w:lang w:bidi="cs-CZ"/>
        </w:rPr>
        <w:t xml:space="preserve"> </w:t>
      </w:r>
      <w:proofErr w:type="spellStart"/>
      <w:r w:rsidR="00ED60CD" w:rsidRPr="001F26AD">
        <w:rPr>
          <w:rFonts w:ascii="Times New Roman" w:hAnsi="Times New Roman" w:cs="Times New Roman"/>
          <w:i/>
          <w:lang w:bidi="cs-CZ"/>
        </w:rPr>
        <w:t>multocida</w:t>
      </w:r>
      <w:proofErr w:type="spellEnd"/>
      <w:r w:rsidR="00ED60CD" w:rsidRPr="001F26AD">
        <w:rPr>
          <w:rFonts w:ascii="Times New Roman" w:hAnsi="Times New Roman" w:cs="Times New Roman"/>
          <w:lang w:bidi="cs-CZ"/>
        </w:rPr>
        <w:t xml:space="preserve"> citlivými </w:t>
      </w:r>
      <w:r w:rsidR="00575D16" w:rsidRPr="001F26AD">
        <w:rPr>
          <w:rFonts w:ascii="Times New Roman" w:hAnsi="Times New Roman" w:cs="Times New Roman"/>
          <w:lang w:bidi="cs-CZ"/>
        </w:rPr>
        <w:t xml:space="preserve">k </w:t>
      </w:r>
      <w:proofErr w:type="spellStart"/>
      <w:r w:rsidR="00ED60CD" w:rsidRPr="001F26AD">
        <w:rPr>
          <w:rFonts w:ascii="Times New Roman" w:hAnsi="Times New Roman" w:cs="Times New Roman"/>
          <w:lang w:bidi="cs-CZ"/>
        </w:rPr>
        <w:t>cefadroxil</w:t>
      </w:r>
      <w:r w:rsidR="00575D16" w:rsidRPr="001F26AD">
        <w:rPr>
          <w:rFonts w:ascii="Times New Roman" w:hAnsi="Times New Roman" w:cs="Times New Roman"/>
          <w:lang w:bidi="cs-CZ"/>
        </w:rPr>
        <w:t>u</w:t>
      </w:r>
      <w:proofErr w:type="spellEnd"/>
      <w:r w:rsidR="00ED60CD" w:rsidRPr="001F26AD">
        <w:rPr>
          <w:rFonts w:ascii="Times New Roman" w:hAnsi="Times New Roman" w:cs="Times New Roman"/>
          <w:lang w:bidi="cs-CZ"/>
        </w:rPr>
        <w:t>.</w:t>
      </w:r>
    </w:p>
    <w:p w14:paraId="2C878B52" w14:textId="77777777" w:rsidR="00441216" w:rsidRPr="001F26AD" w:rsidRDefault="00441216" w:rsidP="00441216">
      <w:pPr>
        <w:spacing w:after="0" w:line="276" w:lineRule="auto"/>
        <w:ind w:left="426"/>
        <w:rPr>
          <w:rFonts w:ascii="Times New Roman" w:eastAsiaTheme="minorEastAsia" w:hAnsi="Times New Roman" w:cs="Times New Roman"/>
        </w:rPr>
      </w:pPr>
    </w:p>
    <w:p w14:paraId="400286C8" w14:textId="4653BF6E" w:rsidR="00A364B9" w:rsidRPr="001F26AD" w:rsidRDefault="00A364B9" w:rsidP="00071372">
      <w:pPr>
        <w:pStyle w:val="Nadpis1"/>
        <w:spacing w:before="0"/>
        <w:ind w:left="426"/>
        <w:rPr>
          <w:rFonts w:ascii="Times New Roman" w:hAnsi="Times New Roman" w:cs="Times New Roman"/>
          <w:b w:val="0"/>
          <w:bCs w:val="0"/>
          <w:sz w:val="22"/>
          <w:szCs w:val="22"/>
        </w:rPr>
      </w:pPr>
      <w:r w:rsidRPr="001F26AD">
        <w:rPr>
          <w:rFonts w:ascii="Times New Roman" w:hAnsi="Times New Roman" w:cs="Times New Roman"/>
          <w:color w:val="auto"/>
          <w:sz w:val="22"/>
          <w:szCs w:val="22"/>
          <w:lang w:bidi="cs-CZ"/>
        </w:rPr>
        <w:t>KONTRAINDIKACE</w:t>
      </w:r>
    </w:p>
    <w:p w14:paraId="10E4DC8E" w14:textId="77777777" w:rsidR="00F5058B" w:rsidRPr="001F26AD" w:rsidRDefault="00F5058B" w:rsidP="00C36C1E">
      <w:pPr>
        <w:spacing w:after="0" w:line="276" w:lineRule="auto"/>
        <w:ind w:left="426"/>
        <w:contextualSpacing/>
        <w:jc w:val="both"/>
        <w:rPr>
          <w:rFonts w:ascii="Times New Roman" w:eastAsiaTheme="minorEastAsia" w:hAnsi="Times New Roman" w:cs="Times New Roman"/>
        </w:rPr>
      </w:pPr>
    </w:p>
    <w:p w14:paraId="0EAB5131" w14:textId="68B67B8D" w:rsidR="00CD74D4" w:rsidRPr="001F26AD" w:rsidRDefault="00E547AC" w:rsidP="00C36C1E">
      <w:pPr>
        <w:spacing w:after="0" w:line="276" w:lineRule="auto"/>
        <w:ind w:left="426"/>
        <w:contextualSpacing/>
        <w:jc w:val="both"/>
        <w:rPr>
          <w:rFonts w:ascii="Times New Roman" w:eastAsiaTheme="minorEastAsia" w:hAnsi="Times New Roman" w:cs="Times New Roman"/>
        </w:rPr>
      </w:pPr>
      <w:r w:rsidRPr="001F26AD">
        <w:rPr>
          <w:rFonts w:ascii="Times New Roman" w:eastAsiaTheme="minorEastAsia" w:hAnsi="Times New Roman" w:cs="Times New Roman"/>
        </w:rPr>
        <w:t>Nepoužívat v případech přecitlivělosti na léčivou látku, jiné cefalosporiny, jiné látky ze skupiny β-laktamů nebo na některou z pomocných látek.</w:t>
      </w:r>
    </w:p>
    <w:p w14:paraId="5C3FF12C" w14:textId="3BAEBB5F" w:rsidR="00173D67" w:rsidRPr="001F26AD" w:rsidRDefault="00173D67" w:rsidP="004A7CB4">
      <w:pPr>
        <w:spacing w:after="0" w:line="276" w:lineRule="auto"/>
        <w:ind w:left="426"/>
        <w:jc w:val="both"/>
        <w:rPr>
          <w:rFonts w:ascii="Times New Roman" w:eastAsiaTheme="minorEastAsia" w:hAnsi="Times New Roman" w:cs="Times New Roman"/>
        </w:rPr>
      </w:pPr>
      <w:r w:rsidRPr="001F26AD">
        <w:rPr>
          <w:rFonts w:ascii="Times New Roman" w:hAnsi="Times New Roman" w:cs="Times New Roman"/>
          <w:lang w:bidi="cs-CZ"/>
        </w:rPr>
        <w:t>Nepoužív</w:t>
      </w:r>
      <w:r w:rsidR="00E547AC" w:rsidRPr="001F26AD">
        <w:rPr>
          <w:rFonts w:ascii="Times New Roman" w:hAnsi="Times New Roman" w:cs="Times New Roman"/>
          <w:lang w:bidi="cs-CZ"/>
        </w:rPr>
        <w:t>at</w:t>
      </w:r>
      <w:r w:rsidRPr="001F26AD">
        <w:rPr>
          <w:rFonts w:ascii="Times New Roman" w:hAnsi="Times New Roman" w:cs="Times New Roman"/>
          <w:lang w:bidi="cs-CZ"/>
        </w:rPr>
        <w:t xml:space="preserve"> u králíků, morčat, křečků, </w:t>
      </w:r>
      <w:proofErr w:type="spellStart"/>
      <w:r w:rsidRPr="001F26AD">
        <w:rPr>
          <w:rFonts w:ascii="Times New Roman" w:hAnsi="Times New Roman" w:cs="Times New Roman"/>
          <w:lang w:bidi="cs-CZ"/>
        </w:rPr>
        <w:t>pískomilů</w:t>
      </w:r>
      <w:proofErr w:type="spellEnd"/>
      <w:r w:rsidRPr="001F26AD">
        <w:rPr>
          <w:rFonts w:ascii="Times New Roman" w:hAnsi="Times New Roman" w:cs="Times New Roman"/>
          <w:lang w:bidi="cs-CZ"/>
        </w:rPr>
        <w:t>, činčil, koňovitých a přežvýkavců s ohledem na možné fatální gastrointestinální poruchy způsobené např</w:t>
      </w:r>
      <w:r w:rsidR="00E547AC" w:rsidRPr="001F26AD">
        <w:rPr>
          <w:rFonts w:ascii="Times New Roman" w:hAnsi="Times New Roman" w:cs="Times New Roman"/>
          <w:lang w:bidi="cs-CZ"/>
        </w:rPr>
        <w:t xml:space="preserve">. přemnožením </w:t>
      </w:r>
      <w:r w:rsidR="00E547AC" w:rsidRPr="001F26AD">
        <w:rPr>
          <w:rFonts w:ascii="Times New Roman" w:hAnsi="Times New Roman" w:cs="Times New Roman"/>
          <w:i/>
          <w:lang w:bidi="cs-CZ"/>
        </w:rPr>
        <w:t>Clostridium</w:t>
      </w:r>
      <w:r w:rsidR="00E547AC" w:rsidRPr="001F26AD">
        <w:rPr>
          <w:rFonts w:ascii="Times New Roman" w:hAnsi="Times New Roman" w:cs="Times New Roman"/>
          <w:lang w:bidi="cs-CZ"/>
        </w:rPr>
        <w:t xml:space="preserve"> spp.</w:t>
      </w:r>
      <w:r w:rsidRPr="001F26AD">
        <w:rPr>
          <w:rFonts w:ascii="Times New Roman" w:hAnsi="Times New Roman" w:cs="Times New Roman"/>
          <w:i/>
          <w:lang w:bidi="cs-CZ"/>
        </w:rPr>
        <w:t xml:space="preserve"> </w:t>
      </w:r>
    </w:p>
    <w:p w14:paraId="7A7E2275" w14:textId="40E2B4DC" w:rsidR="00441216" w:rsidRPr="001F26AD" w:rsidRDefault="00441216" w:rsidP="00C20B4C">
      <w:pPr>
        <w:spacing w:after="0" w:line="276" w:lineRule="auto"/>
        <w:ind w:left="426"/>
        <w:contextualSpacing/>
        <w:jc w:val="both"/>
        <w:rPr>
          <w:rFonts w:ascii="Times New Roman" w:eastAsiaTheme="minorEastAsia" w:hAnsi="Times New Roman" w:cs="Times New Roman"/>
        </w:rPr>
      </w:pPr>
    </w:p>
    <w:p w14:paraId="3ABF243A" w14:textId="77777777" w:rsidR="00C36C1E" w:rsidRPr="001F26AD" w:rsidRDefault="00C36C1E" w:rsidP="00C20B4C">
      <w:pPr>
        <w:spacing w:after="0" w:line="276" w:lineRule="auto"/>
        <w:ind w:left="426"/>
        <w:contextualSpacing/>
        <w:jc w:val="both"/>
        <w:rPr>
          <w:rFonts w:ascii="Times New Roman" w:eastAsiaTheme="minorEastAsia" w:hAnsi="Times New Roman" w:cs="Times New Roman"/>
        </w:rPr>
      </w:pPr>
    </w:p>
    <w:p w14:paraId="314DBCE0" w14:textId="74B1815D" w:rsidR="00A364B9" w:rsidRPr="001F26AD" w:rsidRDefault="00041F0D" w:rsidP="00041F0D">
      <w:pPr>
        <w:pStyle w:val="Nadpis1"/>
        <w:spacing w:before="0"/>
        <w:ind w:left="426"/>
        <w:rPr>
          <w:rFonts w:ascii="Times New Roman" w:hAnsi="Times New Roman" w:cs="Times New Roman"/>
          <w:sz w:val="22"/>
          <w:szCs w:val="22"/>
          <w:lang w:val="en-US"/>
        </w:rPr>
      </w:pPr>
      <w:r w:rsidRPr="001F26AD">
        <w:rPr>
          <w:rFonts w:ascii="Times New Roman" w:hAnsi="Times New Roman" w:cs="Times New Roman"/>
          <w:color w:val="auto"/>
          <w:sz w:val="22"/>
          <w:szCs w:val="22"/>
          <w:lang w:bidi="cs-CZ"/>
        </w:rPr>
        <w:t>NEŽÁDOUCÍ ÚČINKY</w:t>
      </w:r>
      <w:r w:rsidRPr="001F26AD" w:rsidDel="00041F0D">
        <w:rPr>
          <w:rFonts w:ascii="Times New Roman" w:hAnsi="Times New Roman" w:cs="Times New Roman"/>
          <w:color w:val="auto"/>
          <w:sz w:val="22"/>
          <w:szCs w:val="22"/>
          <w:lang w:bidi="cs-CZ"/>
        </w:rPr>
        <w:t xml:space="preserve"> </w:t>
      </w:r>
    </w:p>
    <w:p w14:paraId="53A46C4C" w14:textId="77777777" w:rsidR="002013E6" w:rsidRPr="001F26AD" w:rsidRDefault="002013E6" w:rsidP="00360EF1">
      <w:pPr>
        <w:spacing w:after="0" w:line="240" w:lineRule="auto"/>
        <w:rPr>
          <w:rFonts w:ascii="Times New Roman" w:hAnsi="Times New Roman" w:cs="Times New Roman"/>
          <w:lang w:val="en-US"/>
        </w:rPr>
      </w:pPr>
    </w:p>
    <w:p w14:paraId="709734C5" w14:textId="3956FB9C" w:rsidR="00566694" w:rsidRPr="001F26AD" w:rsidRDefault="00566694" w:rsidP="00566694">
      <w:pPr>
        <w:spacing w:after="0" w:line="276" w:lineRule="auto"/>
        <w:ind w:left="426"/>
        <w:jc w:val="both"/>
        <w:rPr>
          <w:rFonts w:ascii="Times New Roman" w:hAnsi="Times New Roman" w:cs="Times New Roman"/>
          <w:lang w:bidi="cs-CZ"/>
        </w:rPr>
      </w:pPr>
      <w:r w:rsidRPr="001F26AD">
        <w:rPr>
          <w:rFonts w:ascii="Times New Roman" w:hAnsi="Times New Roman" w:cs="Times New Roman"/>
          <w:lang w:bidi="cs-CZ"/>
        </w:rPr>
        <w:t xml:space="preserve">Ve velmi vzácných případech se mohou </w:t>
      </w:r>
      <w:r w:rsidR="00B63A56" w:rsidRPr="001F26AD">
        <w:rPr>
          <w:rFonts w:ascii="Times New Roman" w:hAnsi="Times New Roman" w:cs="Times New Roman"/>
          <w:lang w:bidi="cs-CZ"/>
        </w:rPr>
        <w:t xml:space="preserve">vyskytnout </w:t>
      </w:r>
      <w:r w:rsidRPr="001F26AD">
        <w:rPr>
          <w:rFonts w:ascii="Times New Roman" w:hAnsi="Times New Roman" w:cs="Times New Roman"/>
          <w:lang w:bidi="cs-CZ"/>
        </w:rPr>
        <w:t>alergické reakce na cefalosporiny.</w:t>
      </w:r>
    </w:p>
    <w:p w14:paraId="73D04DE4" w14:textId="485FA79E" w:rsidR="00566694" w:rsidRPr="001F26AD" w:rsidRDefault="00566694" w:rsidP="00566694">
      <w:pPr>
        <w:spacing w:after="0" w:line="276" w:lineRule="auto"/>
        <w:ind w:left="426"/>
        <w:jc w:val="both"/>
        <w:rPr>
          <w:rFonts w:ascii="Times New Roman" w:hAnsi="Times New Roman" w:cs="Times New Roman"/>
          <w:lang w:bidi="cs-CZ"/>
        </w:rPr>
      </w:pPr>
      <w:r w:rsidRPr="001F26AD">
        <w:rPr>
          <w:rFonts w:ascii="Times New Roman" w:hAnsi="Times New Roman" w:cs="Times New Roman"/>
          <w:lang w:bidi="cs-CZ"/>
        </w:rPr>
        <w:t xml:space="preserve">Ve velmi vzácných případech se </w:t>
      </w:r>
      <w:r w:rsidR="00535022" w:rsidRPr="001F26AD">
        <w:rPr>
          <w:rFonts w:ascii="Times New Roman" w:hAnsi="Times New Roman" w:cs="Times New Roman"/>
          <w:lang w:bidi="cs-CZ"/>
        </w:rPr>
        <w:t xml:space="preserve">může </w:t>
      </w:r>
      <w:r w:rsidRPr="001F26AD">
        <w:rPr>
          <w:rFonts w:ascii="Times New Roman" w:hAnsi="Times New Roman" w:cs="Times New Roman"/>
          <w:lang w:bidi="cs-CZ"/>
        </w:rPr>
        <w:t>vyskytnout zvracení a/nebo průjem.</w:t>
      </w:r>
    </w:p>
    <w:p w14:paraId="19492C6D" w14:textId="58FF702E" w:rsidR="00566694" w:rsidRPr="001F26AD" w:rsidRDefault="00566694" w:rsidP="00566694">
      <w:pPr>
        <w:spacing w:after="0" w:line="276" w:lineRule="auto"/>
        <w:ind w:left="426"/>
        <w:jc w:val="both"/>
        <w:rPr>
          <w:rFonts w:ascii="Times New Roman" w:hAnsi="Times New Roman" w:cs="Times New Roman"/>
          <w:lang w:bidi="cs-CZ"/>
        </w:rPr>
      </w:pPr>
      <w:r w:rsidRPr="001F26AD">
        <w:rPr>
          <w:rFonts w:ascii="Times New Roman" w:hAnsi="Times New Roman" w:cs="Times New Roman"/>
          <w:lang w:bidi="cs-CZ"/>
        </w:rPr>
        <w:t>Frekvence výskytu nežádoucích účinků je definována s použitím následující</w:t>
      </w:r>
      <w:r w:rsidR="00951C32">
        <w:rPr>
          <w:rFonts w:ascii="Times New Roman" w:hAnsi="Times New Roman" w:cs="Times New Roman"/>
          <w:lang w:bidi="cs-CZ"/>
        </w:rPr>
        <w:t>ch</w:t>
      </w:r>
      <w:r w:rsidRPr="001F26AD">
        <w:rPr>
          <w:rFonts w:ascii="Times New Roman" w:hAnsi="Times New Roman" w:cs="Times New Roman"/>
          <w:lang w:bidi="cs-CZ"/>
        </w:rPr>
        <w:t xml:space="preserve"> </w:t>
      </w:r>
      <w:r w:rsidR="00951C32">
        <w:rPr>
          <w:rFonts w:ascii="Times New Roman" w:hAnsi="Times New Roman" w:cs="Times New Roman"/>
          <w:lang w:bidi="cs-CZ"/>
        </w:rPr>
        <w:t>pravidel</w:t>
      </w:r>
      <w:r w:rsidRPr="001F26AD">
        <w:rPr>
          <w:rFonts w:ascii="Times New Roman" w:hAnsi="Times New Roman" w:cs="Times New Roman"/>
          <w:lang w:bidi="cs-CZ"/>
        </w:rPr>
        <w:t>:</w:t>
      </w:r>
    </w:p>
    <w:p w14:paraId="273A0A2C" w14:textId="77777777" w:rsidR="00566694" w:rsidRPr="001F26AD" w:rsidRDefault="00566694" w:rsidP="00566694">
      <w:pPr>
        <w:spacing w:after="0" w:line="276" w:lineRule="auto"/>
        <w:ind w:left="426"/>
        <w:jc w:val="both"/>
        <w:rPr>
          <w:rFonts w:ascii="Times New Roman" w:hAnsi="Times New Roman" w:cs="Times New Roman"/>
          <w:lang w:bidi="cs-CZ"/>
        </w:rPr>
      </w:pPr>
      <w:r w:rsidRPr="001F26AD">
        <w:rPr>
          <w:rFonts w:ascii="Times New Roman" w:hAnsi="Times New Roman" w:cs="Times New Roman"/>
          <w:lang w:bidi="cs-CZ"/>
        </w:rPr>
        <w:lastRenderedPageBreak/>
        <w:t xml:space="preserve">- velmi časté (více než 1 z 10 léčených zvířat v průběhu jedné léčby vykazovalo nežádoucí </w:t>
      </w:r>
      <w:proofErr w:type="gramStart"/>
      <w:r w:rsidRPr="001F26AD">
        <w:rPr>
          <w:rFonts w:ascii="Times New Roman" w:hAnsi="Times New Roman" w:cs="Times New Roman"/>
          <w:lang w:bidi="cs-CZ"/>
        </w:rPr>
        <w:t>účinek(y))</w:t>
      </w:r>
      <w:proofErr w:type="gramEnd"/>
    </w:p>
    <w:p w14:paraId="78A4F2C7" w14:textId="3CA213C7" w:rsidR="00566694" w:rsidRPr="001F26AD" w:rsidRDefault="00C36C1E" w:rsidP="00566694">
      <w:pPr>
        <w:spacing w:after="0" w:line="276" w:lineRule="auto"/>
        <w:ind w:left="426"/>
        <w:jc w:val="both"/>
        <w:rPr>
          <w:rFonts w:ascii="Times New Roman" w:hAnsi="Times New Roman" w:cs="Times New Roman"/>
          <w:lang w:bidi="cs-CZ"/>
        </w:rPr>
      </w:pPr>
      <w:r w:rsidRPr="001F26AD">
        <w:rPr>
          <w:rFonts w:ascii="Times New Roman" w:hAnsi="Times New Roman" w:cs="Times New Roman"/>
          <w:lang w:bidi="cs-CZ"/>
        </w:rPr>
        <w:t>- časté (více než 1</w:t>
      </w:r>
      <w:r w:rsidR="00566694" w:rsidRPr="001F26AD">
        <w:rPr>
          <w:rFonts w:ascii="Times New Roman" w:hAnsi="Times New Roman" w:cs="Times New Roman"/>
          <w:lang w:bidi="cs-CZ"/>
        </w:rPr>
        <w:t xml:space="preserve"> ale méně než 10 ze 100 léčených zvířat)</w:t>
      </w:r>
    </w:p>
    <w:p w14:paraId="6B02B05B" w14:textId="30DD7F94" w:rsidR="00566694" w:rsidRPr="001F26AD" w:rsidRDefault="00566694" w:rsidP="00566694">
      <w:pPr>
        <w:spacing w:after="0" w:line="276" w:lineRule="auto"/>
        <w:ind w:left="426"/>
        <w:jc w:val="both"/>
        <w:rPr>
          <w:rFonts w:ascii="Times New Roman" w:hAnsi="Times New Roman" w:cs="Times New Roman"/>
          <w:lang w:bidi="cs-CZ"/>
        </w:rPr>
      </w:pPr>
      <w:r w:rsidRPr="001F26AD">
        <w:rPr>
          <w:rFonts w:ascii="Times New Roman" w:hAnsi="Times New Roman" w:cs="Times New Roman"/>
          <w:lang w:bidi="cs-CZ"/>
        </w:rPr>
        <w:t>- méně časté (více než 1 ale méně než 10 zvířat z 1000 léčených zvířat)</w:t>
      </w:r>
    </w:p>
    <w:p w14:paraId="61347AD5" w14:textId="4C01371B" w:rsidR="00566694" w:rsidRPr="001F26AD" w:rsidRDefault="00C36C1E" w:rsidP="00566694">
      <w:pPr>
        <w:spacing w:after="0" w:line="276" w:lineRule="auto"/>
        <w:ind w:left="426"/>
        <w:jc w:val="both"/>
        <w:rPr>
          <w:rFonts w:ascii="Times New Roman" w:hAnsi="Times New Roman" w:cs="Times New Roman"/>
          <w:lang w:bidi="cs-CZ"/>
        </w:rPr>
      </w:pPr>
      <w:r w:rsidRPr="001F26AD">
        <w:rPr>
          <w:rFonts w:ascii="Times New Roman" w:hAnsi="Times New Roman" w:cs="Times New Roman"/>
          <w:lang w:bidi="cs-CZ"/>
        </w:rPr>
        <w:t>- vzácné (více než 1</w:t>
      </w:r>
      <w:r w:rsidR="00566694" w:rsidRPr="001F26AD">
        <w:rPr>
          <w:rFonts w:ascii="Times New Roman" w:hAnsi="Times New Roman" w:cs="Times New Roman"/>
          <w:lang w:bidi="cs-CZ"/>
        </w:rPr>
        <w:t xml:space="preserve"> ale méně než 10 zvířat z 10000 léčených zvířat)</w:t>
      </w:r>
    </w:p>
    <w:p w14:paraId="7BD7B326" w14:textId="65ABE657" w:rsidR="00041F0D" w:rsidRPr="001F26AD" w:rsidRDefault="00566694" w:rsidP="00041F0D">
      <w:pPr>
        <w:spacing w:after="0" w:line="276" w:lineRule="auto"/>
        <w:ind w:left="426"/>
        <w:jc w:val="both"/>
        <w:rPr>
          <w:rFonts w:ascii="Times New Roman" w:hAnsi="Times New Roman" w:cs="Times New Roman"/>
          <w:lang w:bidi="cs-CZ"/>
        </w:rPr>
      </w:pPr>
      <w:r w:rsidRPr="001F26AD">
        <w:rPr>
          <w:rFonts w:ascii="Times New Roman" w:hAnsi="Times New Roman" w:cs="Times New Roman"/>
          <w:lang w:bidi="cs-CZ"/>
        </w:rPr>
        <w:t>- vzácné (méně než 1 z 10000 léčených zvířat, včetně izolovaných případů).</w:t>
      </w:r>
    </w:p>
    <w:p w14:paraId="1D00ABBF" w14:textId="77777777" w:rsidR="00041F0D" w:rsidRPr="001F26AD" w:rsidRDefault="00041F0D" w:rsidP="009918ED">
      <w:pPr>
        <w:spacing w:after="0" w:line="276" w:lineRule="auto"/>
        <w:ind w:left="426"/>
        <w:jc w:val="both"/>
        <w:rPr>
          <w:rFonts w:ascii="Times New Roman" w:eastAsiaTheme="minorEastAsia" w:hAnsi="Times New Roman" w:cs="Times New Roman"/>
        </w:rPr>
      </w:pPr>
    </w:p>
    <w:p w14:paraId="33233C1A" w14:textId="5A7F6CC0" w:rsidR="00951C32" w:rsidRPr="00951C32" w:rsidRDefault="00041F0D" w:rsidP="00951C32">
      <w:pPr>
        <w:spacing w:after="0" w:line="276" w:lineRule="auto"/>
        <w:ind w:left="426"/>
        <w:jc w:val="both"/>
        <w:rPr>
          <w:rFonts w:ascii="Times New Roman" w:hAnsi="Times New Roman" w:cs="Times New Roman"/>
          <w:lang w:bidi="cs-CZ"/>
        </w:rPr>
      </w:pPr>
      <w:r w:rsidRPr="001F26AD">
        <w:rPr>
          <w:rFonts w:ascii="Times New Roman" w:hAnsi="Times New Roman" w:cs="Times New Roman"/>
          <w:lang w:bidi="cs-CZ"/>
        </w:rPr>
        <w:t xml:space="preserve">Jestliže zaznamenáte kterýkoliv z nežádoucích účinků a to i takové, které nejsou uvedeny v této příbalové informaci, nebo si myslíte, že léčivo </w:t>
      </w:r>
      <w:r w:rsidR="00951C32">
        <w:rPr>
          <w:rFonts w:ascii="Times New Roman" w:hAnsi="Times New Roman" w:cs="Times New Roman"/>
          <w:lang w:bidi="cs-CZ"/>
        </w:rPr>
        <w:t>není účinné</w:t>
      </w:r>
      <w:r w:rsidRPr="001F26AD">
        <w:rPr>
          <w:rFonts w:ascii="Times New Roman" w:hAnsi="Times New Roman" w:cs="Times New Roman"/>
          <w:lang w:bidi="cs-CZ"/>
        </w:rPr>
        <w:t xml:space="preserve">, oznamte to, prosím, vašemu veterinárnímu lékaři. </w:t>
      </w:r>
      <w:r w:rsidR="00951C32" w:rsidRPr="00951C32">
        <w:rPr>
          <w:rFonts w:ascii="Times New Roman" w:hAnsi="Times New Roman" w:cs="Times New Roman"/>
          <w:lang w:bidi="cs-CZ"/>
        </w:rPr>
        <w:t xml:space="preserve">Nežádoucí účinky můžete hlásit prostřednictvím formuláře na webových stránkách ÚSKVBL elektronicky, nebo také přímo na adresu: </w:t>
      </w:r>
    </w:p>
    <w:p w14:paraId="69C5743E" w14:textId="77777777" w:rsidR="00951C32" w:rsidRPr="00951C32" w:rsidRDefault="00951C32" w:rsidP="00951C32">
      <w:pPr>
        <w:spacing w:after="0" w:line="276" w:lineRule="auto"/>
        <w:ind w:left="426"/>
        <w:jc w:val="both"/>
        <w:rPr>
          <w:rFonts w:ascii="Times New Roman" w:hAnsi="Times New Roman" w:cs="Times New Roman"/>
          <w:lang w:bidi="cs-CZ"/>
        </w:rPr>
      </w:pPr>
      <w:r w:rsidRPr="00951C32">
        <w:rPr>
          <w:rFonts w:ascii="Times New Roman" w:hAnsi="Times New Roman" w:cs="Times New Roman"/>
          <w:lang w:bidi="cs-CZ"/>
        </w:rPr>
        <w:t xml:space="preserve">Ústav pro státní kontrolu veterinárních biopreparátů a léčiv </w:t>
      </w:r>
    </w:p>
    <w:p w14:paraId="570958F5" w14:textId="77777777" w:rsidR="00951C32" w:rsidRPr="00951C32" w:rsidRDefault="00951C32" w:rsidP="00951C32">
      <w:pPr>
        <w:spacing w:after="0" w:line="276" w:lineRule="auto"/>
        <w:ind w:left="426"/>
        <w:jc w:val="both"/>
        <w:rPr>
          <w:rFonts w:ascii="Times New Roman" w:hAnsi="Times New Roman" w:cs="Times New Roman"/>
          <w:lang w:bidi="cs-CZ"/>
        </w:rPr>
      </w:pPr>
      <w:r w:rsidRPr="00951C32">
        <w:rPr>
          <w:rFonts w:ascii="Times New Roman" w:hAnsi="Times New Roman" w:cs="Times New Roman"/>
          <w:lang w:bidi="cs-CZ"/>
        </w:rPr>
        <w:t>Hudcova 56a</w:t>
      </w:r>
    </w:p>
    <w:p w14:paraId="1CA69CDA" w14:textId="77777777" w:rsidR="00951C32" w:rsidRPr="00951C32" w:rsidRDefault="00951C32" w:rsidP="00951C32">
      <w:pPr>
        <w:spacing w:after="0" w:line="276" w:lineRule="auto"/>
        <w:ind w:left="426"/>
        <w:jc w:val="both"/>
        <w:rPr>
          <w:rFonts w:ascii="Times New Roman" w:hAnsi="Times New Roman" w:cs="Times New Roman"/>
          <w:lang w:bidi="cs-CZ"/>
        </w:rPr>
      </w:pPr>
      <w:r w:rsidRPr="00951C32">
        <w:rPr>
          <w:rFonts w:ascii="Times New Roman" w:hAnsi="Times New Roman" w:cs="Times New Roman"/>
          <w:lang w:bidi="cs-CZ"/>
        </w:rPr>
        <w:t xml:space="preserve">621 00 Brno </w:t>
      </w:r>
    </w:p>
    <w:p w14:paraId="3EDC159C" w14:textId="77777777" w:rsidR="00951C32" w:rsidRPr="00951C32" w:rsidRDefault="00951C32" w:rsidP="00951C32">
      <w:pPr>
        <w:spacing w:after="0" w:line="276" w:lineRule="auto"/>
        <w:ind w:left="426"/>
        <w:jc w:val="both"/>
        <w:rPr>
          <w:rFonts w:ascii="Times New Roman" w:hAnsi="Times New Roman" w:cs="Times New Roman"/>
          <w:lang w:bidi="cs-CZ"/>
        </w:rPr>
      </w:pPr>
      <w:r w:rsidRPr="00951C32">
        <w:rPr>
          <w:rFonts w:ascii="Times New Roman" w:hAnsi="Times New Roman" w:cs="Times New Roman"/>
          <w:lang w:bidi="cs-CZ"/>
        </w:rPr>
        <w:t>Mail: adr@uskvbl.cz</w:t>
      </w:r>
    </w:p>
    <w:p w14:paraId="135D4289" w14:textId="50C45232" w:rsidR="00951C32" w:rsidRDefault="00951C32" w:rsidP="00951C32">
      <w:pPr>
        <w:spacing w:after="0" w:line="276" w:lineRule="auto"/>
        <w:ind w:left="426"/>
        <w:jc w:val="both"/>
        <w:rPr>
          <w:rFonts w:ascii="Times New Roman" w:hAnsi="Times New Roman" w:cs="Times New Roman"/>
          <w:lang w:bidi="cs-CZ"/>
        </w:rPr>
      </w:pPr>
      <w:r w:rsidRPr="00951C32">
        <w:rPr>
          <w:rFonts w:ascii="Times New Roman" w:hAnsi="Times New Roman" w:cs="Times New Roman"/>
          <w:lang w:bidi="cs-CZ"/>
        </w:rPr>
        <w:t xml:space="preserve">Webové stránky: </w:t>
      </w:r>
      <w:hyperlink r:id="rId10" w:history="1">
        <w:r w:rsidRPr="00D7607F">
          <w:rPr>
            <w:rStyle w:val="Hypertextovodkaz"/>
            <w:rFonts w:ascii="Times New Roman" w:hAnsi="Times New Roman" w:cs="Times New Roman"/>
            <w:lang w:bidi="cs-CZ"/>
          </w:rPr>
          <w:t>http://www.uskvbl.cz/cs/farmakovigilance</w:t>
        </w:r>
      </w:hyperlink>
    </w:p>
    <w:p w14:paraId="20B8647E" w14:textId="77777777" w:rsidR="00752161" w:rsidRPr="001F26AD" w:rsidRDefault="00752161" w:rsidP="00951C32">
      <w:pPr>
        <w:spacing w:after="0" w:line="276" w:lineRule="auto"/>
        <w:ind w:left="426"/>
        <w:jc w:val="both"/>
        <w:rPr>
          <w:rFonts w:ascii="Times New Roman" w:eastAsiaTheme="minorEastAsia" w:hAnsi="Times New Roman" w:cs="Times New Roman"/>
        </w:rPr>
      </w:pPr>
    </w:p>
    <w:p w14:paraId="5873354D" w14:textId="1E3AD237" w:rsidR="00A364B9" w:rsidRPr="001F26AD" w:rsidRDefault="00A364B9" w:rsidP="00521D5D">
      <w:pPr>
        <w:pStyle w:val="Nadpis1"/>
        <w:spacing w:before="0"/>
        <w:ind w:left="426"/>
        <w:rPr>
          <w:rFonts w:ascii="Times New Roman" w:hAnsi="Times New Roman" w:cs="Times New Roman"/>
          <w:sz w:val="22"/>
          <w:szCs w:val="22"/>
          <w:lang w:val="en-US"/>
        </w:rPr>
      </w:pPr>
      <w:r w:rsidRPr="001F26AD">
        <w:rPr>
          <w:rFonts w:ascii="Times New Roman" w:hAnsi="Times New Roman" w:cs="Times New Roman"/>
          <w:color w:val="auto"/>
          <w:sz w:val="22"/>
          <w:szCs w:val="22"/>
          <w:lang w:bidi="cs-CZ"/>
        </w:rPr>
        <w:t>CÍLOV</w:t>
      </w:r>
      <w:r w:rsidR="00521D5D" w:rsidRPr="001F26AD">
        <w:rPr>
          <w:rFonts w:ascii="Times New Roman" w:hAnsi="Times New Roman" w:cs="Times New Roman"/>
          <w:color w:val="auto"/>
          <w:sz w:val="22"/>
          <w:szCs w:val="22"/>
          <w:lang w:bidi="cs-CZ"/>
        </w:rPr>
        <w:t>Ý DRUH ZVÍŘAT</w:t>
      </w:r>
    </w:p>
    <w:p w14:paraId="4628482D" w14:textId="77777777" w:rsidR="00E65D9E" w:rsidRPr="001F26AD" w:rsidRDefault="00E65D9E" w:rsidP="005D0D2F">
      <w:pPr>
        <w:spacing w:after="0" w:line="240" w:lineRule="auto"/>
        <w:rPr>
          <w:rFonts w:ascii="Times New Roman" w:hAnsi="Times New Roman" w:cs="Times New Roman"/>
          <w:lang w:val="en-US"/>
        </w:rPr>
      </w:pPr>
    </w:p>
    <w:p w14:paraId="56D0A3FD" w14:textId="54A0C36C" w:rsidR="00A364B9" w:rsidRPr="001F26AD" w:rsidRDefault="00A364B9" w:rsidP="00071372">
      <w:pPr>
        <w:spacing w:after="0" w:line="276" w:lineRule="auto"/>
        <w:ind w:left="426"/>
        <w:rPr>
          <w:rFonts w:ascii="Times New Roman" w:eastAsiaTheme="minorEastAsia" w:hAnsi="Times New Roman" w:cs="Times New Roman"/>
          <w:lang w:val="en-US"/>
        </w:rPr>
      </w:pPr>
      <w:r w:rsidRPr="001F26AD">
        <w:rPr>
          <w:rFonts w:ascii="Times New Roman" w:hAnsi="Times New Roman" w:cs="Times New Roman"/>
          <w:lang w:bidi="cs-CZ"/>
        </w:rPr>
        <w:t>Psi a kočky.</w:t>
      </w:r>
    </w:p>
    <w:p w14:paraId="6EF04CCD" w14:textId="77777777" w:rsidR="00E65D9E" w:rsidRPr="001F26AD" w:rsidRDefault="00E65D9E" w:rsidP="005D0D2F">
      <w:pPr>
        <w:spacing w:after="0" w:line="240" w:lineRule="auto"/>
        <w:ind w:left="426"/>
        <w:rPr>
          <w:rFonts w:ascii="Times New Roman" w:eastAsiaTheme="minorEastAsia" w:hAnsi="Times New Roman" w:cs="Times New Roman"/>
          <w:lang w:val="en-US"/>
        </w:rPr>
      </w:pPr>
    </w:p>
    <w:p w14:paraId="1D2FF2A9" w14:textId="519F5C59" w:rsidR="00A364B9" w:rsidRPr="001F26AD" w:rsidRDefault="00A364B9" w:rsidP="00521D5D">
      <w:pPr>
        <w:pStyle w:val="Nadpis1"/>
        <w:spacing w:before="0"/>
        <w:ind w:left="426"/>
        <w:rPr>
          <w:rFonts w:ascii="Times New Roman" w:hAnsi="Times New Roman" w:cs="Times New Roman"/>
          <w:sz w:val="22"/>
          <w:szCs w:val="22"/>
          <w:lang w:val="en-US"/>
        </w:rPr>
      </w:pPr>
      <w:r w:rsidRPr="001F26AD">
        <w:rPr>
          <w:rFonts w:ascii="Times New Roman" w:hAnsi="Times New Roman" w:cs="Times New Roman"/>
          <w:color w:val="auto"/>
          <w:sz w:val="22"/>
          <w:szCs w:val="22"/>
          <w:lang w:bidi="cs-CZ"/>
        </w:rPr>
        <w:t xml:space="preserve">DÁVKOVÁNÍ PRO KAŽDÝ DRUH, </w:t>
      </w:r>
      <w:proofErr w:type="gramStart"/>
      <w:r w:rsidR="00521D5D" w:rsidRPr="001F26AD">
        <w:rPr>
          <w:rFonts w:ascii="Times New Roman" w:hAnsi="Times New Roman" w:cs="Times New Roman"/>
          <w:color w:val="auto"/>
          <w:sz w:val="22"/>
          <w:szCs w:val="22"/>
          <w:lang w:bidi="cs-CZ"/>
        </w:rPr>
        <w:t>CESTA(Y) A ZPŮSOB</w:t>
      </w:r>
      <w:proofErr w:type="gramEnd"/>
      <w:r w:rsidR="00521D5D" w:rsidRPr="001F26AD">
        <w:rPr>
          <w:rFonts w:ascii="Times New Roman" w:hAnsi="Times New Roman" w:cs="Times New Roman"/>
          <w:color w:val="auto"/>
          <w:sz w:val="22"/>
          <w:szCs w:val="22"/>
          <w:lang w:bidi="cs-CZ"/>
        </w:rPr>
        <w:t xml:space="preserve"> PODÁNÍ</w:t>
      </w:r>
    </w:p>
    <w:p w14:paraId="26289782" w14:textId="77777777" w:rsidR="00C70393" w:rsidRPr="001F26AD" w:rsidRDefault="00C70393" w:rsidP="005D0D2F">
      <w:pPr>
        <w:spacing w:after="0" w:line="240" w:lineRule="auto"/>
        <w:rPr>
          <w:rFonts w:ascii="Times New Roman" w:hAnsi="Times New Roman" w:cs="Times New Roman"/>
          <w:lang w:val="en-US"/>
        </w:rPr>
      </w:pPr>
    </w:p>
    <w:p w14:paraId="199EEC9E" w14:textId="2C915122" w:rsidR="002D21F8" w:rsidRPr="001F26AD" w:rsidRDefault="002D21F8" w:rsidP="000D006E">
      <w:pPr>
        <w:spacing w:after="0" w:line="276" w:lineRule="auto"/>
        <w:ind w:left="426"/>
        <w:jc w:val="both"/>
        <w:rPr>
          <w:rFonts w:ascii="Times New Roman" w:eastAsiaTheme="minorEastAsia" w:hAnsi="Times New Roman" w:cs="Times New Roman"/>
          <w:lang w:val="en-US"/>
        </w:rPr>
      </w:pPr>
      <w:r w:rsidRPr="001F26AD">
        <w:rPr>
          <w:rFonts w:ascii="Times New Roman" w:hAnsi="Times New Roman" w:cs="Times New Roman"/>
          <w:lang w:bidi="cs-CZ"/>
        </w:rPr>
        <w:t>Perorální</w:t>
      </w:r>
      <w:r w:rsidR="000D006E" w:rsidRPr="001F26AD">
        <w:rPr>
          <w:rFonts w:ascii="Times New Roman" w:hAnsi="Times New Roman" w:cs="Times New Roman"/>
          <w:color w:val="222222"/>
          <w:shd w:val="clear" w:color="auto" w:fill="F2F9FD"/>
        </w:rPr>
        <w:t xml:space="preserve"> </w:t>
      </w:r>
      <w:r w:rsidR="000D006E" w:rsidRPr="001F26AD">
        <w:rPr>
          <w:rFonts w:ascii="Times New Roman" w:hAnsi="Times New Roman" w:cs="Times New Roman"/>
          <w:lang w:bidi="cs-CZ"/>
        </w:rPr>
        <w:t>podání</w:t>
      </w:r>
      <w:r w:rsidR="00FF4E21" w:rsidRPr="001F26AD">
        <w:rPr>
          <w:rFonts w:ascii="Times New Roman" w:hAnsi="Times New Roman" w:cs="Times New Roman"/>
          <w:lang w:bidi="cs-CZ"/>
        </w:rPr>
        <w:t>.</w:t>
      </w:r>
    </w:p>
    <w:p w14:paraId="56569A3F" w14:textId="78E419F4" w:rsidR="00D463EC" w:rsidRPr="001F26AD" w:rsidRDefault="00D463EC" w:rsidP="00D463EC">
      <w:pPr>
        <w:spacing w:after="0" w:line="276" w:lineRule="auto"/>
        <w:ind w:left="426"/>
        <w:jc w:val="both"/>
        <w:rPr>
          <w:rFonts w:ascii="Times New Roman" w:hAnsi="Times New Roman" w:cs="Times New Roman"/>
          <w:lang w:bidi="cs-CZ"/>
        </w:rPr>
      </w:pPr>
      <w:r w:rsidRPr="001F26AD">
        <w:rPr>
          <w:rFonts w:ascii="Times New Roman" w:hAnsi="Times New Roman" w:cs="Times New Roman"/>
          <w:lang w:bidi="cs-CZ"/>
        </w:rPr>
        <w:t xml:space="preserve">Dávka: 20 mg </w:t>
      </w:r>
      <w:proofErr w:type="spellStart"/>
      <w:r w:rsidRPr="001F26AD">
        <w:rPr>
          <w:rFonts w:ascii="Times New Roman" w:hAnsi="Times New Roman" w:cs="Times New Roman"/>
          <w:lang w:bidi="cs-CZ"/>
        </w:rPr>
        <w:t>cefadroxilu</w:t>
      </w:r>
      <w:proofErr w:type="spellEnd"/>
      <w:r w:rsidRPr="001F26AD">
        <w:rPr>
          <w:rFonts w:ascii="Times New Roman" w:hAnsi="Times New Roman" w:cs="Times New Roman"/>
          <w:lang w:bidi="cs-CZ"/>
        </w:rPr>
        <w:t>/kg živé  hmotnosti denně (</w:t>
      </w:r>
      <w:r w:rsidR="00B63A56" w:rsidRPr="001F26AD">
        <w:rPr>
          <w:rFonts w:ascii="Times New Roman" w:hAnsi="Times New Roman" w:cs="Times New Roman"/>
          <w:lang w:bidi="cs-CZ"/>
        </w:rPr>
        <w:t xml:space="preserve">odpovídá </w:t>
      </w:r>
      <w:r w:rsidRPr="001F26AD">
        <w:rPr>
          <w:rFonts w:ascii="Times New Roman" w:hAnsi="Times New Roman" w:cs="Times New Roman"/>
          <w:lang w:bidi="cs-CZ"/>
        </w:rPr>
        <w:t xml:space="preserve">1/4 tablety na 2,5 kg živé hmotnosti) podávané jednou denně. Přípravek je nutno podávat s </w:t>
      </w:r>
      <w:r w:rsidR="00B63A56" w:rsidRPr="001F26AD">
        <w:rPr>
          <w:rFonts w:ascii="Times New Roman" w:hAnsi="Times New Roman" w:cs="Times New Roman"/>
          <w:lang w:bidi="cs-CZ"/>
        </w:rPr>
        <w:t>krmivem</w:t>
      </w:r>
      <w:r w:rsidRPr="001F26AD">
        <w:rPr>
          <w:rFonts w:ascii="Times New Roman" w:hAnsi="Times New Roman" w:cs="Times New Roman"/>
          <w:lang w:bidi="cs-CZ"/>
        </w:rPr>
        <w:t>.</w:t>
      </w:r>
    </w:p>
    <w:p w14:paraId="536844AB" w14:textId="61C493C9" w:rsidR="00D463EC" w:rsidRPr="001F26AD" w:rsidRDefault="00D463EC" w:rsidP="00D463EC">
      <w:pPr>
        <w:spacing w:after="0" w:line="276" w:lineRule="auto"/>
        <w:ind w:left="426"/>
        <w:jc w:val="both"/>
        <w:rPr>
          <w:rFonts w:ascii="Times New Roman" w:hAnsi="Times New Roman" w:cs="Times New Roman"/>
          <w:lang w:bidi="cs-CZ"/>
        </w:rPr>
      </w:pPr>
      <w:r w:rsidRPr="001F26AD">
        <w:rPr>
          <w:rFonts w:ascii="Times New Roman" w:hAnsi="Times New Roman" w:cs="Times New Roman"/>
          <w:lang w:bidi="cs-CZ"/>
        </w:rPr>
        <w:t xml:space="preserve">Aby se zabránilo poddávkování, musí veterinární lékař předepsat takový počet tablet, aby </w:t>
      </w:r>
      <w:r w:rsidR="007162C0" w:rsidRPr="001F26AD">
        <w:rPr>
          <w:rFonts w:ascii="Times New Roman" w:hAnsi="Times New Roman" w:cs="Times New Roman"/>
          <w:lang w:bidi="cs-CZ"/>
        </w:rPr>
        <w:t>bylo zajištěno, že zvíře dostane</w:t>
      </w:r>
      <w:r w:rsidRPr="001F26AD">
        <w:rPr>
          <w:rFonts w:ascii="Times New Roman" w:hAnsi="Times New Roman" w:cs="Times New Roman"/>
          <w:lang w:bidi="cs-CZ"/>
        </w:rPr>
        <w:t xml:space="preserve"> dávku alespoň 20 mg </w:t>
      </w:r>
      <w:proofErr w:type="spellStart"/>
      <w:r w:rsidRPr="001F26AD">
        <w:rPr>
          <w:rFonts w:ascii="Times New Roman" w:hAnsi="Times New Roman" w:cs="Times New Roman"/>
          <w:lang w:bidi="cs-CZ"/>
        </w:rPr>
        <w:t>cefadroxilu</w:t>
      </w:r>
      <w:proofErr w:type="spellEnd"/>
      <w:r w:rsidRPr="001F26AD">
        <w:rPr>
          <w:rFonts w:ascii="Times New Roman" w:hAnsi="Times New Roman" w:cs="Times New Roman"/>
          <w:lang w:bidi="cs-CZ"/>
        </w:rPr>
        <w:t xml:space="preserve">/kg živé hmotnosti/den po dobu trvání zamýšlené léčby. </w:t>
      </w:r>
    </w:p>
    <w:p w14:paraId="0AC84D61" w14:textId="77777777" w:rsidR="003D2FF7" w:rsidRPr="001F26AD" w:rsidRDefault="003D2FF7" w:rsidP="002D21F8">
      <w:pPr>
        <w:spacing w:after="0" w:line="276" w:lineRule="auto"/>
        <w:ind w:left="426"/>
        <w:jc w:val="both"/>
        <w:rPr>
          <w:rFonts w:ascii="Times New Roman" w:hAnsi="Times New Roman" w:cs="Times New Roman"/>
          <w:lang w:bidi="cs-CZ"/>
        </w:rPr>
      </w:pPr>
    </w:p>
    <w:p w14:paraId="6623D277" w14:textId="794297D9" w:rsidR="002D21F8" w:rsidRPr="001F26AD" w:rsidRDefault="002D21F8" w:rsidP="002D21F8">
      <w:pPr>
        <w:spacing w:after="0" w:line="276" w:lineRule="auto"/>
        <w:ind w:left="426"/>
        <w:jc w:val="both"/>
        <w:rPr>
          <w:rFonts w:ascii="Times New Roman" w:eastAsiaTheme="minorEastAsia" w:hAnsi="Times New Roman" w:cs="Times New Roman"/>
        </w:rPr>
      </w:pPr>
      <w:r w:rsidRPr="001F26AD">
        <w:rPr>
          <w:rFonts w:ascii="Times New Roman" w:hAnsi="Times New Roman" w:cs="Times New Roman"/>
          <w:lang w:bidi="cs-CZ"/>
        </w:rPr>
        <w:t>Délka léčby závisí na charakteru a závažnosti infekce a na klinické odezvě.</w:t>
      </w:r>
    </w:p>
    <w:p w14:paraId="06E0A93D" w14:textId="6A359142" w:rsidR="00542715" w:rsidRPr="001F26AD" w:rsidRDefault="0013680E" w:rsidP="002D21F8">
      <w:pPr>
        <w:spacing w:after="0" w:line="276" w:lineRule="auto"/>
        <w:ind w:left="426"/>
        <w:jc w:val="both"/>
        <w:rPr>
          <w:rFonts w:ascii="Times New Roman" w:hAnsi="Times New Roman" w:cs="Times New Roman"/>
          <w:lang w:bidi="cs-CZ"/>
        </w:rPr>
      </w:pPr>
      <w:r w:rsidRPr="001F26AD">
        <w:rPr>
          <w:rFonts w:ascii="Times New Roman" w:hAnsi="Times New Roman" w:cs="Times New Roman"/>
          <w:lang w:bidi="cs-CZ"/>
        </w:rPr>
        <w:t>Infekce měkkých tkání a močových cest: 10 dní; pyodermie</w:t>
      </w:r>
      <w:r w:rsidR="00FF4E21" w:rsidRPr="001F26AD">
        <w:rPr>
          <w:rFonts w:ascii="Times New Roman" w:hAnsi="Times New Roman" w:cs="Times New Roman"/>
          <w:lang w:bidi="cs-CZ"/>
        </w:rPr>
        <w:t xml:space="preserve"> </w:t>
      </w:r>
      <w:r w:rsidRPr="001F26AD">
        <w:rPr>
          <w:rFonts w:ascii="Times New Roman" w:hAnsi="Times New Roman" w:cs="Times New Roman"/>
          <w:lang w:bidi="cs-CZ"/>
        </w:rPr>
        <w:t>a těžké infekce močových cest mohou vyžadovat delší dobu léčby, a to až 3 měsíc</w:t>
      </w:r>
      <w:r w:rsidR="00FF4E21" w:rsidRPr="001F26AD">
        <w:rPr>
          <w:rFonts w:ascii="Times New Roman" w:hAnsi="Times New Roman" w:cs="Times New Roman"/>
          <w:lang w:bidi="cs-CZ"/>
        </w:rPr>
        <w:t>e</w:t>
      </w:r>
      <w:r w:rsidRPr="001F26AD">
        <w:rPr>
          <w:rFonts w:ascii="Times New Roman" w:hAnsi="Times New Roman" w:cs="Times New Roman"/>
          <w:lang w:bidi="cs-CZ"/>
        </w:rPr>
        <w:t xml:space="preserve">. </w:t>
      </w:r>
    </w:p>
    <w:p w14:paraId="56C61440" w14:textId="5CBAD740" w:rsidR="002D21F8" w:rsidRPr="001F26AD" w:rsidRDefault="0013680E" w:rsidP="002D21F8">
      <w:pPr>
        <w:spacing w:after="0" w:line="276" w:lineRule="auto"/>
        <w:ind w:left="426"/>
        <w:jc w:val="both"/>
        <w:rPr>
          <w:rFonts w:ascii="Times New Roman" w:eastAsiaTheme="minorEastAsia" w:hAnsi="Times New Roman" w:cs="Times New Roman"/>
        </w:rPr>
      </w:pPr>
      <w:r w:rsidRPr="001F26AD">
        <w:rPr>
          <w:rFonts w:ascii="Times New Roman" w:hAnsi="Times New Roman" w:cs="Times New Roman"/>
          <w:lang w:bidi="cs-CZ"/>
        </w:rPr>
        <w:t>Léčba by měla přetrvat ještě nejméně 48 hodin po vymizení příznaků.</w:t>
      </w:r>
    </w:p>
    <w:p w14:paraId="1D60DF9A" w14:textId="73528BBB" w:rsidR="00542715" w:rsidRPr="001F26AD" w:rsidRDefault="007162C0" w:rsidP="002D21F8">
      <w:pPr>
        <w:spacing w:after="0" w:line="276" w:lineRule="auto"/>
        <w:ind w:left="426"/>
        <w:jc w:val="both"/>
        <w:rPr>
          <w:rFonts w:ascii="Times New Roman" w:hAnsi="Times New Roman" w:cs="Times New Roman"/>
          <w:lang w:bidi="cs-CZ"/>
        </w:rPr>
      </w:pPr>
      <w:r w:rsidRPr="001F26AD">
        <w:rPr>
          <w:rFonts w:ascii="Times New Roman" w:hAnsi="Times New Roman" w:cs="Times New Roman"/>
          <w:lang w:bidi="cs-CZ"/>
        </w:rPr>
        <w:t>Aby se předešlo</w:t>
      </w:r>
      <w:r w:rsidR="00542715" w:rsidRPr="001F26AD">
        <w:rPr>
          <w:rFonts w:ascii="Times New Roman" w:hAnsi="Times New Roman" w:cs="Times New Roman"/>
          <w:lang w:bidi="cs-CZ"/>
        </w:rPr>
        <w:t xml:space="preserve"> </w:t>
      </w:r>
      <w:proofErr w:type="spellStart"/>
      <w:r w:rsidR="00542715" w:rsidRPr="001F26AD">
        <w:rPr>
          <w:rFonts w:ascii="Times New Roman" w:hAnsi="Times New Roman" w:cs="Times New Roman"/>
          <w:lang w:bidi="cs-CZ"/>
        </w:rPr>
        <w:t>poddávkování</w:t>
      </w:r>
      <w:proofErr w:type="spellEnd"/>
      <w:r w:rsidRPr="001F26AD">
        <w:rPr>
          <w:rFonts w:ascii="Times New Roman" w:hAnsi="Times New Roman" w:cs="Times New Roman"/>
          <w:lang w:bidi="cs-CZ"/>
        </w:rPr>
        <w:t>,</w:t>
      </w:r>
      <w:r w:rsidR="00542715" w:rsidRPr="001F26AD">
        <w:rPr>
          <w:rFonts w:ascii="Times New Roman" w:hAnsi="Times New Roman" w:cs="Times New Roman"/>
          <w:lang w:bidi="cs-CZ"/>
        </w:rPr>
        <w:t xml:space="preserve"> musí být co nejpřesněji stanovena živá hmotnost léčeného zvířete.</w:t>
      </w:r>
    </w:p>
    <w:p w14:paraId="0570083D" w14:textId="618F984F" w:rsidR="002D21F8" w:rsidRPr="001F26AD" w:rsidRDefault="002D21F8" w:rsidP="002D21F8">
      <w:pPr>
        <w:spacing w:after="0" w:line="276" w:lineRule="auto"/>
        <w:ind w:left="426"/>
        <w:jc w:val="both"/>
        <w:rPr>
          <w:rFonts w:ascii="Times New Roman" w:eastAsiaTheme="minorEastAsia" w:hAnsi="Times New Roman" w:cs="Times New Roman"/>
        </w:rPr>
      </w:pPr>
      <w:r w:rsidRPr="001F26AD">
        <w:rPr>
          <w:rFonts w:ascii="Times New Roman" w:hAnsi="Times New Roman" w:cs="Times New Roman"/>
          <w:lang w:bidi="cs-CZ"/>
        </w:rPr>
        <w:t>Použití tohoto veterinárního léčivého přípravku u psů a koček s hmotností nižší než 2,5 kg</w:t>
      </w:r>
      <w:r w:rsidR="00542715" w:rsidRPr="001F26AD">
        <w:rPr>
          <w:rFonts w:ascii="Times New Roman" w:hAnsi="Times New Roman" w:cs="Times New Roman"/>
          <w:lang w:bidi="cs-CZ"/>
        </w:rPr>
        <w:t xml:space="preserve">, by mělo být na základě pečlivého zvážení terapeutického prospěchu a rizika příslušným veterinárním lékařem. </w:t>
      </w:r>
      <w:r w:rsidRPr="001F26AD">
        <w:rPr>
          <w:rFonts w:ascii="Times New Roman" w:hAnsi="Times New Roman" w:cs="Times New Roman"/>
          <w:lang w:bidi="cs-CZ"/>
        </w:rPr>
        <w:t>Viz bod 12.</w:t>
      </w:r>
    </w:p>
    <w:p w14:paraId="5D00D2EC" w14:textId="015D83B6" w:rsidR="00E331B4" w:rsidRPr="001F26AD" w:rsidRDefault="00E331B4">
      <w:pPr>
        <w:spacing w:after="0" w:line="276" w:lineRule="auto"/>
        <w:ind w:left="426"/>
        <w:rPr>
          <w:rFonts w:ascii="Times New Roman" w:eastAsiaTheme="minorEastAsia" w:hAnsi="Times New Roman" w:cs="Times New Roman"/>
        </w:rPr>
      </w:pPr>
    </w:p>
    <w:p w14:paraId="70264385" w14:textId="3A989AA5" w:rsidR="00A364B9" w:rsidRPr="001F26AD" w:rsidRDefault="00A364B9" w:rsidP="00521D5D">
      <w:pPr>
        <w:pStyle w:val="Nadpis1"/>
        <w:spacing w:before="0"/>
        <w:ind w:left="426"/>
        <w:rPr>
          <w:rFonts w:ascii="Times New Roman" w:hAnsi="Times New Roman" w:cs="Times New Roman"/>
          <w:sz w:val="22"/>
          <w:szCs w:val="22"/>
          <w:lang w:val="en-US"/>
        </w:rPr>
      </w:pPr>
      <w:r w:rsidRPr="001F26AD">
        <w:rPr>
          <w:rFonts w:ascii="Times New Roman" w:hAnsi="Times New Roman" w:cs="Times New Roman"/>
          <w:color w:val="auto"/>
          <w:sz w:val="22"/>
          <w:szCs w:val="22"/>
          <w:lang w:bidi="cs-CZ"/>
        </w:rPr>
        <w:t>POKYN</w:t>
      </w:r>
      <w:r w:rsidR="00521D5D" w:rsidRPr="001F26AD">
        <w:rPr>
          <w:rFonts w:ascii="Times New Roman" w:hAnsi="Times New Roman" w:cs="Times New Roman"/>
          <w:color w:val="auto"/>
          <w:sz w:val="22"/>
          <w:szCs w:val="22"/>
          <w:lang w:bidi="cs-CZ"/>
        </w:rPr>
        <w:t>Y</w:t>
      </w:r>
      <w:r w:rsidRPr="001F26AD">
        <w:rPr>
          <w:rFonts w:ascii="Times New Roman" w:hAnsi="Times New Roman" w:cs="Times New Roman"/>
          <w:color w:val="auto"/>
          <w:sz w:val="22"/>
          <w:szCs w:val="22"/>
          <w:lang w:bidi="cs-CZ"/>
        </w:rPr>
        <w:t xml:space="preserve"> PRO SPRÁVNÉ PODÁNÍ</w:t>
      </w:r>
    </w:p>
    <w:p w14:paraId="5B510F60" w14:textId="77777777" w:rsidR="00E331B4" w:rsidRPr="001F26AD" w:rsidRDefault="00E331B4" w:rsidP="005D0D2F">
      <w:pPr>
        <w:spacing w:after="0" w:line="240" w:lineRule="auto"/>
        <w:rPr>
          <w:rFonts w:ascii="Times New Roman" w:hAnsi="Times New Roman" w:cs="Times New Roman"/>
          <w:lang w:val="en-US"/>
        </w:rPr>
      </w:pPr>
    </w:p>
    <w:p w14:paraId="707400AA" w14:textId="4003B035" w:rsidR="005F756D" w:rsidRPr="001F26AD" w:rsidRDefault="00335741" w:rsidP="005D2CC4">
      <w:pPr>
        <w:spacing w:after="0" w:line="276" w:lineRule="auto"/>
        <w:ind w:left="426"/>
        <w:jc w:val="both"/>
        <w:rPr>
          <w:rFonts w:ascii="Times New Roman" w:hAnsi="Times New Roman" w:cs="Times New Roman"/>
          <w:lang w:bidi="cs-CZ"/>
        </w:rPr>
      </w:pPr>
      <w:r w:rsidRPr="001F26AD">
        <w:rPr>
          <w:rFonts w:ascii="Times New Roman" w:hAnsi="Times New Roman" w:cs="Times New Roman"/>
          <w:lang w:bidi="cs-CZ"/>
        </w:rPr>
        <w:t> Aby se předešlo</w:t>
      </w:r>
      <w:r w:rsidR="00387566" w:rsidRPr="001F26AD">
        <w:rPr>
          <w:rFonts w:ascii="Times New Roman" w:hAnsi="Times New Roman" w:cs="Times New Roman"/>
          <w:lang w:bidi="cs-CZ"/>
        </w:rPr>
        <w:t xml:space="preserve"> poddávkování</w:t>
      </w:r>
      <w:r w:rsidRPr="001F26AD">
        <w:rPr>
          <w:rFonts w:ascii="Times New Roman" w:hAnsi="Times New Roman" w:cs="Times New Roman"/>
          <w:lang w:bidi="cs-CZ"/>
        </w:rPr>
        <w:t>,</w:t>
      </w:r>
      <w:r w:rsidR="00387566" w:rsidRPr="001F26AD">
        <w:rPr>
          <w:rFonts w:ascii="Times New Roman" w:hAnsi="Times New Roman" w:cs="Times New Roman"/>
          <w:lang w:bidi="cs-CZ"/>
        </w:rPr>
        <w:t xml:space="preserve"> musí být co nejpřesněji stanovena živá hmotnost léčeného zvířete.</w:t>
      </w:r>
    </w:p>
    <w:p w14:paraId="6596BC28" w14:textId="77777777" w:rsidR="00743FDB" w:rsidRPr="001F26AD" w:rsidRDefault="00743FDB" w:rsidP="005D2CC4">
      <w:pPr>
        <w:spacing w:after="0" w:line="276" w:lineRule="auto"/>
        <w:ind w:left="426"/>
        <w:jc w:val="both"/>
        <w:rPr>
          <w:rFonts w:ascii="Times New Roman" w:eastAsiaTheme="majorEastAsia" w:hAnsi="Times New Roman" w:cs="Times New Roman"/>
          <w:b/>
          <w:bCs/>
          <w:lang w:val="en-US"/>
        </w:rPr>
      </w:pPr>
    </w:p>
    <w:p w14:paraId="3790C314" w14:textId="53313F35" w:rsidR="00A364B9" w:rsidRPr="001F26AD" w:rsidRDefault="00A364B9" w:rsidP="00521D5D">
      <w:pPr>
        <w:pStyle w:val="Nadpis1"/>
        <w:spacing w:before="0"/>
        <w:ind w:left="426"/>
        <w:rPr>
          <w:rFonts w:ascii="Times New Roman" w:hAnsi="Times New Roman" w:cs="Times New Roman"/>
          <w:b w:val="0"/>
          <w:bCs w:val="0"/>
          <w:sz w:val="22"/>
          <w:szCs w:val="22"/>
          <w:lang w:val="es-ES"/>
        </w:rPr>
      </w:pPr>
      <w:r w:rsidRPr="001F26AD">
        <w:rPr>
          <w:rFonts w:ascii="Times New Roman" w:hAnsi="Times New Roman" w:cs="Times New Roman"/>
          <w:color w:val="auto"/>
          <w:sz w:val="22"/>
          <w:szCs w:val="22"/>
          <w:lang w:bidi="cs-CZ"/>
        </w:rPr>
        <w:t>OCHRANN</w:t>
      </w:r>
      <w:r w:rsidR="00521D5D" w:rsidRPr="00335741">
        <w:rPr>
          <w:rFonts w:ascii="Times New Roman" w:eastAsia="Times New Roman" w:hAnsi="Times New Roman" w:cs="Times New Roman"/>
          <w:bCs w:val="0"/>
          <w:color w:val="auto"/>
          <w:sz w:val="22"/>
          <w:szCs w:val="22"/>
        </w:rPr>
        <w:t xml:space="preserve"> </w:t>
      </w:r>
      <w:r w:rsidR="00521D5D" w:rsidRPr="001F26AD">
        <w:rPr>
          <w:rFonts w:ascii="Times New Roman" w:hAnsi="Times New Roman" w:cs="Times New Roman"/>
          <w:color w:val="auto"/>
          <w:sz w:val="22"/>
          <w:szCs w:val="22"/>
          <w:lang w:bidi="cs-CZ"/>
        </w:rPr>
        <w:t xml:space="preserve">Á(É) </w:t>
      </w:r>
      <w:proofErr w:type="gramStart"/>
      <w:r w:rsidR="00521D5D" w:rsidRPr="001F26AD">
        <w:rPr>
          <w:rFonts w:ascii="Times New Roman" w:hAnsi="Times New Roman" w:cs="Times New Roman"/>
          <w:color w:val="auto"/>
          <w:sz w:val="22"/>
          <w:szCs w:val="22"/>
          <w:lang w:bidi="cs-CZ"/>
        </w:rPr>
        <w:t>LHŮTA(Y)</w:t>
      </w:r>
      <w:proofErr w:type="gramEnd"/>
    </w:p>
    <w:p w14:paraId="384150D5" w14:textId="77777777" w:rsidR="000C2E70" w:rsidRPr="001F26AD" w:rsidRDefault="000C2E70" w:rsidP="005D0D2F">
      <w:pPr>
        <w:spacing w:after="0" w:line="240" w:lineRule="auto"/>
        <w:ind w:left="426"/>
        <w:rPr>
          <w:rFonts w:ascii="Times New Roman" w:eastAsiaTheme="minorEastAsia" w:hAnsi="Times New Roman" w:cs="Times New Roman"/>
          <w:lang w:val="es-ES"/>
        </w:rPr>
      </w:pPr>
    </w:p>
    <w:p w14:paraId="3898BEC6" w14:textId="688BA4B0" w:rsidR="000923E8" w:rsidRPr="001F26AD" w:rsidRDefault="00F24CED" w:rsidP="0023415D">
      <w:pPr>
        <w:spacing w:after="0" w:line="240" w:lineRule="auto"/>
        <w:ind w:left="426"/>
        <w:rPr>
          <w:rFonts w:ascii="Times New Roman" w:hAnsi="Times New Roman" w:cs="Times New Roman"/>
          <w:lang w:bidi="cs-CZ"/>
        </w:rPr>
      </w:pPr>
      <w:r w:rsidRPr="00F24CED">
        <w:rPr>
          <w:rFonts w:ascii="Times New Roman" w:hAnsi="Times New Roman" w:cs="Times New Roman"/>
          <w:lang w:val="it-IT" w:bidi="cs-CZ"/>
        </w:rPr>
        <w:t xml:space="preserve"> </w:t>
      </w:r>
      <w:r>
        <w:rPr>
          <w:rFonts w:ascii="Times New Roman" w:hAnsi="Times New Roman" w:cs="Times New Roman"/>
          <w:lang w:val="it-IT" w:bidi="cs-CZ"/>
        </w:rPr>
        <w:t>Není určeno pro potravinová zvířata</w:t>
      </w:r>
      <w:r w:rsidR="0023415D" w:rsidRPr="001F26AD">
        <w:rPr>
          <w:rFonts w:ascii="Times New Roman" w:hAnsi="Times New Roman" w:cs="Times New Roman"/>
          <w:lang w:bidi="cs-CZ"/>
        </w:rPr>
        <w:t>.</w:t>
      </w:r>
    </w:p>
    <w:p w14:paraId="5D7BBD22" w14:textId="77777777" w:rsidR="00335741" w:rsidRPr="001F26AD" w:rsidRDefault="00335741" w:rsidP="0023415D">
      <w:pPr>
        <w:spacing w:after="0" w:line="240" w:lineRule="auto"/>
        <w:ind w:left="426"/>
        <w:rPr>
          <w:rFonts w:ascii="Times New Roman" w:hAnsi="Times New Roman" w:cs="Times New Roman"/>
          <w:lang w:val="it-IT" w:bidi="cs-CZ"/>
        </w:rPr>
      </w:pPr>
    </w:p>
    <w:p w14:paraId="48B3C571" w14:textId="2352A867" w:rsidR="00A364B9" w:rsidRPr="001F26AD" w:rsidRDefault="00A364B9" w:rsidP="00521D5D">
      <w:pPr>
        <w:pStyle w:val="Nadpis1"/>
        <w:spacing w:before="0"/>
        <w:ind w:left="426"/>
        <w:rPr>
          <w:rFonts w:ascii="Times New Roman" w:hAnsi="Times New Roman" w:cs="Times New Roman"/>
          <w:b w:val="0"/>
          <w:bCs w:val="0"/>
          <w:sz w:val="22"/>
          <w:szCs w:val="22"/>
          <w:lang w:val="en-US"/>
        </w:rPr>
      </w:pPr>
      <w:r w:rsidRPr="001F26AD">
        <w:rPr>
          <w:rFonts w:ascii="Times New Roman" w:hAnsi="Times New Roman" w:cs="Times New Roman"/>
          <w:color w:val="auto"/>
          <w:sz w:val="22"/>
          <w:szCs w:val="22"/>
          <w:lang w:bidi="cs-CZ"/>
        </w:rPr>
        <w:t xml:space="preserve">ZVLÁŠTNÍ OPATŘENÍ PRO </w:t>
      </w:r>
      <w:r w:rsidR="00521D5D" w:rsidRPr="001F26AD">
        <w:rPr>
          <w:rFonts w:ascii="Times New Roman" w:hAnsi="Times New Roman" w:cs="Times New Roman"/>
          <w:color w:val="auto"/>
          <w:sz w:val="22"/>
          <w:szCs w:val="22"/>
          <w:lang w:bidi="cs-CZ"/>
        </w:rPr>
        <w:t>UCHOVÁVÁNÍ</w:t>
      </w:r>
    </w:p>
    <w:p w14:paraId="5D568EAE" w14:textId="77777777" w:rsidR="00CD74D4" w:rsidRPr="001F26AD" w:rsidRDefault="00CD74D4" w:rsidP="005D0D2F">
      <w:pPr>
        <w:spacing w:after="0" w:line="240" w:lineRule="auto"/>
        <w:ind w:left="426"/>
        <w:rPr>
          <w:rFonts w:ascii="Times New Roman" w:eastAsiaTheme="minorEastAsia" w:hAnsi="Times New Roman" w:cs="Times New Roman"/>
          <w:lang w:val="en-US"/>
        </w:rPr>
      </w:pPr>
    </w:p>
    <w:p w14:paraId="33AA57B8" w14:textId="57557D68" w:rsidR="00A364B9" w:rsidRPr="001F26AD" w:rsidRDefault="00521D5D" w:rsidP="00CC75A2">
      <w:pPr>
        <w:spacing w:after="0" w:line="276" w:lineRule="auto"/>
        <w:ind w:left="426"/>
        <w:jc w:val="both"/>
        <w:rPr>
          <w:rFonts w:ascii="Times New Roman" w:eastAsiaTheme="minorEastAsia" w:hAnsi="Times New Roman" w:cs="Times New Roman"/>
          <w:lang w:val="en-US"/>
        </w:rPr>
      </w:pPr>
      <w:r w:rsidRPr="001F26AD">
        <w:rPr>
          <w:rFonts w:ascii="Times New Roman" w:hAnsi="Times New Roman" w:cs="Times New Roman"/>
          <w:lang w:bidi="cs-CZ"/>
        </w:rPr>
        <w:t xml:space="preserve">Uchovávat </w:t>
      </w:r>
      <w:r w:rsidR="00A364B9" w:rsidRPr="001F26AD">
        <w:rPr>
          <w:rFonts w:ascii="Times New Roman" w:hAnsi="Times New Roman" w:cs="Times New Roman"/>
          <w:lang w:bidi="cs-CZ"/>
        </w:rPr>
        <w:t xml:space="preserve">mimo dohled a dosah </w:t>
      </w:r>
      <w:r w:rsidR="00D05270" w:rsidRPr="001F26AD">
        <w:rPr>
          <w:rFonts w:ascii="Times New Roman" w:hAnsi="Times New Roman" w:cs="Times New Roman"/>
          <w:lang w:bidi="cs-CZ"/>
        </w:rPr>
        <w:t>dětí</w:t>
      </w:r>
      <w:r w:rsidR="00A364B9" w:rsidRPr="001F26AD">
        <w:rPr>
          <w:rFonts w:ascii="Times New Roman" w:hAnsi="Times New Roman" w:cs="Times New Roman"/>
          <w:lang w:bidi="cs-CZ"/>
        </w:rPr>
        <w:t>.</w:t>
      </w:r>
    </w:p>
    <w:p w14:paraId="5BFD5218" w14:textId="05B8F672" w:rsidR="00062D93" w:rsidRPr="001F26AD" w:rsidRDefault="00521D5D" w:rsidP="00CC75A2">
      <w:pPr>
        <w:spacing w:after="0" w:line="276" w:lineRule="auto"/>
        <w:ind w:left="426"/>
        <w:jc w:val="both"/>
        <w:rPr>
          <w:rFonts w:ascii="Times New Roman" w:hAnsi="Times New Roman" w:cs="Times New Roman"/>
          <w:lang w:bidi="cs-CZ"/>
        </w:rPr>
      </w:pPr>
      <w:r w:rsidRPr="001F26AD">
        <w:rPr>
          <w:rFonts w:ascii="Times New Roman" w:hAnsi="Times New Roman" w:cs="Times New Roman"/>
          <w:lang w:bidi="cs-CZ"/>
        </w:rPr>
        <w:lastRenderedPageBreak/>
        <w:t xml:space="preserve">Tento veterinární léčivý přípravek nevyžaduje žádné zvláštní podmínky uchovávání. </w:t>
      </w:r>
    </w:p>
    <w:p w14:paraId="0BEBC166" w14:textId="7BB75F67" w:rsidR="00BF3D98" w:rsidRPr="001F26AD" w:rsidRDefault="00B51999" w:rsidP="00CC75A2">
      <w:pPr>
        <w:spacing w:after="0" w:line="276" w:lineRule="auto"/>
        <w:ind w:firstLine="426"/>
        <w:jc w:val="both"/>
        <w:rPr>
          <w:rFonts w:ascii="Times New Roman" w:eastAsiaTheme="minorEastAsia" w:hAnsi="Times New Roman" w:cs="Times New Roman"/>
        </w:rPr>
      </w:pPr>
      <w:r w:rsidRPr="001F26AD">
        <w:rPr>
          <w:rFonts w:ascii="Times New Roman" w:eastAsiaTheme="minorEastAsia" w:hAnsi="Times New Roman" w:cs="Times New Roman"/>
        </w:rPr>
        <w:t xml:space="preserve">Zbylé nepoužité části </w:t>
      </w:r>
      <w:r w:rsidR="006B5CE7" w:rsidRPr="001F26AD">
        <w:rPr>
          <w:rFonts w:ascii="Times New Roman" w:eastAsiaTheme="minorEastAsia" w:hAnsi="Times New Roman" w:cs="Times New Roman"/>
        </w:rPr>
        <w:t xml:space="preserve">tablet uchovávejte v blistru a použijte je </w:t>
      </w:r>
      <w:r w:rsidRPr="001F26AD">
        <w:rPr>
          <w:rFonts w:ascii="Times New Roman" w:eastAsiaTheme="minorEastAsia" w:hAnsi="Times New Roman" w:cs="Times New Roman"/>
        </w:rPr>
        <w:t>při příštím</w:t>
      </w:r>
      <w:r w:rsidR="006B5CE7" w:rsidRPr="001F26AD">
        <w:rPr>
          <w:rFonts w:ascii="Times New Roman" w:eastAsiaTheme="minorEastAsia" w:hAnsi="Times New Roman" w:cs="Times New Roman"/>
        </w:rPr>
        <w:t xml:space="preserve"> podání.</w:t>
      </w:r>
    </w:p>
    <w:p w14:paraId="5602072C" w14:textId="12A508C9" w:rsidR="00A364B9" w:rsidRPr="001F26AD" w:rsidRDefault="00521D5D" w:rsidP="00CC75A2">
      <w:pPr>
        <w:spacing w:after="0" w:line="276" w:lineRule="auto"/>
        <w:ind w:left="426"/>
        <w:jc w:val="both"/>
        <w:rPr>
          <w:rFonts w:ascii="Times New Roman" w:eastAsiaTheme="minorEastAsia" w:hAnsi="Times New Roman" w:cs="Times New Roman"/>
        </w:rPr>
      </w:pPr>
      <w:r w:rsidRPr="001F26AD">
        <w:rPr>
          <w:rFonts w:ascii="Times New Roman" w:hAnsi="Times New Roman" w:cs="Times New Roman"/>
          <w:lang w:bidi="cs-CZ"/>
        </w:rPr>
        <w:t>Nepoužívejte t</w:t>
      </w:r>
      <w:r w:rsidR="00A364B9" w:rsidRPr="001F26AD">
        <w:rPr>
          <w:rFonts w:ascii="Times New Roman" w:hAnsi="Times New Roman" w:cs="Times New Roman"/>
          <w:lang w:bidi="cs-CZ"/>
        </w:rPr>
        <w:t xml:space="preserve">ento veterinární léčivý přípravek po uplynutí </w:t>
      </w:r>
      <w:r w:rsidRPr="001F26AD">
        <w:rPr>
          <w:rFonts w:ascii="Times New Roman" w:hAnsi="Times New Roman" w:cs="Times New Roman"/>
          <w:lang w:bidi="cs-CZ"/>
        </w:rPr>
        <w:t xml:space="preserve">doby </w:t>
      </w:r>
      <w:r w:rsidR="00A364B9" w:rsidRPr="001F26AD">
        <w:rPr>
          <w:rFonts w:ascii="Times New Roman" w:hAnsi="Times New Roman" w:cs="Times New Roman"/>
          <w:lang w:bidi="cs-CZ"/>
        </w:rPr>
        <w:t>použitelnost</w:t>
      </w:r>
      <w:r w:rsidR="00B51999" w:rsidRPr="001F26AD">
        <w:rPr>
          <w:rFonts w:ascii="Times New Roman" w:hAnsi="Times New Roman" w:cs="Times New Roman"/>
          <w:lang w:bidi="cs-CZ"/>
        </w:rPr>
        <w:t>i</w:t>
      </w:r>
      <w:r w:rsidRPr="00335741">
        <w:rPr>
          <w:rFonts w:ascii="Times New Roman" w:eastAsia="Times New Roman" w:hAnsi="Times New Roman" w:cs="Times New Roman"/>
        </w:rPr>
        <w:t xml:space="preserve"> </w:t>
      </w:r>
      <w:r w:rsidRPr="001F26AD">
        <w:rPr>
          <w:rFonts w:ascii="Times New Roman" w:hAnsi="Times New Roman" w:cs="Times New Roman"/>
          <w:lang w:bidi="cs-CZ"/>
        </w:rPr>
        <w:t>uvedené na</w:t>
      </w:r>
      <w:r w:rsidR="00A364B9" w:rsidRPr="001F26AD">
        <w:rPr>
          <w:rFonts w:ascii="Times New Roman" w:hAnsi="Times New Roman" w:cs="Times New Roman"/>
          <w:lang w:bidi="cs-CZ"/>
        </w:rPr>
        <w:t xml:space="preserve"> krabičce a blistru </w:t>
      </w:r>
      <w:r w:rsidR="00B51999" w:rsidRPr="001F26AD">
        <w:rPr>
          <w:rFonts w:ascii="Times New Roman" w:hAnsi="Times New Roman" w:cs="Times New Roman"/>
          <w:lang w:bidi="cs-CZ"/>
        </w:rPr>
        <w:t xml:space="preserve">po </w:t>
      </w:r>
      <w:r w:rsidR="00A364B9" w:rsidRPr="001F26AD">
        <w:rPr>
          <w:rFonts w:ascii="Times New Roman" w:hAnsi="Times New Roman" w:cs="Times New Roman"/>
          <w:lang w:bidi="cs-CZ"/>
        </w:rPr>
        <w:t xml:space="preserve">EXP. Doba použitelnosti </w:t>
      </w:r>
      <w:r w:rsidRPr="001F26AD">
        <w:rPr>
          <w:rFonts w:ascii="Times New Roman" w:hAnsi="Times New Roman" w:cs="Times New Roman"/>
          <w:lang w:bidi="cs-CZ"/>
        </w:rPr>
        <w:t>končí posledním dnem v uvedeném měsíci</w:t>
      </w:r>
      <w:r w:rsidR="006B5CE7" w:rsidRPr="001F26AD">
        <w:rPr>
          <w:rFonts w:ascii="Times New Roman" w:hAnsi="Times New Roman" w:cs="Times New Roman"/>
          <w:lang w:bidi="cs-CZ"/>
        </w:rPr>
        <w:t>.</w:t>
      </w:r>
    </w:p>
    <w:p w14:paraId="7A54C921" w14:textId="4AB0E524" w:rsidR="00BF3D98" w:rsidRPr="001F26AD" w:rsidRDefault="00BF3D98" w:rsidP="00CC75A2">
      <w:pPr>
        <w:spacing w:after="0" w:line="240" w:lineRule="auto"/>
        <w:ind w:firstLine="426"/>
        <w:jc w:val="both"/>
        <w:rPr>
          <w:rFonts w:ascii="Times New Roman" w:eastAsia="Times New Roman" w:hAnsi="Times New Roman" w:cs="Times New Roman"/>
          <w:spacing w:val="-2"/>
          <w:lang w:eastAsia="es-ES"/>
        </w:rPr>
      </w:pPr>
      <w:r w:rsidRPr="001F26AD">
        <w:rPr>
          <w:rFonts w:ascii="Times New Roman" w:hAnsi="Times New Roman" w:cs="Times New Roman"/>
          <w:spacing w:val="-2"/>
          <w:lang w:bidi="cs-CZ"/>
        </w:rPr>
        <w:t xml:space="preserve">Doba použitelnosti </w:t>
      </w:r>
      <w:r w:rsidR="00B51999" w:rsidRPr="001F26AD">
        <w:rPr>
          <w:rFonts w:ascii="Times New Roman" w:hAnsi="Times New Roman" w:cs="Times New Roman"/>
          <w:spacing w:val="-2"/>
          <w:lang w:bidi="cs-CZ"/>
        </w:rPr>
        <w:t>zbylých částí tablety</w:t>
      </w:r>
      <w:r w:rsidRPr="001F26AD">
        <w:rPr>
          <w:rFonts w:ascii="Times New Roman" w:hAnsi="Times New Roman" w:cs="Times New Roman"/>
          <w:spacing w:val="-2"/>
          <w:lang w:bidi="cs-CZ"/>
        </w:rPr>
        <w:t>: 3 dny.</w:t>
      </w:r>
    </w:p>
    <w:p w14:paraId="5087CB44" w14:textId="77777777" w:rsidR="00F13855" w:rsidRPr="001F26AD" w:rsidRDefault="00F13855" w:rsidP="00F13855">
      <w:pPr>
        <w:spacing w:after="0" w:line="240" w:lineRule="auto"/>
        <w:ind w:firstLine="426"/>
        <w:jc w:val="both"/>
        <w:rPr>
          <w:rFonts w:ascii="Times New Roman" w:eastAsiaTheme="minorEastAsia" w:hAnsi="Times New Roman" w:cs="Times New Roman"/>
        </w:rPr>
      </w:pPr>
    </w:p>
    <w:p w14:paraId="26DA0824" w14:textId="57CA1048" w:rsidR="00A364B9" w:rsidRPr="001F26AD" w:rsidRDefault="00A364B9" w:rsidP="00071372">
      <w:pPr>
        <w:pStyle w:val="Nadpis1"/>
        <w:spacing w:before="0"/>
        <w:ind w:left="426"/>
        <w:rPr>
          <w:rFonts w:ascii="Times New Roman" w:hAnsi="Times New Roman" w:cs="Times New Roman"/>
          <w:b w:val="0"/>
          <w:bCs w:val="0"/>
          <w:sz w:val="22"/>
          <w:szCs w:val="22"/>
          <w:lang w:val="en-US"/>
        </w:rPr>
      </w:pPr>
      <w:r w:rsidRPr="001F26AD">
        <w:rPr>
          <w:rFonts w:ascii="Times New Roman" w:hAnsi="Times New Roman" w:cs="Times New Roman"/>
          <w:color w:val="auto"/>
          <w:sz w:val="22"/>
          <w:szCs w:val="22"/>
          <w:lang w:bidi="cs-CZ"/>
        </w:rPr>
        <w:t>ZVLÁŠTNÍ UPOZORNĚNÍ</w:t>
      </w:r>
    </w:p>
    <w:p w14:paraId="7DDF6C80" w14:textId="77777777" w:rsidR="002231DE" w:rsidRPr="001F26AD" w:rsidRDefault="002231DE" w:rsidP="005D0D2F">
      <w:pPr>
        <w:spacing w:after="0" w:line="240" w:lineRule="auto"/>
        <w:ind w:left="567"/>
        <w:rPr>
          <w:rFonts w:ascii="Times New Roman" w:eastAsiaTheme="minorEastAsia" w:hAnsi="Times New Roman" w:cs="Times New Roman"/>
          <w:u w:val="single"/>
          <w:lang w:val="en-US"/>
        </w:rPr>
      </w:pPr>
    </w:p>
    <w:p w14:paraId="3DE11311" w14:textId="6164D84C" w:rsidR="002231DE" w:rsidRPr="001F26AD" w:rsidRDefault="002231DE" w:rsidP="008166E2">
      <w:pPr>
        <w:spacing w:after="0" w:line="276" w:lineRule="auto"/>
        <w:ind w:left="426"/>
        <w:jc w:val="both"/>
        <w:rPr>
          <w:rFonts w:ascii="Times New Roman" w:eastAsiaTheme="minorEastAsia" w:hAnsi="Times New Roman" w:cs="Times New Roman"/>
          <w:u w:val="single"/>
          <w:lang w:val="en-US"/>
        </w:rPr>
      </w:pPr>
      <w:r w:rsidRPr="001F26AD">
        <w:rPr>
          <w:rFonts w:ascii="Times New Roman" w:hAnsi="Times New Roman" w:cs="Times New Roman"/>
          <w:u w:val="single"/>
          <w:lang w:bidi="cs-CZ"/>
        </w:rPr>
        <w:t xml:space="preserve">Zvláštní upozornění pro </w:t>
      </w:r>
      <w:r w:rsidR="008166E2" w:rsidRPr="001F26AD">
        <w:rPr>
          <w:rFonts w:ascii="Times New Roman" w:hAnsi="Times New Roman" w:cs="Times New Roman"/>
          <w:u w:val="single"/>
          <w:lang w:bidi="cs-CZ"/>
        </w:rPr>
        <w:t>každý cílový druh</w:t>
      </w:r>
      <w:r w:rsidR="00E161AC" w:rsidRPr="001F26AD">
        <w:rPr>
          <w:rFonts w:ascii="Times New Roman" w:hAnsi="Times New Roman" w:cs="Times New Roman"/>
          <w:u w:val="single"/>
          <w:lang w:bidi="cs-CZ"/>
        </w:rPr>
        <w:t xml:space="preserve"> </w:t>
      </w:r>
    </w:p>
    <w:p w14:paraId="708B9F8A" w14:textId="44F39BD7" w:rsidR="00C629A1" w:rsidRPr="001F26AD" w:rsidRDefault="00C629A1" w:rsidP="008C35B4">
      <w:pPr>
        <w:spacing w:after="0" w:line="276" w:lineRule="auto"/>
        <w:ind w:left="426"/>
        <w:jc w:val="both"/>
        <w:rPr>
          <w:rFonts w:ascii="Times New Roman" w:eastAsiaTheme="minorEastAsia" w:hAnsi="Times New Roman" w:cs="Times New Roman"/>
          <w:color w:val="000000" w:themeColor="text1"/>
        </w:rPr>
      </w:pPr>
      <w:r w:rsidRPr="001F26AD">
        <w:rPr>
          <w:rFonts w:ascii="Times New Roman" w:hAnsi="Times New Roman" w:cs="Times New Roman"/>
          <w:lang w:bidi="cs-CZ"/>
        </w:rPr>
        <w:t xml:space="preserve">Pyodermie je </w:t>
      </w:r>
      <w:r w:rsidR="00A82A12" w:rsidRPr="001F26AD">
        <w:rPr>
          <w:rFonts w:ascii="Times New Roman" w:hAnsi="Times New Roman" w:cs="Times New Roman"/>
          <w:lang w:bidi="cs-CZ"/>
        </w:rPr>
        <w:t xml:space="preserve">obvykle sekundární </w:t>
      </w:r>
      <w:r w:rsidRPr="001F26AD">
        <w:rPr>
          <w:rFonts w:ascii="Times New Roman" w:hAnsi="Times New Roman" w:cs="Times New Roman"/>
          <w:lang w:bidi="cs-CZ"/>
        </w:rPr>
        <w:t>k základnímu onemocnění. Doporučuje se určit základní onemocnění a zajistit tak vhodn</w:t>
      </w:r>
      <w:r w:rsidR="00A82A12" w:rsidRPr="001F26AD">
        <w:rPr>
          <w:rFonts w:ascii="Times New Roman" w:hAnsi="Times New Roman" w:cs="Times New Roman"/>
          <w:lang w:bidi="cs-CZ"/>
        </w:rPr>
        <w:t>ou</w:t>
      </w:r>
      <w:r w:rsidRPr="001F26AD">
        <w:rPr>
          <w:rFonts w:ascii="Times New Roman" w:hAnsi="Times New Roman" w:cs="Times New Roman"/>
          <w:lang w:bidi="cs-CZ"/>
        </w:rPr>
        <w:t xml:space="preserve"> léčb</w:t>
      </w:r>
      <w:r w:rsidR="00A82A12" w:rsidRPr="001F26AD">
        <w:rPr>
          <w:rFonts w:ascii="Times New Roman" w:hAnsi="Times New Roman" w:cs="Times New Roman"/>
          <w:lang w:bidi="cs-CZ"/>
        </w:rPr>
        <w:t>u</w:t>
      </w:r>
      <w:r w:rsidRPr="001F26AD">
        <w:rPr>
          <w:rFonts w:ascii="Times New Roman" w:hAnsi="Times New Roman" w:cs="Times New Roman"/>
          <w:lang w:bidi="cs-CZ"/>
        </w:rPr>
        <w:t>.</w:t>
      </w:r>
    </w:p>
    <w:p w14:paraId="15A9862D" w14:textId="77777777" w:rsidR="002231DE" w:rsidRPr="001F26AD" w:rsidRDefault="002231DE" w:rsidP="005D0D2F">
      <w:pPr>
        <w:spacing w:after="0" w:line="240" w:lineRule="auto"/>
        <w:ind w:left="426"/>
        <w:rPr>
          <w:rFonts w:ascii="Times New Roman" w:eastAsiaTheme="minorEastAsia" w:hAnsi="Times New Roman" w:cs="Times New Roman"/>
          <w:u w:val="single"/>
        </w:rPr>
      </w:pPr>
    </w:p>
    <w:p w14:paraId="157708CD" w14:textId="66CDDBCA" w:rsidR="00A364B9" w:rsidRPr="001F26AD" w:rsidRDefault="00A364B9" w:rsidP="008166E2">
      <w:pPr>
        <w:spacing w:after="0" w:line="276" w:lineRule="auto"/>
        <w:ind w:left="426"/>
        <w:rPr>
          <w:rFonts w:ascii="Times New Roman" w:eastAsiaTheme="minorEastAsia" w:hAnsi="Times New Roman" w:cs="Times New Roman"/>
          <w:u w:val="single"/>
        </w:rPr>
      </w:pPr>
      <w:r w:rsidRPr="001F26AD">
        <w:rPr>
          <w:rFonts w:ascii="Times New Roman" w:hAnsi="Times New Roman" w:cs="Times New Roman"/>
          <w:u w:val="single"/>
          <w:lang w:bidi="cs-CZ"/>
        </w:rPr>
        <w:t xml:space="preserve">Zvláštní opatření pro použití </w:t>
      </w:r>
      <w:r w:rsidR="008166E2" w:rsidRPr="001F26AD">
        <w:rPr>
          <w:rFonts w:ascii="Times New Roman" w:hAnsi="Times New Roman" w:cs="Times New Roman"/>
          <w:u w:val="single"/>
          <w:lang w:bidi="cs-CZ"/>
        </w:rPr>
        <w:t>u zvířat</w:t>
      </w:r>
    </w:p>
    <w:p w14:paraId="1F2403AD" w14:textId="77777777" w:rsidR="00335741" w:rsidRPr="001F26AD" w:rsidRDefault="00335741" w:rsidP="006418BE">
      <w:pPr>
        <w:spacing w:after="0" w:line="276" w:lineRule="auto"/>
        <w:ind w:left="426"/>
        <w:jc w:val="both"/>
        <w:rPr>
          <w:rFonts w:ascii="Times New Roman" w:hAnsi="Times New Roman" w:cs="Times New Roman"/>
          <w:lang w:bidi="cs-CZ"/>
        </w:rPr>
      </w:pPr>
      <w:r w:rsidRPr="001F26AD">
        <w:rPr>
          <w:rFonts w:ascii="Times New Roman" w:hAnsi="Times New Roman" w:cs="Times New Roman"/>
          <w:lang w:bidi="cs-CZ"/>
        </w:rPr>
        <w:t>Přípravek by se měl používat na základě výsledků testů citlivosti bakterií izolovaných ze zvířete. Pokud to není možné, je třeba léčbu založit na místních epidemiologických informacích. Při použití tohoto přípravku je nutno zohlednit oficiální celostátní a místní pravidla antibiotické politiky.</w:t>
      </w:r>
    </w:p>
    <w:p w14:paraId="1F18B95C" w14:textId="6FF5A6C4" w:rsidR="006418BE" w:rsidRPr="001F26AD" w:rsidRDefault="00335741" w:rsidP="006418BE">
      <w:pPr>
        <w:spacing w:after="0" w:line="276" w:lineRule="auto"/>
        <w:ind w:left="426"/>
        <w:jc w:val="both"/>
        <w:rPr>
          <w:rFonts w:ascii="Times New Roman" w:hAnsi="Times New Roman" w:cs="Times New Roman"/>
          <w:lang w:bidi="cs-CZ"/>
        </w:rPr>
      </w:pPr>
      <w:r w:rsidRPr="001F26AD">
        <w:rPr>
          <w:rFonts w:ascii="Times New Roman" w:hAnsi="Times New Roman" w:cs="Times New Roman"/>
          <w:lang w:bidi="cs-CZ"/>
        </w:rPr>
        <w:t xml:space="preserve">Použití přípravku, které neodpovídá pokynům uvedeným v souhrnu údajů o přípravku, může zvýšit prevalenci bakterií rezistentních k </w:t>
      </w:r>
      <w:proofErr w:type="spellStart"/>
      <w:r w:rsidRPr="001F26AD">
        <w:rPr>
          <w:rFonts w:ascii="Times New Roman" w:hAnsi="Times New Roman" w:cs="Times New Roman"/>
          <w:lang w:bidi="cs-CZ"/>
        </w:rPr>
        <w:t>cefadroxilu</w:t>
      </w:r>
      <w:proofErr w:type="spellEnd"/>
      <w:r w:rsidRPr="001F26AD">
        <w:rPr>
          <w:rFonts w:ascii="Times New Roman" w:hAnsi="Times New Roman" w:cs="Times New Roman"/>
          <w:lang w:bidi="cs-CZ"/>
        </w:rPr>
        <w:t xml:space="preserve"> a snížit účinnost léčby peniciliny nebo cefalosporiny z důvodu možné zkřížené rezistence</w:t>
      </w:r>
      <w:r w:rsidR="006418BE" w:rsidRPr="001F26AD">
        <w:rPr>
          <w:rFonts w:ascii="Times New Roman" w:hAnsi="Times New Roman" w:cs="Times New Roman"/>
          <w:lang w:bidi="cs-CZ"/>
        </w:rPr>
        <w:t xml:space="preserve">. </w:t>
      </w:r>
    </w:p>
    <w:p w14:paraId="4D7630DC" w14:textId="77777777" w:rsidR="002D21F8" w:rsidRPr="001F26AD" w:rsidRDefault="002D21F8" w:rsidP="002D21F8">
      <w:pPr>
        <w:spacing w:after="0" w:line="276" w:lineRule="auto"/>
        <w:ind w:left="426"/>
        <w:jc w:val="both"/>
        <w:rPr>
          <w:rFonts w:ascii="Times New Roman" w:eastAsiaTheme="minorEastAsia" w:hAnsi="Times New Roman" w:cs="Times New Roman"/>
        </w:rPr>
      </w:pPr>
    </w:p>
    <w:p w14:paraId="2E0D451D" w14:textId="3E0BB0C7" w:rsidR="002D21F8" w:rsidRPr="001F26AD" w:rsidRDefault="002D21F8" w:rsidP="002D21F8">
      <w:pPr>
        <w:spacing w:after="0" w:line="276" w:lineRule="auto"/>
        <w:ind w:left="426"/>
        <w:jc w:val="both"/>
        <w:rPr>
          <w:rFonts w:ascii="Times New Roman" w:eastAsiaTheme="minorEastAsia" w:hAnsi="Times New Roman" w:cs="Times New Roman"/>
        </w:rPr>
      </w:pPr>
      <w:r w:rsidRPr="001F26AD">
        <w:rPr>
          <w:rFonts w:ascii="Times New Roman" w:hAnsi="Times New Roman" w:cs="Times New Roman"/>
          <w:lang w:bidi="cs-CZ"/>
        </w:rPr>
        <w:t xml:space="preserve">Stejně jako u jiných antibiotik, které jsou vylučovány převážně ledvinami, může při narušené funkci ledvin dojít k </w:t>
      </w:r>
      <w:r w:rsidR="00AE1F2D" w:rsidRPr="001F26AD">
        <w:rPr>
          <w:rFonts w:ascii="Times New Roman" w:hAnsi="Times New Roman" w:cs="Times New Roman"/>
          <w:lang w:bidi="cs-CZ"/>
        </w:rPr>
        <w:t>nežádoucí</w:t>
      </w:r>
      <w:r w:rsidRPr="001F26AD">
        <w:rPr>
          <w:rFonts w:ascii="Times New Roman" w:hAnsi="Times New Roman" w:cs="Times New Roman"/>
          <w:lang w:bidi="cs-CZ"/>
        </w:rPr>
        <w:t xml:space="preserve"> akumulaci v těle. V případech známé renální </w:t>
      </w:r>
      <w:r w:rsidR="00A52E51" w:rsidRPr="001F26AD">
        <w:rPr>
          <w:rFonts w:ascii="Times New Roman" w:hAnsi="Times New Roman" w:cs="Times New Roman"/>
          <w:lang w:bidi="cs-CZ"/>
        </w:rPr>
        <w:t>nedostatečnosti,</w:t>
      </w:r>
      <w:r w:rsidRPr="001F26AD">
        <w:rPr>
          <w:rFonts w:ascii="Times New Roman" w:hAnsi="Times New Roman" w:cs="Times New Roman"/>
          <w:lang w:bidi="cs-CZ"/>
        </w:rPr>
        <w:t xml:space="preserve"> musí být přípravek podáván s opatrností. Současně s přípravkem by neměly být podávány antimikrobiální látky, o nichž je známo, že jsou </w:t>
      </w:r>
      <w:proofErr w:type="spellStart"/>
      <w:r w:rsidRPr="001F26AD">
        <w:rPr>
          <w:rFonts w:ascii="Times New Roman" w:hAnsi="Times New Roman" w:cs="Times New Roman"/>
          <w:lang w:bidi="cs-CZ"/>
        </w:rPr>
        <w:t>nefrotoxické</w:t>
      </w:r>
      <w:proofErr w:type="spellEnd"/>
      <w:r w:rsidRPr="001F26AD">
        <w:rPr>
          <w:rFonts w:ascii="Times New Roman" w:hAnsi="Times New Roman" w:cs="Times New Roman"/>
          <w:lang w:bidi="cs-CZ"/>
        </w:rPr>
        <w:t xml:space="preserve">, a </w:t>
      </w:r>
      <w:r w:rsidR="00A52E51" w:rsidRPr="001F26AD">
        <w:rPr>
          <w:rFonts w:ascii="Times New Roman" w:hAnsi="Times New Roman" w:cs="Times New Roman"/>
          <w:lang w:bidi="cs-CZ"/>
        </w:rPr>
        <w:t xml:space="preserve">přípravek </w:t>
      </w:r>
      <w:r w:rsidRPr="001F26AD">
        <w:rPr>
          <w:rFonts w:ascii="Times New Roman" w:hAnsi="Times New Roman" w:cs="Times New Roman"/>
          <w:lang w:bidi="cs-CZ"/>
        </w:rPr>
        <w:t xml:space="preserve">by měl být používán pouze po zvážení rizika/přínosu příslušným </w:t>
      </w:r>
      <w:r w:rsidR="00A52E51" w:rsidRPr="001F26AD">
        <w:rPr>
          <w:rFonts w:ascii="Times New Roman" w:hAnsi="Times New Roman" w:cs="Times New Roman"/>
          <w:lang w:bidi="cs-CZ"/>
        </w:rPr>
        <w:t>veterinárním lékařem.</w:t>
      </w:r>
    </w:p>
    <w:p w14:paraId="698A9581" w14:textId="77777777" w:rsidR="00F66201" w:rsidRPr="001F26AD" w:rsidRDefault="00F66201">
      <w:pPr>
        <w:spacing w:after="0" w:line="276" w:lineRule="auto"/>
        <w:ind w:left="426"/>
        <w:jc w:val="both"/>
        <w:rPr>
          <w:rFonts w:ascii="Times New Roman" w:hAnsi="Times New Roman" w:cs="Times New Roman"/>
          <w:lang w:bidi="cs-CZ"/>
        </w:rPr>
      </w:pPr>
    </w:p>
    <w:p w14:paraId="568F12A6" w14:textId="77777777" w:rsidR="00257E6D" w:rsidRPr="001F26AD" w:rsidRDefault="002D21F8" w:rsidP="00257E6D">
      <w:pPr>
        <w:spacing w:after="0"/>
        <w:ind w:left="426"/>
        <w:jc w:val="both"/>
        <w:rPr>
          <w:rFonts w:ascii="Times New Roman" w:hAnsi="Times New Roman" w:cs="Times New Roman"/>
        </w:rPr>
      </w:pPr>
      <w:r w:rsidRPr="001F26AD">
        <w:rPr>
          <w:rFonts w:ascii="Times New Roman" w:hAnsi="Times New Roman" w:cs="Times New Roman"/>
          <w:lang w:bidi="cs-CZ"/>
        </w:rPr>
        <w:t>P</w:t>
      </w:r>
      <w:r w:rsidR="00F66201" w:rsidRPr="001F26AD">
        <w:rPr>
          <w:rFonts w:ascii="Times New Roman" w:hAnsi="Times New Roman" w:cs="Times New Roman"/>
          <w:lang w:bidi="cs-CZ"/>
        </w:rPr>
        <w:t xml:space="preserve">řípravek </w:t>
      </w:r>
      <w:r w:rsidRPr="001F26AD">
        <w:rPr>
          <w:rFonts w:ascii="Times New Roman" w:hAnsi="Times New Roman" w:cs="Times New Roman"/>
          <w:lang w:bidi="cs-CZ"/>
        </w:rPr>
        <w:t xml:space="preserve">není vhodný pro zvířata s hmotností nižší než 2,5 kg. U těchto zvířat by měl </w:t>
      </w:r>
      <w:r w:rsidR="00F66201" w:rsidRPr="001F26AD">
        <w:rPr>
          <w:rFonts w:ascii="Times New Roman" w:hAnsi="Times New Roman" w:cs="Times New Roman"/>
          <w:lang w:bidi="cs-CZ"/>
        </w:rPr>
        <w:t xml:space="preserve">přípravek </w:t>
      </w:r>
      <w:r w:rsidRPr="001F26AD">
        <w:rPr>
          <w:rFonts w:ascii="Times New Roman" w:hAnsi="Times New Roman" w:cs="Times New Roman"/>
          <w:lang w:bidi="cs-CZ"/>
        </w:rPr>
        <w:t xml:space="preserve">být používán na základě posouzení </w:t>
      </w:r>
      <w:r w:rsidR="00F66201" w:rsidRPr="001F26AD">
        <w:rPr>
          <w:rFonts w:ascii="Times New Roman" w:hAnsi="Times New Roman" w:cs="Times New Roman"/>
          <w:lang w:bidi="cs-CZ"/>
        </w:rPr>
        <w:t xml:space="preserve">terapeutických </w:t>
      </w:r>
      <w:r w:rsidRPr="001F26AD">
        <w:rPr>
          <w:rFonts w:ascii="Times New Roman" w:hAnsi="Times New Roman" w:cs="Times New Roman"/>
          <w:lang w:bidi="cs-CZ"/>
        </w:rPr>
        <w:t xml:space="preserve">přínosů </w:t>
      </w:r>
      <w:r w:rsidR="00257E6D" w:rsidRPr="001F26AD">
        <w:rPr>
          <w:rFonts w:ascii="Times New Roman" w:hAnsi="Times New Roman" w:cs="Times New Roman"/>
          <w:lang w:bidi="cs-CZ"/>
        </w:rPr>
        <w:t>a rizik příslušným veterinárním lékařem.</w:t>
      </w:r>
    </w:p>
    <w:p w14:paraId="05A7158B" w14:textId="12475B87" w:rsidR="00A344AA" w:rsidRPr="001F26AD" w:rsidRDefault="00A344AA" w:rsidP="00257E6D">
      <w:pPr>
        <w:spacing w:after="0" w:line="276" w:lineRule="auto"/>
        <w:ind w:left="426"/>
        <w:jc w:val="both"/>
        <w:rPr>
          <w:rFonts w:ascii="Times New Roman" w:eastAsiaTheme="minorEastAsia" w:hAnsi="Times New Roman" w:cs="Times New Roman"/>
        </w:rPr>
      </w:pPr>
    </w:p>
    <w:p w14:paraId="1DE05257" w14:textId="38D8D3C3" w:rsidR="00A364B9" w:rsidRPr="001F26AD" w:rsidRDefault="008166E2" w:rsidP="001F26AD">
      <w:pPr>
        <w:keepNext/>
        <w:spacing w:after="0" w:line="276" w:lineRule="auto"/>
        <w:ind w:left="425"/>
        <w:jc w:val="both"/>
        <w:rPr>
          <w:rFonts w:ascii="Times New Roman" w:eastAsiaTheme="minorEastAsia" w:hAnsi="Times New Roman" w:cs="Times New Roman"/>
          <w:u w:val="single"/>
        </w:rPr>
      </w:pPr>
      <w:r w:rsidRPr="001F26AD">
        <w:rPr>
          <w:rFonts w:ascii="Times New Roman" w:hAnsi="Times New Roman" w:cs="Times New Roman"/>
          <w:u w:val="single"/>
          <w:lang w:bidi="cs-CZ"/>
        </w:rPr>
        <w:t>Zvláštní opatření určené osobám, které podávají veterinární léčivý přípravek zvířatům</w:t>
      </w:r>
    </w:p>
    <w:p w14:paraId="7421EBE7" w14:textId="77777777" w:rsidR="0012590C" w:rsidRPr="001F26AD" w:rsidRDefault="0012590C" w:rsidP="001F26AD">
      <w:pPr>
        <w:spacing w:after="0" w:line="276" w:lineRule="auto"/>
        <w:ind w:left="425"/>
        <w:jc w:val="both"/>
        <w:rPr>
          <w:rFonts w:ascii="Times New Roman" w:eastAsiaTheme="minorEastAsia" w:hAnsi="Times New Roman" w:cs="Times New Roman"/>
        </w:rPr>
      </w:pPr>
      <w:r w:rsidRPr="001F26AD">
        <w:rPr>
          <w:rFonts w:ascii="Times New Roman" w:hAnsi="Times New Roman" w:cs="Times New Roman"/>
          <w:lang w:bidi="cs-CZ"/>
        </w:rPr>
        <w:t>Peniciliny a cefalosporiny mohou po injekci, inhalaci, požití nebo kontaktu s kůží vyvolat přecitlivělost (alergii). Přecitlivělost na penicilin může vést ke zkříženým reakcím s cefalosporiny a naopak. Alergické reakce na tyto látky mohou být v některých případech vážné. Nemanipulujte s veterinárním léčivým přípravkem, pokud víte, že jste přecitlivělí, nebo pokud vám bylo doporučeno se kontaktu s těmito látkami vyhýbat.</w:t>
      </w:r>
    </w:p>
    <w:p w14:paraId="5463E957" w14:textId="77777777" w:rsidR="0012590C" w:rsidRPr="001F26AD" w:rsidRDefault="0012590C" w:rsidP="001F26AD">
      <w:pPr>
        <w:spacing w:after="0" w:line="276" w:lineRule="auto"/>
        <w:ind w:left="425"/>
        <w:jc w:val="both"/>
        <w:rPr>
          <w:rFonts w:ascii="Times New Roman" w:eastAsiaTheme="minorEastAsia" w:hAnsi="Times New Roman" w:cs="Times New Roman"/>
        </w:rPr>
      </w:pPr>
      <w:r w:rsidRPr="001F26AD">
        <w:rPr>
          <w:rFonts w:ascii="Times New Roman" w:hAnsi="Times New Roman" w:cs="Times New Roman"/>
          <w:lang w:bidi="cs-CZ"/>
        </w:rPr>
        <w:t>Při manipulaci s veterinárním léčivým přípravkem buďte maximálně obezřetní, aby nedošlo k expozici a dodržujte všechna doporučená bezpečnostní opatření. Pokud se po expozici objeví příznaky, například kožní vyrážka, vyhledejte lékařskou pomoc a ukažte toto varování praktickému lékaři. Otok obličeje, rtů či očí nebo potíže s dýcháním jsou vážné příznaky a vyžadují okamžitou lékařskou péči.</w:t>
      </w:r>
    </w:p>
    <w:p w14:paraId="17FB8227" w14:textId="39205368" w:rsidR="0012590C" w:rsidRPr="001F26AD" w:rsidRDefault="0012590C" w:rsidP="001F26AD">
      <w:pPr>
        <w:spacing w:after="0" w:line="276" w:lineRule="auto"/>
        <w:ind w:left="425"/>
        <w:jc w:val="both"/>
        <w:rPr>
          <w:rFonts w:ascii="Times New Roman" w:eastAsiaTheme="minorEastAsia" w:hAnsi="Times New Roman" w:cs="Times New Roman"/>
        </w:rPr>
      </w:pPr>
      <w:r w:rsidRPr="001F26AD">
        <w:rPr>
          <w:rFonts w:ascii="Times New Roman" w:hAnsi="Times New Roman" w:cs="Times New Roman"/>
          <w:lang w:bidi="cs-CZ"/>
        </w:rPr>
        <w:t>Náhodné požití může způsobit gastrointestinální poruchy. Z důvodu snížení rizika náhodného požití dětmi, nevytahujte tablety z blistru před vlastním podání</w:t>
      </w:r>
      <w:r w:rsidR="006E4C6B" w:rsidRPr="001F26AD">
        <w:rPr>
          <w:rFonts w:ascii="Times New Roman" w:hAnsi="Times New Roman" w:cs="Times New Roman"/>
          <w:lang w:bidi="cs-CZ"/>
        </w:rPr>
        <w:t>m</w:t>
      </w:r>
      <w:r w:rsidRPr="001F26AD">
        <w:rPr>
          <w:rFonts w:ascii="Times New Roman" w:hAnsi="Times New Roman" w:cs="Times New Roman"/>
          <w:lang w:bidi="cs-CZ"/>
        </w:rPr>
        <w:t xml:space="preserve"> zvířeti. Nepoužité části tablet vracejte do blistru a do krabičky a použijte při následném podávání.</w:t>
      </w:r>
    </w:p>
    <w:p w14:paraId="26BCD9F3" w14:textId="77777777" w:rsidR="0012590C" w:rsidRPr="001F26AD" w:rsidRDefault="0012590C" w:rsidP="001F26AD">
      <w:pPr>
        <w:spacing w:after="0" w:line="276" w:lineRule="auto"/>
        <w:ind w:left="425"/>
        <w:jc w:val="both"/>
        <w:rPr>
          <w:rFonts w:ascii="Times New Roman" w:eastAsiaTheme="minorEastAsia" w:hAnsi="Times New Roman" w:cs="Times New Roman"/>
        </w:rPr>
      </w:pPr>
      <w:r w:rsidRPr="001F26AD">
        <w:rPr>
          <w:rFonts w:ascii="Times New Roman" w:hAnsi="Times New Roman" w:cs="Times New Roman"/>
          <w:lang w:bidi="cs-CZ"/>
        </w:rPr>
        <w:t>V případě náhodného požití, zejména dětmi, vyhledejte ihned lékařskou pomoc a ukažte příbalový leták nebo etiketu praktickému lékaři. Při manipulaci s přípravkem nekuřte, nejezte a nepijte.</w:t>
      </w:r>
    </w:p>
    <w:p w14:paraId="282C9307" w14:textId="77777777" w:rsidR="006E4C6B" w:rsidRPr="001F26AD" w:rsidRDefault="0012590C" w:rsidP="001F26AD">
      <w:pPr>
        <w:spacing w:after="0" w:line="276" w:lineRule="auto"/>
        <w:ind w:left="425"/>
        <w:jc w:val="both"/>
        <w:rPr>
          <w:rFonts w:ascii="Times New Roman" w:hAnsi="Times New Roman" w:cs="Times New Roman"/>
          <w:lang w:bidi="cs-CZ"/>
        </w:rPr>
      </w:pPr>
      <w:r w:rsidRPr="001F26AD">
        <w:rPr>
          <w:rFonts w:ascii="Times New Roman" w:hAnsi="Times New Roman" w:cs="Times New Roman"/>
          <w:lang w:bidi="cs-CZ"/>
        </w:rPr>
        <w:t>Po použití si umyjte ruce.</w:t>
      </w:r>
    </w:p>
    <w:p w14:paraId="79817026" w14:textId="77777777" w:rsidR="003867AA" w:rsidRPr="001F26AD" w:rsidRDefault="003867AA">
      <w:pPr>
        <w:spacing w:after="0" w:line="276" w:lineRule="auto"/>
        <w:ind w:left="426"/>
        <w:jc w:val="both"/>
        <w:rPr>
          <w:rFonts w:ascii="Times New Roman" w:eastAsiaTheme="minorEastAsia" w:hAnsi="Times New Roman" w:cs="Times New Roman"/>
        </w:rPr>
      </w:pPr>
    </w:p>
    <w:p w14:paraId="71FACE13" w14:textId="3555C976" w:rsidR="0010108B" w:rsidRPr="001F26AD" w:rsidRDefault="0010108B">
      <w:pPr>
        <w:spacing w:after="0" w:line="276" w:lineRule="auto"/>
        <w:ind w:left="426"/>
        <w:jc w:val="both"/>
        <w:rPr>
          <w:rFonts w:ascii="Times New Roman" w:eastAsiaTheme="minorEastAsia" w:hAnsi="Times New Roman" w:cs="Times New Roman"/>
          <w:u w:val="single"/>
        </w:rPr>
      </w:pPr>
      <w:r w:rsidRPr="001F26AD">
        <w:rPr>
          <w:rFonts w:ascii="Times New Roman" w:hAnsi="Times New Roman" w:cs="Times New Roman"/>
          <w:u w:val="single"/>
          <w:lang w:bidi="cs-CZ"/>
        </w:rPr>
        <w:t>Použití v průběhu březosti, laktace nebo snášky</w:t>
      </w:r>
    </w:p>
    <w:p w14:paraId="4497C48E" w14:textId="2CE86B50" w:rsidR="004D68F6" w:rsidRPr="001F26AD" w:rsidRDefault="00566694" w:rsidP="008166E2">
      <w:pPr>
        <w:spacing w:after="0" w:line="276" w:lineRule="auto"/>
        <w:ind w:left="426"/>
        <w:jc w:val="both"/>
        <w:rPr>
          <w:rFonts w:ascii="Times New Roman" w:hAnsi="Times New Roman" w:cs="Times New Roman"/>
          <w:lang w:bidi="cs-CZ"/>
        </w:rPr>
      </w:pPr>
      <w:r w:rsidRPr="001F26AD">
        <w:rPr>
          <w:rFonts w:ascii="Times New Roman" w:hAnsi="Times New Roman" w:cs="Times New Roman"/>
          <w:lang w:bidi="cs-CZ"/>
        </w:rPr>
        <w:t>Cefalosporiny procház</w:t>
      </w:r>
      <w:r w:rsidR="00335741" w:rsidRPr="001F26AD">
        <w:rPr>
          <w:rFonts w:ascii="Times New Roman" w:hAnsi="Times New Roman" w:cs="Times New Roman"/>
          <w:lang w:bidi="cs-CZ"/>
        </w:rPr>
        <w:t>ejí</w:t>
      </w:r>
      <w:r w:rsidRPr="001F26AD">
        <w:rPr>
          <w:rFonts w:ascii="Times New Roman" w:hAnsi="Times New Roman" w:cs="Times New Roman"/>
          <w:lang w:bidi="cs-CZ"/>
        </w:rPr>
        <w:t xml:space="preserve"> placentou. </w:t>
      </w:r>
      <w:r w:rsidR="00AE1F2D" w:rsidRPr="001F26AD">
        <w:rPr>
          <w:rFonts w:ascii="Times New Roman" w:hAnsi="Times New Roman" w:cs="Times New Roman"/>
          <w:lang w:bidi="cs-CZ"/>
        </w:rPr>
        <w:t>S</w:t>
      </w:r>
      <w:r w:rsidRPr="001F26AD">
        <w:rPr>
          <w:rFonts w:ascii="Times New Roman" w:hAnsi="Times New Roman" w:cs="Times New Roman"/>
          <w:lang w:bidi="cs-CZ"/>
        </w:rPr>
        <w:t>tudie</w:t>
      </w:r>
      <w:r w:rsidR="00335741" w:rsidRPr="001F26AD">
        <w:rPr>
          <w:rFonts w:ascii="Times New Roman" w:hAnsi="Times New Roman" w:cs="Times New Roman"/>
          <w:lang w:bidi="cs-CZ"/>
        </w:rPr>
        <w:t xml:space="preserve"> u</w:t>
      </w:r>
      <w:r w:rsidR="003F0B40" w:rsidRPr="001F26AD">
        <w:rPr>
          <w:rFonts w:ascii="Times New Roman" w:eastAsiaTheme="minorEastAsia" w:hAnsi="Times New Roman" w:cs="Times New Roman"/>
        </w:rPr>
        <w:t xml:space="preserve"> laboratorních zvířat</w:t>
      </w:r>
      <w:r w:rsidR="003F0B40" w:rsidRPr="001F26AD">
        <w:rPr>
          <w:rFonts w:ascii="Times New Roman" w:hAnsi="Times New Roman" w:cs="Times New Roman"/>
          <w:lang w:bidi="cs-CZ"/>
        </w:rPr>
        <w:t xml:space="preserve"> </w:t>
      </w:r>
      <w:r w:rsidR="00335741" w:rsidRPr="001F26AD">
        <w:rPr>
          <w:rFonts w:ascii="Times New Roman" w:hAnsi="Times New Roman" w:cs="Times New Roman"/>
          <w:lang w:bidi="cs-CZ"/>
        </w:rPr>
        <w:t xml:space="preserve">nepodaly důkaz o teratogenních účincích </w:t>
      </w:r>
      <w:proofErr w:type="spellStart"/>
      <w:r w:rsidR="00335741" w:rsidRPr="001F26AD">
        <w:rPr>
          <w:rFonts w:ascii="Times New Roman" w:hAnsi="Times New Roman" w:cs="Times New Roman"/>
          <w:lang w:bidi="cs-CZ"/>
        </w:rPr>
        <w:t>cefadroxilu</w:t>
      </w:r>
      <w:proofErr w:type="spellEnd"/>
      <w:r w:rsidRPr="001F26AD">
        <w:rPr>
          <w:rFonts w:ascii="Times New Roman" w:hAnsi="Times New Roman" w:cs="Times New Roman"/>
          <w:lang w:bidi="cs-CZ"/>
        </w:rPr>
        <w:t xml:space="preserve">. Bezpečnost veterinárního léčivého </w:t>
      </w:r>
      <w:r w:rsidR="004D68F6" w:rsidRPr="001F26AD">
        <w:rPr>
          <w:rFonts w:ascii="Times New Roman" w:hAnsi="Times New Roman" w:cs="Times New Roman"/>
          <w:lang w:bidi="cs-CZ"/>
        </w:rPr>
        <w:t xml:space="preserve">přípravku </w:t>
      </w:r>
      <w:r w:rsidRPr="001F26AD">
        <w:rPr>
          <w:rFonts w:ascii="Times New Roman" w:hAnsi="Times New Roman" w:cs="Times New Roman"/>
          <w:lang w:bidi="cs-CZ"/>
        </w:rPr>
        <w:t xml:space="preserve">u psů a koček během březosti a </w:t>
      </w:r>
      <w:r w:rsidRPr="001F26AD">
        <w:rPr>
          <w:rFonts w:ascii="Times New Roman" w:hAnsi="Times New Roman" w:cs="Times New Roman"/>
          <w:lang w:bidi="cs-CZ"/>
        </w:rPr>
        <w:lastRenderedPageBreak/>
        <w:t xml:space="preserve">laktace nebyla stanovena. Použijte pouze po zvážení </w:t>
      </w:r>
      <w:r w:rsidR="00335741" w:rsidRPr="001F26AD">
        <w:rPr>
          <w:rFonts w:ascii="Times New Roman" w:hAnsi="Times New Roman" w:cs="Times New Roman"/>
          <w:lang w:bidi="cs-CZ"/>
        </w:rPr>
        <w:t xml:space="preserve">terapeutického </w:t>
      </w:r>
      <w:r w:rsidRPr="001F26AD">
        <w:rPr>
          <w:rFonts w:ascii="Times New Roman" w:hAnsi="Times New Roman" w:cs="Times New Roman"/>
          <w:lang w:bidi="cs-CZ"/>
        </w:rPr>
        <w:t xml:space="preserve">prospěchu a rizika příslušným </w:t>
      </w:r>
      <w:r w:rsidR="004D68F6" w:rsidRPr="001F26AD">
        <w:rPr>
          <w:rFonts w:ascii="Times New Roman" w:hAnsi="Times New Roman" w:cs="Times New Roman"/>
          <w:lang w:bidi="cs-CZ"/>
        </w:rPr>
        <w:t xml:space="preserve">veterinárním lékařem. </w:t>
      </w:r>
    </w:p>
    <w:p w14:paraId="0D61A6CB" w14:textId="77777777" w:rsidR="004D68F6" w:rsidRPr="001F26AD" w:rsidRDefault="004D68F6" w:rsidP="008166E2">
      <w:pPr>
        <w:spacing w:after="0" w:line="276" w:lineRule="auto"/>
        <w:ind w:left="426"/>
        <w:jc w:val="both"/>
        <w:rPr>
          <w:rFonts w:ascii="Times New Roman" w:hAnsi="Times New Roman" w:cs="Times New Roman"/>
          <w:lang w:bidi="cs-CZ"/>
        </w:rPr>
      </w:pPr>
    </w:p>
    <w:p w14:paraId="2105336C" w14:textId="5BD4CA4C" w:rsidR="0010108B" w:rsidRPr="001F26AD" w:rsidRDefault="0010108B" w:rsidP="008166E2">
      <w:pPr>
        <w:spacing w:after="0" w:line="276" w:lineRule="auto"/>
        <w:ind w:left="426"/>
        <w:jc w:val="both"/>
        <w:rPr>
          <w:rFonts w:ascii="Times New Roman" w:eastAsiaTheme="minorEastAsia" w:hAnsi="Times New Roman" w:cs="Times New Roman"/>
          <w:u w:val="single"/>
        </w:rPr>
      </w:pPr>
      <w:r w:rsidRPr="001F26AD">
        <w:rPr>
          <w:rFonts w:ascii="Times New Roman" w:hAnsi="Times New Roman" w:cs="Times New Roman"/>
          <w:u w:val="single"/>
          <w:lang w:bidi="cs-CZ"/>
        </w:rPr>
        <w:t xml:space="preserve">Interakce s </w:t>
      </w:r>
      <w:r w:rsidR="008166E2" w:rsidRPr="001F26AD">
        <w:rPr>
          <w:rFonts w:ascii="Times New Roman" w:hAnsi="Times New Roman" w:cs="Times New Roman"/>
          <w:u w:val="single"/>
          <w:lang w:bidi="cs-CZ"/>
        </w:rPr>
        <w:t xml:space="preserve">dalšími léčivými přípravky a další </w:t>
      </w:r>
      <w:r w:rsidRPr="001F26AD">
        <w:rPr>
          <w:rFonts w:ascii="Times New Roman" w:hAnsi="Times New Roman" w:cs="Times New Roman"/>
          <w:u w:val="single"/>
          <w:lang w:bidi="cs-CZ"/>
        </w:rPr>
        <w:t>formy interakce</w:t>
      </w:r>
    </w:p>
    <w:p w14:paraId="5839125B" w14:textId="6B69BA05" w:rsidR="002D21F8" w:rsidRPr="001F26AD" w:rsidRDefault="002D21F8" w:rsidP="002D21F8">
      <w:pPr>
        <w:spacing w:after="0" w:line="276" w:lineRule="auto"/>
        <w:ind w:left="426"/>
        <w:jc w:val="both"/>
        <w:rPr>
          <w:rFonts w:ascii="Times New Roman" w:eastAsiaTheme="minorEastAsia" w:hAnsi="Times New Roman" w:cs="Times New Roman"/>
        </w:rPr>
      </w:pPr>
      <w:r w:rsidRPr="001F26AD">
        <w:rPr>
          <w:rFonts w:ascii="Times New Roman" w:hAnsi="Times New Roman" w:cs="Times New Roman"/>
          <w:lang w:bidi="cs-CZ"/>
        </w:rPr>
        <w:t xml:space="preserve">Pro zajištění účinnosti nesmí být veterinární léčivý </w:t>
      </w:r>
      <w:r w:rsidR="004E2D61" w:rsidRPr="001F26AD">
        <w:rPr>
          <w:rFonts w:ascii="Times New Roman" w:hAnsi="Times New Roman" w:cs="Times New Roman"/>
          <w:lang w:bidi="cs-CZ"/>
        </w:rPr>
        <w:t xml:space="preserve">přípravek </w:t>
      </w:r>
      <w:r w:rsidRPr="001F26AD">
        <w:rPr>
          <w:rFonts w:ascii="Times New Roman" w:hAnsi="Times New Roman" w:cs="Times New Roman"/>
          <w:lang w:bidi="cs-CZ"/>
        </w:rPr>
        <w:t xml:space="preserve">používán v kombinaci s bakteriostatickými antibiotiky. Současné užívání cefalosporinů první generace s </w:t>
      </w:r>
      <w:proofErr w:type="spellStart"/>
      <w:r w:rsidRPr="001F26AD">
        <w:rPr>
          <w:rFonts w:ascii="Times New Roman" w:hAnsi="Times New Roman" w:cs="Times New Roman"/>
          <w:lang w:bidi="cs-CZ"/>
        </w:rPr>
        <w:t>aminoglykosidovými</w:t>
      </w:r>
      <w:proofErr w:type="spellEnd"/>
      <w:r w:rsidRPr="001F26AD">
        <w:rPr>
          <w:rFonts w:ascii="Times New Roman" w:hAnsi="Times New Roman" w:cs="Times New Roman"/>
          <w:lang w:bidi="cs-CZ"/>
        </w:rPr>
        <w:t xml:space="preserve"> antibiotiky nebo některými diuretiky, jako je </w:t>
      </w:r>
      <w:proofErr w:type="spellStart"/>
      <w:r w:rsidRPr="001F26AD">
        <w:rPr>
          <w:rFonts w:ascii="Times New Roman" w:hAnsi="Times New Roman" w:cs="Times New Roman"/>
          <w:lang w:bidi="cs-CZ"/>
        </w:rPr>
        <w:t>furosemid</w:t>
      </w:r>
      <w:proofErr w:type="spellEnd"/>
      <w:r w:rsidRPr="001F26AD">
        <w:rPr>
          <w:rFonts w:ascii="Times New Roman" w:hAnsi="Times New Roman" w:cs="Times New Roman"/>
          <w:lang w:bidi="cs-CZ"/>
        </w:rPr>
        <w:t>, může zvýšit rizik</w:t>
      </w:r>
      <w:r w:rsidR="00D3086B">
        <w:rPr>
          <w:rFonts w:ascii="Times New Roman" w:hAnsi="Times New Roman" w:cs="Times New Roman"/>
          <w:lang w:bidi="cs-CZ"/>
        </w:rPr>
        <w:t>o</w:t>
      </w:r>
      <w:r w:rsidRPr="001F26AD">
        <w:rPr>
          <w:rFonts w:ascii="Times New Roman" w:hAnsi="Times New Roman" w:cs="Times New Roman"/>
          <w:lang w:bidi="cs-CZ"/>
        </w:rPr>
        <w:t xml:space="preserve"> </w:t>
      </w:r>
      <w:proofErr w:type="spellStart"/>
      <w:r w:rsidRPr="001F26AD">
        <w:rPr>
          <w:rFonts w:ascii="Times New Roman" w:hAnsi="Times New Roman" w:cs="Times New Roman"/>
          <w:lang w:bidi="cs-CZ"/>
        </w:rPr>
        <w:t>nefrotoxicity</w:t>
      </w:r>
      <w:proofErr w:type="spellEnd"/>
      <w:r w:rsidRPr="001F26AD">
        <w:rPr>
          <w:rFonts w:ascii="Times New Roman" w:hAnsi="Times New Roman" w:cs="Times New Roman"/>
          <w:lang w:bidi="cs-CZ"/>
        </w:rPr>
        <w:t>.</w:t>
      </w:r>
    </w:p>
    <w:p w14:paraId="20821E0D" w14:textId="716F6222" w:rsidR="002D21F8" w:rsidRPr="001F26AD" w:rsidRDefault="004E2D61" w:rsidP="002D21F8">
      <w:pPr>
        <w:spacing w:after="0" w:line="276" w:lineRule="auto"/>
        <w:ind w:left="426"/>
        <w:jc w:val="both"/>
        <w:rPr>
          <w:rFonts w:ascii="Times New Roman" w:eastAsiaTheme="minorEastAsia" w:hAnsi="Times New Roman" w:cs="Times New Roman"/>
        </w:rPr>
      </w:pPr>
      <w:r w:rsidRPr="001F26AD">
        <w:rPr>
          <w:rFonts w:ascii="Times New Roman" w:hAnsi="Times New Roman" w:cs="Times New Roman"/>
          <w:lang w:bidi="cs-CZ"/>
        </w:rPr>
        <w:t>A dále viz bod</w:t>
      </w:r>
      <w:r w:rsidR="002D21F8" w:rsidRPr="001F26AD">
        <w:rPr>
          <w:rFonts w:ascii="Times New Roman" w:hAnsi="Times New Roman" w:cs="Times New Roman"/>
          <w:lang w:bidi="cs-CZ"/>
        </w:rPr>
        <w:t xml:space="preserve"> 12</w:t>
      </w:r>
      <w:r w:rsidR="00112F72" w:rsidRPr="001F26AD">
        <w:rPr>
          <w:rFonts w:ascii="Times New Roman" w:hAnsi="Times New Roman" w:cs="Times New Roman"/>
          <w:lang w:bidi="cs-CZ"/>
        </w:rPr>
        <w:t xml:space="preserve">, </w:t>
      </w:r>
      <w:r w:rsidR="002D21F8" w:rsidRPr="001F26AD">
        <w:rPr>
          <w:rFonts w:ascii="Times New Roman" w:hAnsi="Times New Roman" w:cs="Times New Roman"/>
          <w:lang w:bidi="cs-CZ"/>
        </w:rPr>
        <w:t xml:space="preserve">Zvláštní </w:t>
      </w:r>
      <w:r w:rsidR="00D463EC" w:rsidRPr="001F26AD">
        <w:rPr>
          <w:rFonts w:ascii="Times New Roman" w:hAnsi="Times New Roman" w:cs="Times New Roman"/>
          <w:lang w:bidi="cs-CZ"/>
        </w:rPr>
        <w:t>upozornění</w:t>
      </w:r>
      <w:r w:rsidR="00D3086B">
        <w:rPr>
          <w:rFonts w:ascii="Times New Roman" w:hAnsi="Times New Roman" w:cs="Times New Roman"/>
          <w:lang w:bidi="cs-CZ"/>
        </w:rPr>
        <w:t>.</w:t>
      </w:r>
      <w:r w:rsidRPr="001F26AD">
        <w:rPr>
          <w:rFonts w:ascii="Times New Roman" w:hAnsi="Times New Roman" w:cs="Times New Roman"/>
          <w:lang w:bidi="cs-CZ"/>
        </w:rPr>
        <w:t xml:space="preserve"> </w:t>
      </w:r>
    </w:p>
    <w:p w14:paraId="0567FB15" w14:textId="77777777" w:rsidR="00FD3A39" w:rsidRPr="001F26AD" w:rsidRDefault="00FD3A39">
      <w:pPr>
        <w:spacing w:after="0" w:line="276" w:lineRule="auto"/>
        <w:ind w:left="426"/>
        <w:jc w:val="both"/>
        <w:rPr>
          <w:rFonts w:ascii="Times New Roman" w:eastAsiaTheme="minorEastAsia" w:hAnsi="Times New Roman" w:cs="Times New Roman"/>
        </w:rPr>
      </w:pPr>
    </w:p>
    <w:p w14:paraId="6AE0F691" w14:textId="7ED55641" w:rsidR="0010108B" w:rsidRPr="001F26AD" w:rsidRDefault="0010108B">
      <w:pPr>
        <w:spacing w:after="0" w:line="276" w:lineRule="auto"/>
        <w:ind w:left="426"/>
        <w:jc w:val="both"/>
        <w:rPr>
          <w:rFonts w:ascii="Times New Roman" w:eastAsiaTheme="minorEastAsia" w:hAnsi="Times New Roman" w:cs="Times New Roman"/>
          <w:u w:val="single"/>
        </w:rPr>
      </w:pPr>
      <w:r w:rsidRPr="001F26AD">
        <w:rPr>
          <w:rFonts w:ascii="Times New Roman" w:hAnsi="Times New Roman" w:cs="Times New Roman"/>
          <w:u w:val="single"/>
          <w:lang w:bidi="cs-CZ"/>
        </w:rPr>
        <w:t>Předávkování</w:t>
      </w:r>
    </w:p>
    <w:p w14:paraId="0117FAB2" w14:textId="56C3AEFE" w:rsidR="00FD3A39" w:rsidRPr="001F26AD" w:rsidRDefault="002D21F8">
      <w:pPr>
        <w:spacing w:after="0" w:line="276" w:lineRule="auto"/>
        <w:ind w:left="426"/>
        <w:jc w:val="both"/>
        <w:rPr>
          <w:rFonts w:ascii="Times New Roman" w:eastAsiaTheme="minorEastAsia" w:hAnsi="Times New Roman" w:cs="Times New Roman"/>
          <w:u w:val="single"/>
        </w:rPr>
      </w:pPr>
      <w:r w:rsidRPr="001F26AD">
        <w:rPr>
          <w:rFonts w:ascii="Times New Roman" w:hAnsi="Times New Roman" w:cs="Times New Roman"/>
          <w:lang w:bidi="cs-CZ"/>
        </w:rPr>
        <w:t xml:space="preserve">Žádné jiné známé vedlejší účinky než ty, uvedené v </w:t>
      </w:r>
      <w:r w:rsidR="00ED0EE4" w:rsidRPr="001F26AD">
        <w:rPr>
          <w:rFonts w:ascii="Times New Roman" w:hAnsi="Times New Roman" w:cs="Times New Roman"/>
          <w:lang w:bidi="cs-CZ"/>
        </w:rPr>
        <w:t>bodě</w:t>
      </w:r>
      <w:r w:rsidRPr="001F26AD">
        <w:rPr>
          <w:rFonts w:ascii="Times New Roman" w:hAnsi="Times New Roman" w:cs="Times New Roman"/>
          <w:lang w:bidi="cs-CZ"/>
        </w:rPr>
        <w:t xml:space="preserve"> 6. V případě předávkování je léčba symptomatická. </w:t>
      </w:r>
    </w:p>
    <w:p w14:paraId="4A79D480" w14:textId="77777777" w:rsidR="00300588" w:rsidRPr="001F26AD" w:rsidRDefault="00300588">
      <w:pPr>
        <w:spacing w:after="0" w:line="276" w:lineRule="auto"/>
        <w:ind w:left="426"/>
        <w:jc w:val="both"/>
        <w:rPr>
          <w:rFonts w:ascii="Times New Roman" w:eastAsiaTheme="minorEastAsia" w:hAnsi="Times New Roman" w:cs="Times New Roman"/>
          <w:u w:val="single"/>
        </w:rPr>
      </w:pPr>
    </w:p>
    <w:p w14:paraId="66C1EC16" w14:textId="35D2E4FE" w:rsidR="0010108B" w:rsidRPr="001F26AD" w:rsidRDefault="0010108B">
      <w:pPr>
        <w:spacing w:after="0" w:line="276" w:lineRule="auto"/>
        <w:ind w:left="426"/>
        <w:jc w:val="both"/>
        <w:rPr>
          <w:rFonts w:ascii="Times New Roman" w:eastAsiaTheme="minorEastAsia" w:hAnsi="Times New Roman" w:cs="Times New Roman"/>
          <w:u w:val="single"/>
          <w:lang w:val="en-US"/>
        </w:rPr>
      </w:pPr>
      <w:r w:rsidRPr="001F26AD">
        <w:rPr>
          <w:rFonts w:ascii="Times New Roman" w:hAnsi="Times New Roman" w:cs="Times New Roman"/>
          <w:u w:val="single"/>
          <w:lang w:bidi="cs-CZ"/>
        </w:rPr>
        <w:t>Inkompatibilit</w:t>
      </w:r>
      <w:r w:rsidR="008166E2" w:rsidRPr="001F26AD">
        <w:rPr>
          <w:rFonts w:ascii="Times New Roman" w:hAnsi="Times New Roman" w:cs="Times New Roman"/>
          <w:u w:val="single"/>
          <w:lang w:bidi="cs-CZ"/>
        </w:rPr>
        <w:t>y</w:t>
      </w:r>
    </w:p>
    <w:p w14:paraId="04A043FF" w14:textId="77777777" w:rsidR="00ED0EE4" w:rsidRPr="001F26AD" w:rsidRDefault="00ED0EE4">
      <w:pPr>
        <w:spacing w:after="0" w:line="276" w:lineRule="auto"/>
        <w:ind w:left="426"/>
        <w:jc w:val="both"/>
        <w:rPr>
          <w:rFonts w:ascii="Times New Roman" w:hAnsi="Times New Roman" w:cs="Times New Roman"/>
          <w:lang w:bidi="cs-CZ"/>
        </w:rPr>
      </w:pPr>
      <w:r w:rsidRPr="001F26AD">
        <w:rPr>
          <w:rFonts w:ascii="Times New Roman" w:hAnsi="Times New Roman" w:cs="Times New Roman"/>
          <w:lang w:bidi="cs-CZ"/>
        </w:rPr>
        <w:t>Neuplatňuje se.</w:t>
      </w:r>
    </w:p>
    <w:p w14:paraId="05428459" w14:textId="77777777" w:rsidR="0060724B" w:rsidRPr="001F26AD" w:rsidRDefault="0060724B">
      <w:pPr>
        <w:spacing w:after="0" w:line="276" w:lineRule="auto"/>
        <w:ind w:left="426"/>
        <w:jc w:val="both"/>
        <w:rPr>
          <w:rFonts w:ascii="Times New Roman" w:eastAsiaTheme="minorEastAsia" w:hAnsi="Times New Roman" w:cs="Times New Roman"/>
          <w:lang w:val="en-US"/>
        </w:rPr>
      </w:pPr>
    </w:p>
    <w:p w14:paraId="09916F38" w14:textId="76A7A9CE" w:rsidR="00A364B9" w:rsidRPr="001F26AD" w:rsidRDefault="00A364B9" w:rsidP="008166E2">
      <w:pPr>
        <w:pStyle w:val="Nadpis1"/>
        <w:spacing w:before="0"/>
        <w:ind w:left="426"/>
        <w:jc w:val="both"/>
        <w:rPr>
          <w:rFonts w:ascii="Times New Roman" w:hAnsi="Times New Roman" w:cs="Times New Roman"/>
          <w:b w:val="0"/>
          <w:bCs w:val="0"/>
          <w:sz w:val="22"/>
          <w:szCs w:val="22"/>
          <w:lang w:val="en-US"/>
        </w:rPr>
      </w:pPr>
      <w:r w:rsidRPr="001F26AD">
        <w:rPr>
          <w:rFonts w:ascii="Times New Roman" w:hAnsi="Times New Roman" w:cs="Times New Roman"/>
          <w:color w:val="auto"/>
          <w:sz w:val="22"/>
          <w:szCs w:val="22"/>
          <w:lang w:bidi="cs-CZ"/>
        </w:rPr>
        <w:t xml:space="preserve">ZVLÁŠTNÍ OPATŘENÍ PRO </w:t>
      </w:r>
      <w:r w:rsidR="008166E2" w:rsidRPr="001F26AD">
        <w:rPr>
          <w:rFonts w:ascii="Times New Roman" w:hAnsi="Times New Roman" w:cs="Times New Roman"/>
          <w:color w:val="auto"/>
          <w:sz w:val="22"/>
          <w:szCs w:val="22"/>
          <w:lang w:bidi="cs-CZ"/>
        </w:rPr>
        <w:t>ZNEŠKODŇOVÁNÍ NEPOUŽITÝCH PŘÍPRAVKŮ NEBO ODPADU, POKUD JE JICH TŘEBA</w:t>
      </w:r>
    </w:p>
    <w:p w14:paraId="5CAC86CC" w14:textId="77777777" w:rsidR="00CD74D4" w:rsidRPr="001F26AD" w:rsidRDefault="00CD74D4" w:rsidP="005D2CC4">
      <w:pPr>
        <w:spacing w:after="0" w:line="276" w:lineRule="auto"/>
        <w:ind w:left="426"/>
        <w:rPr>
          <w:rFonts w:ascii="Times New Roman" w:eastAsiaTheme="minorEastAsia" w:hAnsi="Times New Roman" w:cs="Times New Roman"/>
          <w:lang w:val="en-US"/>
        </w:rPr>
      </w:pPr>
    </w:p>
    <w:p w14:paraId="61EC0475" w14:textId="77777777" w:rsidR="00EE09CD" w:rsidRPr="001F26AD" w:rsidRDefault="008166E2">
      <w:pPr>
        <w:spacing w:after="0" w:line="276" w:lineRule="auto"/>
        <w:ind w:left="426"/>
        <w:jc w:val="both"/>
        <w:rPr>
          <w:rFonts w:ascii="Times New Roman" w:hAnsi="Times New Roman" w:cs="Times New Roman"/>
          <w:lang w:bidi="cs-CZ"/>
        </w:rPr>
      </w:pPr>
      <w:r w:rsidRPr="001F26AD">
        <w:rPr>
          <w:rFonts w:ascii="Times New Roman" w:hAnsi="Times New Roman" w:cs="Times New Roman"/>
          <w:lang w:bidi="cs-CZ"/>
        </w:rPr>
        <w:t>O možnostech likvidace nepotřebných léčivých přípravků se poraďte s vaším veterinárním lékařem. Tato opatření napomáhají chránit životní prostředí.</w:t>
      </w:r>
    </w:p>
    <w:p w14:paraId="15532041" w14:textId="77777777" w:rsidR="00FC6092" w:rsidRPr="001F26AD" w:rsidRDefault="00FC6092">
      <w:pPr>
        <w:spacing w:after="0" w:line="276" w:lineRule="auto"/>
        <w:ind w:left="426"/>
        <w:jc w:val="both"/>
        <w:rPr>
          <w:rFonts w:ascii="Times New Roman" w:eastAsiaTheme="minorEastAsia" w:hAnsi="Times New Roman" w:cs="Times New Roman"/>
          <w:lang w:val="en-US"/>
        </w:rPr>
      </w:pPr>
    </w:p>
    <w:p w14:paraId="4996071A" w14:textId="02FD225A" w:rsidR="00A364B9" w:rsidRPr="001F26AD" w:rsidRDefault="00A364B9" w:rsidP="008166E2">
      <w:pPr>
        <w:pStyle w:val="Nadpis1"/>
        <w:spacing w:before="0"/>
        <w:ind w:left="426"/>
        <w:rPr>
          <w:rFonts w:ascii="Times New Roman" w:hAnsi="Times New Roman" w:cs="Times New Roman"/>
          <w:b w:val="0"/>
          <w:bCs w:val="0"/>
          <w:sz w:val="22"/>
          <w:szCs w:val="22"/>
          <w:lang w:val="en-US"/>
        </w:rPr>
      </w:pPr>
      <w:r w:rsidRPr="001F26AD">
        <w:rPr>
          <w:rFonts w:ascii="Times New Roman" w:hAnsi="Times New Roman" w:cs="Times New Roman"/>
          <w:color w:val="auto"/>
          <w:sz w:val="22"/>
          <w:szCs w:val="22"/>
          <w:lang w:bidi="cs-CZ"/>
        </w:rPr>
        <w:t xml:space="preserve">DATUM POSLEDNÍ REVIZE </w:t>
      </w:r>
      <w:r w:rsidR="008166E2" w:rsidRPr="001F26AD">
        <w:rPr>
          <w:rFonts w:ascii="Times New Roman" w:hAnsi="Times New Roman" w:cs="Times New Roman"/>
          <w:color w:val="auto"/>
          <w:sz w:val="22"/>
          <w:szCs w:val="22"/>
          <w:lang w:bidi="cs-CZ"/>
        </w:rPr>
        <w:t>PŘÍBALOVÉ INFORMACE</w:t>
      </w:r>
    </w:p>
    <w:p w14:paraId="67F688B7" w14:textId="77777777" w:rsidR="00EA6764" w:rsidRDefault="00EA6764" w:rsidP="001F26AD">
      <w:pPr>
        <w:tabs>
          <w:tab w:val="left" w:pos="1764"/>
        </w:tabs>
        <w:spacing w:after="0" w:line="276" w:lineRule="auto"/>
        <w:ind w:firstLine="426"/>
        <w:rPr>
          <w:rFonts w:ascii="Times New Roman" w:eastAsiaTheme="minorEastAsia" w:hAnsi="Times New Roman" w:cs="Times New Roman"/>
          <w:lang w:val="en-US"/>
        </w:rPr>
      </w:pPr>
    </w:p>
    <w:p w14:paraId="293E010B" w14:textId="3FC4960A" w:rsidR="00D463EC" w:rsidRPr="001F26AD" w:rsidRDefault="00381592" w:rsidP="001F26AD">
      <w:pPr>
        <w:tabs>
          <w:tab w:val="left" w:pos="1764"/>
        </w:tabs>
        <w:spacing w:after="0" w:line="276" w:lineRule="auto"/>
        <w:ind w:firstLine="426"/>
        <w:rPr>
          <w:rFonts w:ascii="Times New Roman" w:eastAsiaTheme="minorEastAsia" w:hAnsi="Times New Roman" w:cs="Times New Roman"/>
          <w:lang w:val="en-US"/>
        </w:rPr>
      </w:pPr>
      <w:bookmarkStart w:id="0" w:name="_GoBack"/>
      <w:bookmarkEnd w:id="0"/>
      <w:proofErr w:type="spellStart"/>
      <w:r>
        <w:rPr>
          <w:rFonts w:ascii="Times New Roman" w:eastAsiaTheme="minorEastAsia" w:hAnsi="Times New Roman" w:cs="Times New Roman"/>
          <w:lang w:val="en-US"/>
        </w:rPr>
        <w:t>Červenec</w:t>
      </w:r>
      <w:proofErr w:type="spellEnd"/>
      <w:r>
        <w:rPr>
          <w:rFonts w:ascii="Times New Roman" w:eastAsiaTheme="minorEastAsia" w:hAnsi="Times New Roman" w:cs="Times New Roman"/>
          <w:lang w:val="en-US"/>
        </w:rPr>
        <w:t xml:space="preserve"> 2019</w:t>
      </w:r>
    </w:p>
    <w:p w14:paraId="1EA84653" w14:textId="48060015" w:rsidR="00140C61" w:rsidRPr="001F26AD" w:rsidRDefault="003D2FF7" w:rsidP="003D2FF7">
      <w:pPr>
        <w:tabs>
          <w:tab w:val="left" w:pos="1764"/>
        </w:tabs>
        <w:spacing w:after="0" w:line="276" w:lineRule="auto"/>
        <w:ind w:firstLine="709"/>
        <w:rPr>
          <w:rFonts w:ascii="Times New Roman" w:eastAsiaTheme="minorEastAsia" w:hAnsi="Times New Roman" w:cs="Times New Roman"/>
          <w:lang w:val="en-US"/>
        </w:rPr>
      </w:pPr>
      <w:r w:rsidRPr="001F26AD">
        <w:rPr>
          <w:rFonts w:ascii="Times New Roman" w:eastAsiaTheme="minorEastAsia" w:hAnsi="Times New Roman" w:cs="Times New Roman"/>
          <w:lang w:val="en-US"/>
        </w:rPr>
        <w:tab/>
      </w:r>
    </w:p>
    <w:p w14:paraId="31A2AB7E" w14:textId="77777777" w:rsidR="00A364B9" w:rsidRPr="001F26AD" w:rsidRDefault="00A364B9" w:rsidP="00071372">
      <w:pPr>
        <w:pStyle w:val="Nadpis1"/>
        <w:spacing w:before="0"/>
        <w:ind w:left="426"/>
        <w:rPr>
          <w:rFonts w:ascii="Times New Roman" w:hAnsi="Times New Roman" w:cs="Times New Roman"/>
          <w:b w:val="0"/>
          <w:bCs w:val="0"/>
          <w:sz w:val="22"/>
          <w:szCs w:val="22"/>
          <w:lang w:val="en-US"/>
        </w:rPr>
      </w:pPr>
      <w:r w:rsidRPr="001F26AD">
        <w:rPr>
          <w:rFonts w:ascii="Times New Roman" w:hAnsi="Times New Roman" w:cs="Times New Roman"/>
          <w:color w:val="auto"/>
          <w:sz w:val="22"/>
          <w:szCs w:val="22"/>
          <w:lang w:bidi="cs-CZ"/>
        </w:rPr>
        <w:t>DALŠÍ INFORMACE</w:t>
      </w:r>
    </w:p>
    <w:p w14:paraId="40C7C777" w14:textId="77777777" w:rsidR="00381592" w:rsidRPr="0030271F" w:rsidRDefault="00381592" w:rsidP="00381592">
      <w:pPr>
        <w:spacing w:after="0" w:line="276" w:lineRule="auto"/>
        <w:rPr>
          <w:rFonts w:ascii="Times New Roman" w:hAnsi="Times New Roman" w:cs="Times New Roman"/>
          <w:lang w:bidi="cs-CZ"/>
        </w:rPr>
      </w:pPr>
      <w:r w:rsidRPr="0030271F">
        <w:rPr>
          <w:rFonts w:ascii="Times New Roman" w:hAnsi="Times New Roman" w:cs="Times New Roman"/>
          <w:lang w:bidi="cs-CZ"/>
        </w:rPr>
        <w:t xml:space="preserve">Pouze pro zvířata. </w:t>
      </w:r>
    </w:p>
    <w:p w14:paraId="61BC14ED" w14:textId="4B3BFA12" w:rsidR="00CD74D4" w:rsidRPr="001F26AD" w:rsidRDefault="00381592" w:rsidP="001F26AD">
      <w:pPr>
        <w:spacing w:after="0" w:line="276" w:lineRule="auto"/>
        <w:jc w:val="both"/>
        <w:rPr>
          <w:rFonts w:ascii="Times New Roman" w:eastAsiaTheme="minorEastAsia" w:hAnsi="Times New Roman" w:cs="Times New Roman"/>
          <w:lang w:val="en-US"/>
        </w:rPr>
      </w:pPr>
      <w:r w:rsidRPr="0030271F">
        <w:rPr>
          <w:rFonts w:ascii="Times New Roman" w:hAnsi="Times New Roman" w:cs="Times New Roman"/>
          <w:lang w:bidi="cs-CZ"/>
        </w:rPr>
        <w:t>Veterinární léčivý přípravek je vydáván pouze na předpis.</w:t>
      </w:r>
    </w:p>
    <w:p w14:paraId="43B926DD" w14:textId="77777777" w:rsidR="00381592" w:rsidRDefault="00381592">
      <w:pPr>
        <w:spacing w:after="0" w:line="276" w:lineRule="auto"/>
        <w:rPr>
          <w:rFonts w:ascii="Times New Roman" w:hAnsi="Times New Roman" w:cs="Times New Roman"/>
          <w:b/>
          <w:lang w:bidi="cs-CZ"/>
        </w:rPr>
      </w:pPr>
    </w:p>
    <w:p w14:paraId="4899C64F" w14:textId="02AADCD7" w:rsidR="00A364B9" w:rsidRPr="001F26AD" w:rsidRDefault="00A364B9">
      <w:pPr>
        <w:spacing w:after="0" w:line="276" w:lineRule="auto"/>
        <w:rPr>
          <w:rFonts w:ascii="Times New Roman" w:eastAsiaTheme="minorEastAsia" w:hAnsi="Times New Roman" w:cs="Times New Roman"/>
          <w:b/>
          <w:lang w:val="en-US"/>
        </w:rPr>
      </w:pPr>
      <w:r w:rsidRPr="001F26AD">
        <w:rPr>
          <w:rFonts w:ascii="Times New Roman" w:hAnsi="Times New Roman" w:cs="Times New Roman"/>
          <w:b/>
          <w:lang w:bidi="cs-CZ"/>
        </w:rPr>
        <w:t>Velikosti balení:</w:t>
      </w:r>
    </w:p>
    <w:p w14:paraId="6A13E153" w14:textId="36834180" w:rsidR="00167C92" w:rsidRPr="001F26AD" w:rsidRDefault="00075423" w:rsidP="001D2ECF">
      <w:pPr>
        <w:pStyle w:val="Odstavecseseznamem"/>
        <w:numPr>
          <w:ilvl w:val="0"/>
          <w:numId w:val="13"/>
        </w:numPr>
        <w:spacing w:after="0" w:line="276" w:lineRule="auto"/>
        <w:ind w:left="426"/>
        <w:rPr>
          <w:rFonts w:ascii="Times New Roman" w:eastAsia="Times New Roman" w:hAnsi="Times New Roman" w:cs="Times New Roman"/>
          <w:lang w:val="en-US"/>
        </w:rPr>
      </w:pPr>
      <w:r w:rsidRPr="001F26AD">
        <w:rPr>
          <w:rFonts w:ascii="Times New Roman" w:hAnsi="Times New Roman" w:cs="Times New Roman"/>
          <w:lang w:bidi="cs-CZ"/>
        </w:rPr>
        <w:t>krabička</w:t>
      </w:r>
      <w:r w:rsidR="00167C92" w:rsidRPr="001F26AD">
        <w:rPr>
          <w:rFonts w:ascii="Times New Roman" w:hAnsi="Times New Roman" w:cs="Times New Roman"/>
          <w:lang w:bidi="cs-CZ"/>
        </w:rPr>
        <w:t xml:space="preserve"> s 1 blistrem, obsahující 10 tablet </w:t>
      </w:r>
    </w:p>
    <w:p w14:paraId="708F19C4" w14:textId="754F2149" w:rsidR="001D2ECF" w:rsidRPr="001F26AD" w:rsidRDefault="00075423" w:rsidP="001D2ECF">
      <w:pPr>
        <w:pStyle w:val="Odstavecseseznamem"/>
        <w:numPr>
          <w:ilvl w:val="0"/>
          <w:numId w:val="13"/>
        </w:numPr>
        <w:spacing w:after="0" w:line="276" w:lineRule="auto"/>
        <w:ind w:left="426"/>
        <w:rPr>
          <w:rFonts w:ascii="Times New Roman" w:eastAsia="Times New Roman" w:hAnsi="Times New Roman" w:cs="Times New Roman"/>
          <w:lang w:val="en-US"/>
        </w:rPr>
      </w:pPr>
      <w:r w:rsidRPr="001F26AD">
        <w:rPr>
          <w:rFonts w:ascii="Times New Roman" w:hAnsi="Times New Roman" w:cs="Times New Roman"/>
          <w:lang w:bidi="cs-CZ"/>
        </w:rPr>
        <w:t xml:space="preserve">krabička </w:t>
      </w:r>
      <w:r w:rsidR="00167C92" w:rsidRPr="001F26AD">
        <w:rPr>
          <w:rFonts w:ascii="Times New Roman" w:hAnsi="Times New Roman" w:cs="Times New Roman"/>
          <w:lang w:bidi="cs-CZ"/>
        </w:rPr>
        <w:t>s 10 blistry, obsahující 10 tablet (100 tablet)</w:t>
      </w:r>
    </w:p>
    <w:p w14:paraId="0C6DFD1C" w14:textId="415CED8B" w:rsidR="00750B89" w:rsidRPr="001F26AD" w:rsidRDefault="00A364B9" w:rsidP="003867AA">
      <w:pPr>
        <w:spacing w:after="0" w:line="276" w:lineRule="auto"/>
        <w:rPr>
          <w:rFonts w:ascii="Times New Roman" w:hAnsi="Times New Roman" w:cs="Times New Roman"/>
          <w:lang w:bidi="cs-CZ"/>
        </w:rPr>
      </w:pPr>
      <w:r w:rsidRPr="001F26AD">
        <w:rPr>
          <w:rFonts w:ascii="Times New Roman" w:hAnsi="Times New Roman" w:cs="Times New Roman"/>
          <w:lang w:bidi="cs-CZ"/>
        </w:rPr>
        <w:t>Na trhu nemusí být všechny velikosti balení.</w:t>
      </w:r>
    </w:p>
    <w:p w14:paraId="43C84BE7" w14:textId="77777777" w:rsidR="00F728A4" w:rsidRPr="001F26AD" w:rsidRDefault="00F728A4" w:rsidP="003867AA">
      <w:pPr>
        <w:spacing w:after="0" w:line="276" w:lineRule="auto"/>
        <w:rPr>
          <w:rFonts w:ascii="Times New Roman" w:hAnsi="Times New Roman" w:cs="Times New Roman"/>
          <w:lang w:bidi="cs-CZ"/>
        </w:rPr>
      </w:pPr>
    </w:p>
    <w:p w14:paraId="179F6158" w14:textId="5212497A" w:rsidR="00F728A4" w:rsidRPr="001F26AD" w:rsidRDefault="00F728A4" w:rsidP="003867AA">
      <w:pPr>
        <w:spacing w:after="0" w:line="276" w:lineRule="auto"/>
        <w:rPr>
          <w:rFonts w:ascii="Times New Roman" w:eastAsiaTheme="minorEastAsia" w:hAnsi="Times New Roman" w:cs="Times New Roman"/>
        </w:rPr>
      </w:pPr>
    </w:p>
    <w:sectPr w:rsidR="00F728A4" w:rsidRPr="001F26AD" w:rsidSect="00360EF1">
      <w:headerReference w:type="default" r:id="rId11"/>
      <w:footerReference w:type="default" r:id="rId12"/>
      <w:pgSz w:w="11906" w:h="16838"/>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4A8A1" w14:textId="77777777" w:rsidR="0029063A" w:rsidRDefault="0029063A" w:rsidP="007A0C13">
      <w:pPr>
        <w:spacing w:after="0" w:line="240" w:lineRule="auto"/>
      </w:pPr>
      <w:r>
        <w:separator/>
      </w:r>
    </w:p>
  </w:endnote>
  <w:endnote w:type="continuationSeparator" w:id="0">
    <w:p w14:paraId="197D8ACC" w14:textId="77777777" w:rsidR="0029063A" w:rsidRDefault="0029063A" w:rsidP="007A0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2CE79F" w14:textId="5DF0DFB2" w:rsidR="007C3DDD" w:rsidRPr="00C36C1E" w:rsidRDefault="0029063A" w:rsidP="00952274">
    <w:pPr>
      <w:pStyle w:val="Zpat"/>
      <w:jc w:val="center"/>
      <w:rPr>
        <w:rFonts w:ascii="Times New Roman" w:hAnsi="Times New Roman" w:cs="Times New Roman"/>
        <w:lang w:val="it-IT"/>
      </w:rPr>
    </w:pPr>
    <w:sdt>
      <w:sdtPr>
        <w:rPr>
          <w:rFonts w:ascii="Times New Roman" w:hAnsi="Times New Roman" w:cs="Times New Roman"/>
          <w:lang w:val="it-IT"/>
        </w:rPr>
        <w:id w:val="878671361"/>
        <w:docPartObj>
          <w:docPartGallery w:val="Page Numbers (Bottom of Page)"/>
          <w:docPartUnique/>
        </w:docPartObj>
      </w:sdtPr>
      <w:sdtEndPr/>
      <w:sdtContent>
        <w:r w:rsidR="007C3DDD" w:rsidRPr="00C36C1E">
          <w:rPr>
            <w:rFonts w:ascii="Times New Roman" w:hAnsi="Times New Roman" w:cs="Times New Roman"/>
            <w:lang w:val="it-IT"/>
          </w:rPr>
          <w:fldChar w:fldCharType="begin"/>
        </w:r>
        <w:r w:rsidR="007C3DDD" w:rsidRPr="00C36C1E">
          <w:rPr>
            <w:rFonts w:ascii="Times New Roman" w:hAnsi="Times New Roman" w:cs="Times New Roman"/>
            <w:lang w:val="it-IT"/>
          </w:rPr>
          <w:instrText>PAGE   \* MERGEFORMAT</w:instrText>
        </w:r>
        <w:r w:rsidR="007C3DDD" w:rsidRPr="00C36C1E">
          <w:rPr>
            <w:rFonts w:ascii="Times New Roman" w:hAnsi="Times New Roman" w:cs="Times New Roman"/>
            <w:lang w:val="it-IT"/>
          </w:rPr>
          <w:fldChar w:fldCharType="separate"/>
        </w:r>
        <w:r w:rsidR="00EA6764">
          <w:rPr>
            <w:rFonts w:ascii="Times New Roman" w:hAnsi="Times New Roman" w:cs="Times New Roman"/>
            <w:noProof/>
            <w:lang w:val="it-IT"/>
          </w:rPr>
          <w:t>4</w:t>
        </w:r>
        <w:r w:rsidR="007C3DDD" w:rsidRPr="00C36C1E">
          <w:rPr>
            <w:rFonts w:ascii="Times New Roman" w:hAnsi="Times New Roman" w:cs="Times New Roman"/>
            <w:lang w:val="it-IT"/>
          </w:rPr>
          <w:fldChar w:fldCharType="end"/>
        </w:r>
      </w:sdtContent>
    </w:sdt>
    <w:r w:rsidR="007C3DDD" w:rsidRPr="00C36C1E">
      <w:rPr>
        <w:rFonts w:ascii="Times New Roman" w:hAnsi="Times New Roman" w:cs="Times New Roman"/>
        <w:lang w:val="it-IT"/>
      </w:rPr>
      <w:t>/</w:t>
    </w:r>
    <w:sdt>
      <w:sdtPr>
        <w:rPr>
          <w:rFonts w:ascii="Times New Roman" w:hAnsi="Times New Roman" w:cs="Times New Roman"/>
          <w:lang w:val="it-IT"/>
        </w:rPr>
        <w:id w:val="1751470867"/>
        <w:docPartObj>
          <w:docPartGallery w:val="Page Numbers (Bottom of Page)"/>
          <w:docPartUnique/>
        </w:docPartObj>
      </w:sdtPr>
      <w:sdtEndPr/>
      <w:sdtContent>
        <w:r w:rsidR="003D2FF7">
          <w:rPr>
            <w:rFonts w:ascii="Times New Roman" w:hAnsi="Times New Roman" w:cs="Times New Roman"/>
            <w:lang w:val="it-IT"/>
          </w:rPr>
          <w:t>4</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DACF1" w14:textId="77777777" w:rsidR="0029063A" w:rsidRDefault="0029063A" w:rsidP="007A0C13">
      <w:pPr>
        <w:spacing w:after="0" w:line="240" w:lineRule="auto"/>
      </w:pPr>
      <w:r>
        <w:separator/>
      </w:r>
    </w:p>
  </w:footnote>
  <w:footnote w:type="continuationSeparator" w:id="0">
    <w:p w14:paraId="5264A053" w14:textId="77777777" w:rsidR="0029063A" w:rsidRDefault="0029063A" w:rsidP="007A0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467E8" w14:textId="1A0D7B8B" w:rsidR="002D4DF2" w:rsidRDefault="002D4DF2" w:rsidP="002D4DF2">
    <w:pPr>
      <w:pStyle w:val="Zhlav"/>
    </w:pPr>
  </w:p>
  <w:p w14:paraId="45A187D5" w14:textId="77777777" w:rsidR="002D4DF2" w:rsidRDefault="002D4DF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78DFC" w14:textId="77777777" w:rsidR="007C3DDD" w:rsidRPr="00E109BF" w:rsidRDefault="007C3DDD" w:rsidP="006C1E29">
    <w:pPr>
      <w:pStyle w:val="Zhlav"/>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5905"/>
    <w:multiLevelType w:val="hybridMultilevel"/>
    <w:tmpl w:val="E36C6B6A"/>
    <w:lvl w:ilvl="0" w:tplc="21E6B53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5102C45"/>
    <w:multiLevelType w:val="hybridMultilevel"/>
    <w:tmpl w:val="E0EAF720"/>
    <w:lvl w:ilvl="0" w:tplc="16342692">
      <w:numFmt w:val="bullet"/>
      <w:lvlText w:val="-"/>
      <w:lvlJc w:val="left"/>
      <w:pPr>
        <w:ind w:left="927" w:hanging="360"/>
      </w:pPr>
      <w:rPr>
        <w:rFonts w:ascii="Times New Roman" w:eastAsia="Times New Roma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23093E11"/>
    <w:multiLevelType w:val="hybridMultilevel"/>
    <w:tmpl w:val="A0CC472A"/>
    <w:lvl w:ilvl="0" w:tplc="04100015">
      <w:start w:val="2"/>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8129A9"/>
    <w:multiLevelType w:val="multilevel"/>
    <w:tmpl w:val="0410001F"/>
    <w:lvl w:ilvl="0">
      <w:start w:val="1"/>
      <w:numFmt w:val="decimal"/>
      <w:lvlText w:val="%1."/>
      <w:lvlJc w:val="left"/>
      <w:pPr>
        <w:ind w:left="360" w:hanging="360"/>
      </w:pPr>
      <w:rPr>
        <w:rFonts w:hint="default"/>
        <w:color w:val="auto"/>
        <w:sz w:val="24"/>
        <w:szCs w:val="24"/>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82848C5"/>
    <w:multiLevelType w:val="multilevel"/>
    <w:tmpl w:val="40E4C3C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B0E1374"/>
    <w:multiLevelType w:val="hybridMultilevel"/>
    <w:tmpl w:val="F83A726A"/>
    <w:lvl w:ilvl="0" w:tplc="B93495B6">
      <w:numFmt w:val="bullet"/>
      <w:lvlText w:val="-"/>
      <w:lvlJc w:val="left"/>
      <w:pPr>
        <w:ind w:left="1353" w:hanging="360"/>
      </w:pPr>
      <w:rPr>
        <w:rFonts w:ascii="Times New Roman" w:eastAsiaTheme="minorEastAsia" w:hAnsi="Times New Roman" w:cs="Times New Roman" w:hint="default"/>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4C662652"/>
    <w:multiLevelType w:val="hybridMultilevel"/>
    <w:tmpl w:val="E36C6B6A"/>
    <w:lvl w:ilvl="0" w:tplc="21E6B534">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F9B4478"/>
    <w:multiLevelType w:val="hybridMultilevel"/>
    <w:tmpl w:val="F728662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8">
    <w:nsid w:val="70CD4230"/>
    <w:multiLevelType w:val="multilevel"/>
    <w:tmpl w:val="FE941984"/>
    <w:lvl w:ilvl="0">
      <w:start w:val="1"/>
      <w:numFmt w:val="decimal"/>
      <w:pStyle w:val="Nadpis1"/>
      <w:lvlText w:val="%1."/>
      <w:lvlJc w:val="left"/>
      <w:pPr>
        <w:ind w:left="716" w:hanging="432"/>
      </w:pPr>
      <w:rPr>
        <w:rFonts w:ascii="Times New Roman" w:hAnsi="Times New Roman" w:cs="Times New Roman" w:hint="default"/>
        <w:b/>
        <w:color w:val="auto"/>
        <w:sz w:val="24"/>
        <w:szCs w:val="24"/>
      </w:rPr>
    </w:lvl>
    <w:lvl w:ilvl="1">
      <w:start w:val="1"/>
      <w:numFmt w:val="decimal"/>
      <w:pStyle w:val="Nadpis2"/>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9">
    <w:nsid w:val="731A01CF"/>
    <w:multiLevelType w:val="multilevel"/>
    <w:tmpl w:val="40E4C3C4"/>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574"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36D659F"/>
    <w:multiLevelType w:val="hybridMultilevel"/>
    <w:tmpl w:val="C49072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D1434E7"/>
    <w:multiLevelType w:val="hybridMultilevel"/>
    <w:tmpl w:val="CA2C9644"/>
    <w:lvl w:ilvl="0" w:tplc="B93495B6">
      <w:numFmt w:val="bullet"/>
      <w:lvlText w:val="-"/>
      <w:lvlJc w:val="left"/>
      <w:pPr>
        <w:ind w:left="927" w:hanging="360"/>
      </w:pPr>
      <w:rPr>
        <w:rFonts w:ascii="Times New Roman" w:eastAsiaTheme="minorEastAsia" w:hAnsi="Times New Roman" w:cs="Times New Roman" w:hint="default"/>
        <w:i w:val="0"/>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8"/>
  </w:num>
  <w:num w:numId="2">
    <w:abstractNumId w:val="8"/>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6"/>
  </w:num>
  <w:num w:numId="8">
    <w:abstractNumId w:val="0"/>
  </w:num>
  <w:num w:numId="9">
    <w:abstractNumId w:val="4"/>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
  </w:num>
  <w:num w:numId="14">
    <w:abstractNumId w:val="7"/>
  </w:num>
  <w:num w:numId="15">
    <w:abstractNumId w:val="11"/>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0"/>
  <w:activeWritingStyle w:appName="MSWord" w:lang="it-IT" w:vendorID="64" w:dllVersion="131078" w:nlCheck="1" w:checkStyle="0"/>
  <w:activeWritingStyle w:appName="MSWord" w:lang="en-GB"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8EB"/>
    <w:rsid w:val="00002AB0"/>
    <w:rsid w:val="00007034"/>
    <w:rsid w:val="000076A5"/>
    <w:rsid w:val="00007FAF"/>
    <w:rsid w:val="00011648"/>
    <w:rsid w:val="00011901"/>
    <w:rsid w:val="00014461"/>
    <w:rsid w:val="00021E9D"/>
    <w:rsid w:val="00026179"/>
    <w:rsid w:val="000322B3"/>
    <w:rsid w:val="00040AF6"/>
    <w:rsid w:val="00040BF1"/>
    <w:rsid w:val="00041063"/>
    <w:rsid w:val="0004142A"/>
    <w:rsid w:val="00041F0D"/>
    <w:rsid w:val="00046447"/>
    <w:rsid w:val="00050375"/>
    <w:rsid w:val="0005519E"/>
    <w:rsid w:val="00055316"/>
    <w:rsid w:val="000558BC"/>
    <w:rsid w:val="000573FA"/>
    <w:rsid w:val="00057BC8"/>
    <w:rsid w:val="00057F27"/>
    <w:rsid w:val="00061D05"/>
    <w:rsid w:val="00062D93"/>
    <w:rsid w:val="00063290"/>
    <w:rsid w:val="00065456"/>
    <w:rsid w:val="00071372"/>
    <w:rsid w:val="00075423"/>
    <w:rsid w:val="000771CE"/>
    <w:rsid w:val="000923E8"/>
    <w:rsid w:val="000929BE"/>
    <w:rsid w:val="000B0E17"/>
    <w:rsid w:val="000B3028"/>
    <w:rsid w:val="000B31D7"/>
    <w:rsid w:val="000B5C53"/>
    <w:rsid w:val="000C2E70"/>
    <w:rsid w:val="000C5AF7"/>
    <w:rsid w:val="000C6499"/>
    <w:rsid w:val="000D006E"/>
    <w:rsid w:val="000D08DF"/>
    <w:rsid w:val="000D1B5D"/>
    <w:rsid w:val="000D4E90"/>
    <w:rsid w:val="000D7717"/>
    <w:rsid w:val="000E131F"/>
    <w:rsid w:val="000E7D98"/>
    <w:rsid w:val="000F0EFE"/>
    <w:rsid w:val="000F5D47"/>
    <w:rsid w:val="000F74F8"/>
    <w:rsid w:val="00100A51"/>
    <w:rsid w:val="0010108B"/>
    <w:rsid w:val="00102634"/>
    <w:rsid w:val="001044BF"/>
    <w:rsid w:val="001117C4"/>
    <w:rsid w:val="00112420"/>
    <w:rsid w:val="00112F72"/>
    <w:rsid w:val="00116E8F"/>
    <w:rsid w:val="00121D68"/>
    <w:rsid w:val="00123176"/>
    <w:rsid w:val="0012590C"/>
    <w:rsid w:val="00127098"/>
    <w:rsid w:val="0013680E"/>
    <w:rsid w:val="00140C61"/>
    <w:rsid w:val="0014443A"/>
    <w:rsid w:val="00160CAC"/>
    <w:rsid w:val="00161126"/>
    <w:rsid w:val="00165EE1"/>
    <w:rsid w:val="00167A30"/>
    <w:rsid w:val="00167C92"/>
    <w:rsid w:val="00167E5B"/>
    <w:rsid w:val="00173D67"/>
    <w:rsid w:val="001744BD"/>
    <w:rsid w:val="00176FDF"/>
    <w:rsid w:val="00183C8A"/>
    <w:rsid w:val="00187AF2"/>
    <w:rsid w:val="001A0B08"/>
    <w:rsid w:val="001A4CA6"/>
    <w:rsid w:val="001A5205"/>
    <w:rsid w:val="001B0748"/>
    <w:rsid w:val="001C668B"/>
    <w:rsid w:val="001C6FB0"/>
    <w:rsid w:val="001D1AAE"/>
    <w:rsid w:val="001D2ECF"/>
    <w:rsid w:val="001F2065"/>
    <w:rsid w:val="001F26AD"/>
    <w:rsid w:val="001F422C"/>
    <w:rsid w:val="00200075"/>
    <w:rsid w:val="0020047C"/>
    <w:rsid w:val="0020076B"/>
    <w:rsid w:val="002013E6"/>
    <w:rsid w:val="00202106"/>
    <w:rsid w:val="00214F12"/>
    <w:rsid w:val="002231DE"/>
    <w:rsid w:val="00224241"/>
    <w:rsid w:val="00224D5B"/>
    <w:rsid w:val="0023415D"/>
    <w:rsid w:val="002348F1"/>
    <w:rsid w:val="00243DD3"/>
    <w:rsid w:val="00244357"/>
    <w:rsid w:val="00253AAC"/>
    <w:rsid w:val="00257E6D"/>
    <w:rsid w:val="00276110"/>
    <w:rsid w:val="00282D90"/>
    <w:rsid w:val="0028747F"/>
    <w:rsid w:val="002879E0"/>
    <w:rsid w:val="0029063A"/>
    <w:rsid w:val="00297F21"/>
    <w:rsid w:val="002A0CFA"/>
    <w:rsid w:val="002A7F65"/>
    <w:rsid w:val="002B47D3"/>
    <w:rsid w:val="002B6036"/>
    <w:rsid w:val="002C161D"/>
    <w:rsid w:val="002C2E08"/>
    <w:rsid w:val="002C3BF7"/>
    <w:rsid w:val="002D21F8"/>
    <w:rsid w:val="002D4DF2"/>
    <w:rsid w:val="002E0810"/>
    <w:rsid w:val="002E1114"/>
    <w:rsid w:val="002E2206"/>
    <w:rsid w:val="002E6BF6"/>
    <w:rsid w:val="002F1B11"/>
    <w:rsid w:val="002F79E5"/>
    <w:rsid w:val="00300588"/>
    <w:rsid w:val="00302E5E"/>
    <w:rsid w:val="00310B81"/>
    <w:rsid w:val="00324D86"/>
    <w:rsid w:val="00325BD5"/>
    <w:rsid w:val="00335228"/>
    <w:rsid w:val="00335741"/>
    <w:rsid w:val="0034463D"/>
    <w:rsid w:val="00345B58"/>
    <w:rsid w:val="00357F3F"/>
    <w:rsid w:val="00360EF1"/>
    <w:rsid w:val="003618B8"/>
    <w:rsid w:val="003620B4"/>
    <w:rsid w:val="00375C92"/>
    <w:rsid w:val="00380326"/>
    <w:rsid w:val="00381147"/>
    <w:rsid w:val="00381592"/>
    <w:rsid w:val="0038447F"/>
    <w:rsid w:val="003867AA"/>
    <w:rsid w:val="00387566"/>
    <w:rsid w:val="003A15B2"/>
    <w:rsid w:val="003A284A"/>
    <w:rsid w:val="003A2F71"/>
    <w:rsid w:val="003A7EAE"/>
    <w:rsid w:val="003B1942"/>
    <w:rsid w:val="003B38A7"/>
    <w:rsid w:val="003B4A2F"/>
    <w:rsid w:val="003B4B65"/>
    <w:rsid w:val="003B7692"/>
    <w:rsid w:val="003C05AD"/>
    <w:rsid w:val="003C434C"/>
    <w:rsid w:val="003C57B9"/>
    <w:rsid w:val="003D2FF7"/>
    <w:rsid w:val="003E0327"/>
    <w:rsid w:val="003E6DE3"/>
    <w:rsid w:val="003F02BC"/>
    <w:rsid w:val="003F0B40"/>
    <w:rsid w:val="003F16DF"/>
    <w:rsid w:val="003F2D6F"/>
    <w:rsid w:val="003F4838"/>
    <w:rsid w:val="003F5AF1"/>
    <w:rsid w:val="003F7AFD"/>
    <w:rsid w:val="00411DB4"/>
    <w:rsid w:val="00412634"/>
    <w:rsid w:val="00422E95"/>
    <w:rsid w:val="00441216"/>
    <w:rsid w:val="00445D5A"/>
    <w:rsid w:val="00452548"/>
    <w:rsid w:val="00457879"/>
    <w:rsid w:val="0046215F"/>
    <w:rsid w:val="00477836"/>
    <w:rsid w:val="004809E9"/>
    <w:rsid w:val="00480D8D"/>
    <w:rsid w:val="0048257B"/>
    <w:rsid w:val="00491241"/>
    <w:rsid w:val="00494E9C"/>
    <w:rsid w:val="0049768D"/>
    <w:rsid w:val="004A69DC"/>
    <w:rsid w:val="004A7CB4"/>
    <w:rsid w:val="004B5503"/>
    <w:rsid w:val="004B7711"/>
    <w:rsid w:val="004C51DA"/>
    <w:rsid w:val="004D0864"/>
    <w:rsid w:val="004D68F6"/>
    <w:rsid w:val="004E1726"/>
    <w:rsid w:val="004E2D61"/>
    <w:rsid w:val="0050022B"/>
    <w:rsid w:val="00504619"/>
    <w:rsid w:val="00506200"/>
    <w:rsid w:val="00507304"/>
    <w:rsid w:val="00521A0E"/>
    <w:rsid w:val="00521D5D"/>
    <w:rsid w:val="005249F1"/>
    <w:rsid w:val="00535022"/>
    <w:rsid w:val="00542360"/>
    <w:rsid w:val="00542715"/>
    <w:rsid w:val="0054446D"/>
    <w:rsid w:val="00553B3A"/>
    <w:rsid w:val="00555204"/>
    <w:rsid w:val="00566694"/>
    <w:rsid w:val="005708AF"/>
    <w:rsid w:val="00575D16"/>
    <w:rsid w:val="00575F6B"/>
    <w:rsid w:val="00576122"/>
    <w:rsid w:val="00582BF3"/>
    <w:rsid w:val="00585522"/>
    <w:rsid w:val="005928E9"/>
    <w:rsid w:val="005977AE"/>
    <w:rsid w:val="005A246F"/>
    <w:rsid w:val="005A3500"/>
    <w:rsid w:val="005A6E9C"/>
    <w:rsid w:val="005B3C3C"/>
    <w:rsid w:val="005B4734"/>
    <w:rsid w:val="005B6113"/>
    <w:rsid w:val="005B7F74"/>
    <w:rsid w:val="005C29C6"/>
    <w:rsid w:val="005C6FAF"/>
    <w:rsid w:val="005C7F15"/>
    <w:rsid w:val="005D0D2F"/>
    <w:rsid w:val="005D11CB"/>
    <w:rsid w:val="005D2CC4"/>
    <w:rsid w:val="005E5F5B"/>
    <w:rsid w:val="005F44C1"/>
    <w:rsid w:val="005F4945"/>
    <w:rsid w:val="005F54B4"/>
    <w:rsid w:val="005F756D"/>
    <w:rsid w:val="0060147C"/>
    <w:rsid w:val="0060724B"/>
    <w:rsid w:val="00610473"/>
    <w:rsid w:val="00614A00"/>
    <w:rsid w:val="00614C8A"/>
    <w:rsid w:val="006366CF"/>
    <w:rsid w:val="006418BE"/>
    <w:rsid w:val="00641BB1"/>
    <w:rsid w:val="00641D20"/>
    <w:rsid w:val="00642433"/>
    <w:rsid w:val="006428FF"/>
    <w:rsid w:val="0064725F"/>
    <w:rsid w:val="00653D45"/>
    <w:rsid w:val="006578B0"/>
    <w:rsid w:val="006615F4"/>
    <w:rsid w:val="0066179D"/>
    <w:rsid w:val="0066234E"/>
    <w:rsid w:val="00664224"/>
    <w:rsid w:val="00666870"/>
    <w:rsid w:val="0067312B"/>
    <w:rsid w:val="00681184"/>
    <w:rsid w:val="00683437"/>
    <w:rsid w:val="0069007E"/>
    <w:rsid w:val="00695116"/>
    <w:rsid w:val="0069643C"/>
    <w:rsid w:val="006A52E6"/>
    <w:rsid w:val="006B1B17"/>
    <w:rsid w:val="006B5CE7"/>
    <w:rsid w:val="006B6B95"/>
    <w:rsid w:val="006C16B9"/>
    <w:rsid w:val="006C1E29"/>
    <w:rsid w:val="006C3255"/>
    <w:rsid w:val="006C404B"/>
    <w:rsid w:val="006D39F1"/>
    <w:rsid w:val="006D4A8C"/>
    <w:rsid w:val="006D583B"/>
    <w:rsid w:val="006D5D22"/>
    <w:rsid w:val="006E34A0"/>
    <w:rsid w:val="006E4C6B"/>
    <w:rsid w:val="007009E2"/>
    <w:rsid w:val="00701C3D"/>
    <w:rsid w:val="007020C5"/>
    <w:rsid w:val="00702DED"/>
    <w:rsid w:val="00705898"/>
    <w:rsid w:val="00710EE0"/>
    <w:rsid w:val="00712B7D"/>
    <w:rsid w:val="00712FE1"/>
    <w:rsid w:val="007162C0"/>
    <w:rsid w:val="00724B5B"/>
    <w:rsid w:val="00725E13"/>
    <w:rsid w:val="00732AB8"/>
    <w:rsid w:val="00733DF2"/>
    <w:rsid w:val="00734E80"/>
    <w:rsid w:val="00735061"/>
    <w:rsid w:val="00737362"/>
    <w:rsid w:val="00743FDB"/>
    <w:rsid w:val="00745249"/>
    <w:rsid w:val="00745770"/>
    <w:rsid w:val="00746AFD"/>
    <w:rsid w:val="00750792"/>
    <w:rsid w:val="00752161"/>
    <w:rsid w:val="00754B86"/>
    <w:rsid w:val="007638A8"/>
    <w:rsid w:val="00764213"/>
    <w:rsid w:val="00770DF1"/>
    <w:rsid w:val="0079145B"/>
    <w:rsid w:val="007933F1"/>
    <w:rsid w:val="007A0C13"/>
    <w:rsid w:val="007A3DB4"/>
    <w:rsid w:val="007B1192"/>
    <w:rsid w:val="007B42B0"/>
    <w:rsid w:val="007C3DDD"/>
    <w:rsid w:val="007D4EF7"/>
    <w:rsid w:val="007F09FF"/>
    <w:rsid w:val="007F247B"/>
    <w:rsid w:val="007F7428"/>
    <w:rsid w:val="00800C58"/>
    <w:rsid w:val="00800E0E"/>
    <w:rsid w:val="00803E87"/>
    <w:rsid w:val="00804B7C"/>
    <w:rsid w:val="00806235"/>
    <w:rsid w:val="0081068A"/>
    <w:rsid w:val="008166E2"/>
    <w:rsid w:val="00822F2A"/>
    <w:rsid w:val="0082710F"/>
    <w:rsid w:val="008279FE"/>
    <w:rsid w:val="00830DF9"/>
    <w:rsid w:val="008331FC"/>
    <w:rsid w:val="008349F4"/>
    <w:rsid w:val="0084169D"/>
    <w:rsid w:val="0085023D"/>
    <w:rsid w:val="008516C7"/>
    <w:rsid w:val="008535CD"/>
    <w:rsid w:val="0086139E"/>
    <w:rsid w:val="00867C95"/>
    <w:rsid w:val="0087042E"/>
    <w:rsid w:val="008704B7"/>
    <w:rsid w:val="0088032B"/>
    <w:rsid w:val="00880A71"/>
    <w:rsid w:val="0088423F"/>
    <w:rsid w:val="00885FB0"/>
    <w:rsid w:val="00892BE5"/>
    <w:rsid w:val="0089358B"/>
    <w:rsid w:val="008959AB"/>
    <w:rsid w:val="008A5204"/>
    <w:rsid w:val="008B4165"/>
    <w:rsid w:val="008B4800"/>
    <w:rsid w:val="008B4889"/>
    <w:rsid w:val="008C35B4"/>
    <w:rsid w:val="008D0CB6"/>
    <w:rsid w:val="008D12B3"/>
    <w:rsid w:val="008D2AB2"/>
    <w:rsid w:val="008D4019"/>
    <w:rsid w:val="008E736D"/>
    <w:rsid w:val="008F10B4"/>
    <w:rsid w:val="008F3ECA"/>
    <w:rsid w:val="00910326"/>
    <w:rsid w:val="00911239"/>
    <w:rsid w:val="0091240D"/>
    <w:rsid w:val="00913996"/>
    <w:rsid w:val="00942B06"/>
    <w:rsid w:val="009471B4"/>
    <w:rsid w:val="009513BC"/>
    <w:rsid w:val="00951C32"/>
    <w:rsid w:val="00952274"/>
    <w:rsid w:val="0095534B"/>
    <w:rsid w:val="009554A6"/>
    <w:rsid w:val="009577A0"/>
    <w:rsid w:val="00962DEF"/>
    <w:rsid w:val="00964312"/>
    <w:rsid w:val="00966191"/>
    <w:rsid w:val="00966234"/>
    <w:rsid w:val="009662FD"/>
    <w:rsid w:val="0096701B"/>
    <w:rsid w:val="00967AF1"/>
    <w:rsid w:val="00973A93"/>
    <w:rsid w:val="00975231"/>
    <w:rsid w:val="009918ED"/>
    <w:rsid w:val="009958B7"/>
    <w:rsid w:val="00996ADC"/>
    <w:rsid w:val="009A0F7C"/>
    <w:rsid w:val="009A6608"/>
    <w:rsid w:val="009B378C"/>
    <w:rsid w:val="009C017E"/>
    <w:rsid w:val="009C2DAA"/>
    <w:rsid w:val="009C4FEE"/>
    <w:rsid w:val="009C5FF2"/>
    <w:rsid w:val="009D7FB6"/>
    <w:rsid w:val="009E2C3A"/>
    <w:rsid w:val="009F133C"/>
    <w:rsid w:val="009F649C"/>
    <w:rsid w:val="009F7E11"/>
    <w:rsid w:val="00A00A50"/>
    <w:rsid w:val="00A074ED"/>
    <w:rsid w:val="00A07D36"/>
    <w:rsid w:val="00A16497"/>
    <w:rsid w:val="00A1702C"/>
    <w:rsid w:val="00A21552"/>
    <w:rsid w:val="00A344AA"/>
    <w:rsid w:val="00A364B9"/>
    <w:rsid w:val="00A366C4"/>
    <w:rsid w:val="00A400D2"/>
    <w:rsid w:val="00A4545D"/>
    <w:rsid w:val="00A52E51"/>
    <w:rsid w:val="00A531DF"/>
    <w:rsid w:val="00A54DFB"/>
    <w:rsid w:val="00A67F59"/>
    <w:rsid w:val="00A82A12"/>
    <w:rsid w:val="00A90F34"/>
    <w:rsid w:val="00A9386F"/>
    <w:rsid w:val="00A94B36"/>
    <w:rsid w:val="00A96A24"/>
    <w:rsid w:val="00A96D3B"/>
    <w:rsid w:val="00AA0F53"/>
    <w:rsid w:val="00AA1226"/>
    <w:rsid w:val="00AA6B43"/>
    <w:rsid w:val="00AA784E"/>
    <w:rsid w:val="00AA7A14"/>
    <w:rsid w:val="00AB2400"/>
    <w:rsid w:val="00AB4F60"/>
    <w:rsid w:val="00AC0CBA"/>
    <w:rsid w:val="00AC49A7"/>
    <w:rsid w:val="00AE1F2D"/>
    <w:rsid w:val="00AE4D1E"/>
    <w:rsid w:val="00AE6297"/>
    <w:rsid w:val="00B113AD"/>
    <w:rsid w:val="00B135BA"/>
    <w:rsid w:val="00B2289E"/>
    <w:rsid w:val="00B25AF5"/>
    <w:rsid w:val="00B3419B"/>
    <w:rsid w:val="00B35BAE"/>
    <w:rsid w:val="00B37270"/>
    <w:rsid w:val="00B46F90"/>
    <w:rsid w:val="00B472CE"/>
    <w:rsid w:val="00B47F66"/>
    <w:rsid w:val="00B505DD"/>
    <w:rsid w:val="00B50DE1"/>
    <w:rsid w:val="00B51999"/>
    <w:rsid w:val="00B529F4"/>
    <w:rsid w:val="00B548C3"/>
    <w:rsid w:val="00B57928"/>
    <w:rsid w:val="00B60F2C"/>
    <w:rsid w:val="00B63A56"/>
    <w:rsid w:val="00B65130"/>
    <w:rsid w:val="00B83C27"/>
    <w:rsid w:val="00B9163F"/>
    <w:rsid w:val="00B93A80"/>
    <w:rsid w:val="00B979B4"/>
    <w:rsid w:val="00BA7630"/>
    <w:rsid w:val="00BB4265"/>
    <w:rsid w:val="00BB78EB"/>
    <w:rsid w:val="00BC64AD"/>
    <w:rsid w:val="00BC6A4F"/>
    <w:rsid w:val="00BD255A"/>
    <w:rsid w:val="00BD76ED"/>
    <w:rsid w:val="00BE754F"/>
    <w:rsid w:val="00BF3D98"/>
    <w:rsid w:val="00BF63CF"/>
    <w:rsid w:val="00C01406"/>
    <w:rsid w:val="00C01FCC"/>
    <w:rsid w:val="00C10544"/>
    <w:rsid w:val="00C20B4C"/>
    <w:rsid w:val="00C317D8"/>
    <w:rsid w:val="00C337CA"/>
    <w:rsid w:val="00C3662C"/>
    <w:rsid w:val="00C36C1E"/>
    <w:rsid w:val="00C41646"/>
    <w:rsid w:val="00C456CA"/>
    <w:rsid w:val="00C56147"/>
    <w:rsid w:val="00C561F7"/>
    <w:rsid w:val="00C61EC3"/>
    <w:rsid w:val="00C62920"/>
    <w:rsid w:val="00C629A1"/>
    <w:rsid w:val="00C70393"/>
    <w:rsid w:val="00C72465"/>
    <w:rsid w:val="00C7293A"/>
    <w:rsid w:val="00C73C0A"/>
    <w:rsid w:val="00C76225"/>
    <w:rsid w:val="00C76DE3"/>
    <w:rsid w:val="00C83872"/>
    <w:rsid w:val="00C8476F"/>
    <w:rsid w:val="00C84DCB"/>
    <w:rsid w:val="00C934EF"/>
    <w:rsid w:val="00C955EA"/>
    <w:rsid w:val="00C95FF3"/>
    <w:rsid w:val="00C96FC2"/>
    <w:rsid w:val="00CA5A7B"/>
    <w:rsid w:val="00CB0D78"/>
    <w:rsid w:val="00CB2814"/>
    <w:rsid w:val="00CB2BFF"/>
    <w:rsid w:val="00CB3D15"/>
    <w:rsid w:val="00CC75A2"/>
    <w:rsid w:val="00CD53FC"/>
    <w:rsid w:val="00CD61CC"/>
    <w:rsid w:val="00CD7441"/>
    <w:rsid w:val="00CD74D4"/>
    <w:rsid w:val="00CE4554"/>
    <w:rsid w:val="00CE49FC"/>
    <w:rsid w:val="00CF2CFE"/>
    <w:rsid w:val="00CF7DD9"/>
    <w:rsid w:val="00D03226"/>
    <w:rsid w:val="00D03E07"/>
    <w:rsid w:val="00D04A79"/>
    <w:rsid w:val="00D05270"/>
    <w:rsid w:val="00D0572B"/>
    <w:rsid w:val="00D111A9"/>
    <w:rsid w:val="00D11508"/>
    <w:rsid w:val="00D11649"/>
    <w:rsid w:val="00D12A77"/>
    <w:rsid w:val="00D13C83"/>
    <w:rsid w:val="00D1788D"/>
    <w:rsid w:val="00D21EBF"/>
    <w:rsid w:val="00D24D05"/>
    <w:rsid w:val="00D305EC"/>
    <w:rsid w:val="00D3086B"/>
    <w:rsid w:val="00D30E31"/>
    <w:rsid w:val="00D3160D"/>
    <w:rsid w:val="00D346F1"/>
    <w:rsid w:val="00D43310"/>
    <w:rsid w:val="00D44DD0"/>
    <w:rsid w:val="00D45E84"/>
    <w:rsid w:val="00D463EC"/>
    <w:rsid w:val="00D47C36"/>
    <w:rsid w:val="00D51B93"/>
    <w:rsid w:val="00D56E68"/>
    <w:rsid w:val="00D6142C"/>
    <w:rsid w:val="00D70101"/>
    <w:rsid w:val="00D731D1"/>
    <w:rsid w:val="00D73B1C"/>
    <w:rsid w:val="00D77060"/>
    <w:rsid w:val="00D83862"/>
    <w:rsid w:val="00D83A5A"/>
    <w:rsid w:val="00D875C3"/>
    <w:rsid w:val="00D947C5"/>
    <w:rsid w:val="00DA274C"/>
    <w:rsid w:val="00DA4C9E"/>
    <w:rsid w:val="00DB17C8"/>
    <w:rsid w:val="00DB1D62"/>
    <w:rsid w:val="00DB53BE"/>
    <w:rsid w:val="00DB5BB2"/>
    <w:rsid w:val="00DC144A"/>
    <w:rsid w:val="00DC47C3"/>
    <w:rsid w:val="00DC504D"/>
    <w:rsid w:val="00DC51B7"/>
    <w:rsid w:val="00DD1AC8"/>
    <w:rsid w:val="00DD5BEC"/>
    <w:rsid w:val="00DE03CE"/>
    <w:rsid w:val="00DF4225"/>
    <w:rsid w:val="00DF765A"/>
    <w:rsid w:val="00E018FB"/>
    <w:rsid w:val="00E05235"/>
    <w:rsid w:val="00E053E3"/>
    <w:rsid w:val="00E069F0"/>
    <w:rsid w:val="00E109BF"/>
    <w:rsid w:val="00E12D3E"/>
    <w:rsid w:val="00E161AC"/>
    <w:rsid w:val="00E17CF4"/>
    <w:rsid w:val="00E26F2A"/>
    <w:rsid w:val="00E31061"/>
    <w:rsid w:val="00E32F84"/>
    <w:rsid w:val="00E331B4"/>
    <w:rsid w:val="00E37692"/>
    <w:rsid w:val="00E45A58"/>
    <w:rsid w:val="00E45DF2"/>
    <w:rsid w:val="00E46473"/>
    <w:rsid w:val="00E52546"/>
    <w:rsid w:val="00E547AC"/>
    <w:rsid w:val="00E5741B"/>
    <w:rsid w:val="00E601DC"/>
    <w:rsid w:val="00E65D9E"/>
    <w:rsid w:val="00E740D6"/>
    <w:rsid w:val="00E7695C"/>
    <w:rsid w:val="00E83A16"/>
    <w:rsid w:val="00E8647E"/>
    <w:rsid w:val="00E9045B"/>
    <w:rsid w:val="00E96A1E"/>
    <w:rsid w:val="00EA4811"/>
    <w:rsid w:val="00EA6764"/>
    <w:rsid w:val="00EB293C"/>
    <w:rsid w:val="00EC5833"/>
    <w:rsid w:val="00ED0EE4"/>
    <w:rsid w:val="00ED2755"/>
    <w:rsid w:val="00ED57C5"/>
    <w:rsid w:val="00ED58D8"/>
    <w:rsid w:val="00ED60CD"/>
    <w:rsid w:val="00ED7166"/>
    <w:rsid w:val="00EE09CD"/>
    <w:rsid w:val="00EE4448"/>
    <w:rsid w:val="00EE5117"/>
    <w:rsid w:val="00EE560F"/>
    <w:rsid w:val="00EF019E"/>
    <w:rsid w:val="00EF056C"/>
    <w:rsid w:val="00EF1075"/>
    <w:rsid w:val="00EF18C6"/>
    <w:rsid w:val="00F04552"/>
    <w:rsid w:val="00F05083"/>
    <w:rsid w:val="00F13855"/>
    <w:rsid w:val="00F20C29"/>
    <w:rsid w:val="00F23F35"/>
    <w:rsid w:val="00F24090"/>
    <w:rsid w:val="00F24CED"/>
    <w:rsid w:val="00F257C5"/>
    <w:rsid w:val="00F5058B"/>
    <w:rsid w:val="00F531DF"/>
    <w:rsid w:val="00F61343"/>
    <w:rsid w:val="00F62003"/>
    <w:rsid w:val="00F62BD8"/>
    <w:rsid w:val="00F66201"/>
    <w:rsid w:val="00F67EA2"/>
    <w:rsid w:val="00F728A4"/>
    <w:rsid w:val="00F87EB7"/>
    <w:rsid w:val="00F97925"/>
    <w:rsid w:val="00FA05A0"/>
    <w:rsid w:val="00FB0453"/>
    <w:rsid w:val="00FB1052"/>
    <w:rsid w:val="00FB6795"/>
    <w:rsid w:val="00FB6DA7"/>
    <w:rsid w:val="00FB7A87"/>
    <w:rsid w:val="00FC6092"/>
    <w:rsid w:val="00FD063A"/>
    <w:rsid w:val="00FD3A39"/>
    <w:rsid w:val="00FD5F43"/>
    <w:rsid w:val="00FD7080"/>
    <w:rsid w:val="00FD72BE"/>
    <w:rsid w:val="00FD741C"/>
    <w:rsid w:val="00FE7AFC"/>
    <w:rsid w:val="00FF2145"/>
    <w:rsid w:val="00FF4E21"/>
    <w:rsid w:val="00FF4F25"/>
    <w:rsid w:val="00FF65EA"/>
    <w:rsid w:val="00FF72BA"/>
    <w:rsid w:val="00FF7F62"/>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FE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634"/>
  </w:style>
  <w:style w:type="paragraph" w:styleId="Nadpis1">
    <w:name w:val="heading 1"/>
    <w:basedOn w:val="Normln"/>
    <w:next w:val="Normln"/>
    <w:link w:val="Nadpis1Char"/>
    <w:uiPriority w:val="9"/>
    <w:qFormat/>
    <w:rsid w:val="00A364B9"/>
    <w:pPr>
      <w:keepNext/>
      <w:keepLines/>
      <w:numPr>
        <w:numId w:val="6"/>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A364B9"/>
    <w:pPr>
      <w:keepNext/>
      <w:keepLines/>
      <w:numPr>
        <w:ilvl w:val="1"/>
        <w:numId w:val="6"/>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A364B9"/>
    <w:pPr>
      <w:keepNext/>
      <w:keepLines/>
      <w:numPr>
        <w:ilvl w:val="2"/>
        <w:numId w:val="6"/>
      </w:numPr>
      <w:spacing w:before="200" w:after="0" w:line="276" w:lineRule="auto"/>
      <w:outlineLvl w:val="2"/>
    </w:pPr>
    <w:rPr>
      <w:rFonts w:asciiTheme="majorHAnsi" w:eastAsiaTheme="majorEastAsia" w:hAnsiTheme="majorHAnsi" w:cstheme="majorBidi"/>
      <w:b/>
      <w:bCs/>
      <w:color w:val="5B9BD5" w:themeColor="accent1"/>
      <w:sz w:val="24"/>
    </w:rPr>
  </w:style>
  <w:style w:type="paragraph" w:styleId="Nadpis4">
    <w:name w:val="heading 4"/>
    <w:basedOn w:val="Normln"/>
    <w:next w:val="Normln"/>
    <w:link w:val="Nadpis4Char"/>
    <w:uiPriority w:val="9"/>
    <w:semiHidden/>
    <w:unhideWhenUsed/>
    <w:qFormat/>
    <w:rsid w:val="00A364B9"/>
    <w:pPr>
      <w:keepNext/>
      <w:keepLines/>
      <w:numPr>
        <w:ilvl w:val="3"/>
        <w:numId w:val="6"/>
      </w:numPr>
      <w:spacing w:before="200" w:after="0" w:line="276" w:lineRule="auto"/>
      <w:outlineLvl w:val="3"/>
    </w:pPr>
    <w:rPr>
      <w:rFonts w:asciiTheme="majorHAnsi" w:eastAsiaTheme="majorEastAsia" w:hAnsiTheme="majorHAnsi" w:cstheme="majorBidi"/>
      <w:b/>
      <w:bCs/>
      <w:i/>
      <w:iCs/>
      <w:color w:val="5B9BD5" w:themeColor="accent1"/>
      <w:sz w:val="24"/>
    </w:rPr>
  </w:style>
  <w:style w:type="paragraph" w:styleId="Nadpis5">
    <w:name w:val="heading 5"/>
    <w:basedOn w:val="Normln"/>
    <w:next w:val="Normln"/>
    <w:link w:val="Nadpis5Char"/>
    <w:uiPriority w:val="9"/>
    <w:semiHidden/>
    <w:unhideWhenUsed/>
    <w:qFormat/>
    <w:rsid w:val="00A364B9"/>
    <w:pPr>
      <w:keepNext/>
      <w:keepLines/>
      <w:numPr>
        <w:ilvl w:val="4"/>
        <w:numId w:val="6"/>
      </w:numPr>
      <w:spacing w:before="200" w:after="0" w:line="276" w:lineRule="auto"/>
      <w:outlineLvl w:val="4"/>
    </w:pPr>
    <w:rPr>
      <w:rFonts w:asciiTheme="majorHAnsi" w:eastAsiaTheme="majorEastAsia" w:hAnsiTheme="majorHAnsi" w:cstheme="majorBidi"/>
      <w:color w:val="1F4D78" w:themeColor="accent1" w:themeShade="7F"/>
      <w:sz w:val="24"/>
    </w:rPr>
  </w:style>
  <w:style w:type="paragraph" w:styleId="Nadpis6">
    <w:name w:val="heading 6"/>
    <w:basedOn w:val="Normln"/>
    <w:next w:val="Normln"/>
    <w:link w:val="Nadpis6Char"/>
    <w:uiPriority w:val="9"/>
    <w:semiHidden/>
    <w:unhideWhenUsed/>
    <w:qFormat/>
    <w:rsid w:val="00A364B9"/>
    <w:pPr>
      <w:keepNext/>
      <w:keepLines/>
      <w:numPr>
        <w:ilvl w:val="5"/>
        <w:numId w:val="6"/>
      </w:numPr>
      <w:spacing w:before="200" w:after="0" w:line="276" w:lineRule="auto"/>
      <w:outlineLvl w:val="5"/>
    </w:pPr>
    <w:rPr>
      <w:rFonts w:asciiTheme="majorHAnsi" w:eastAsiaTheme="majorEastAsia" w:hAnsiTheme="majorHAnsi" w:cstheme="majorBidi"/>
      <w:i/>
      <w:iCs/>
      <w:color w:val="1F4D78" w:themeColor="accent1" w:themeShade="7F"/>
      <w:sz w:val="24"/>
    </w:rPr>
  </w:style>
  <w:style w:type="paragraph" w:styleId="Nadpis7">
    <w:name w:val="heading 7"/>
    <w:basedOn w:val="Normln"/>
    <w:next w:val="Normln"/>
    <w:link w:val="Nadpis7Char"/>
    <w:uiPriority w:val="9"/>
    <w:semiHidden/>
    <w:unhideWhenUsed/>
    <w:qFormat/>
    <w:rsid w:val="00A364B9"/>
    <w:pPr>
      <w:keepNext/>
      <w:keepLines/>
      <w:numPr>
        <w:ilvl w:val="6"/>
        <w:numId w:val="6"/>
      </w:numPr>
      <w:spacing w:before="200" w:after="0" w:line="276" w:lineRule="auto"/>
      <w:outlineLvl w:val="6"/>
    </w:pPr>
    <w:rPr>
      <w:rFonts w:asciiTheme="majorHAnsi" w:eastAsiaTheme="majorEastAsia" w:hAnsiTheme="majorHAnsi" w:cstheme="majorBidi"/>
      <w:i/>
      <w:iCs/>
      <w:color w:val="404040" w:themeColor="text1" w:themeTint="BF"/>
      <w:sz w:val="24"/>
    </w:rPr>
  </w:style>
  <w:style w:type="paragraph" w:styleId="Nadpis8">
    <w:name w:val="heading 8"/>
    <w:basedOn w:val="Normln"/>
    <w:next w:val="Normln"/>
    <w:link w:val="Nadpis8Char"/>
    <w:uiPriority w:val="9"/>
    <w:semiHidden/>
    <w:unhideWhenUsed/>
    <w:qFormat/>
    <w:rsid w:val="00A364B9"/>
    <w:pPr>
      <w:keepNext/>
      <w:keepLines/>
      <w:numPr>
        <w:ilvl w:val="7"/>
        <w:numId w:val="6"/>
      </w:numPr>
      <w:spacing w:before="200" w:after="0" w:line="276" w:lineRule="auto"/>
      <w:outlineLvl w:val="7"/>
    </w:pPr>
    <w:rPr>
      <w:rFonts w:asciiTheme="majorHAnsi" w:eastAsiaTheme="majorEastAsia" w:hAnsiTheme="majorHAnsi" w:cstheme="majorBidi"/>
      <w:color w:val="5B9BD5" w:themeColor="accent1"/>
      <w:sz w:val="20"/>
      <w:szCs w:val="20"/>
    </w:rPr>
  </w:style>
  <w:style w:type="paragraph" w:styleId="Nadpis9">
    <w:name w:val="heading 9"/>
    <w:basedOn w:val="Normln"/>
    <w:next w:val="Normln"/>
    <w:link w:val="Nadpis9Char"/>
    <w:uiPriority w:val="9"/>
    <w:semiHidden/>
    <w:unhideWhenUsed/>
    <w:qFormat/>
    <w:rsid w:val="00A364B9"/>
    <w:pPr>
      <w:keepNext/>
      <w:keepLines/>
      <w:numPr>
        <w:ilvl w:val="8"/>
        <w:numId w:val="6"/>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364B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uiPriority w:val="9"/>
    <w:rsid w:val="00A364B9"/>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rsid w:val="00A364B9"/>
    <w:rPr>
      <w:rFonts w:asciiTheme="majorHAnsi" w:eastAsiaTheme="majorEastAsia" w:hAnsiTheme="majorHAnsi" w:cstheme="majorBidi"/>
      <w:b/>
      <w:bCs/>
      <w:color w:val="5B9BD5" w:themeColor="accent1"/>
      <w:sz w:val="24"/>
    </w:rPr>
  </w:style>
  <w:style w:type="character" w:customStyle="1" w:styleId="Nadpis4Char">
    <w:name w:val="Nadpis 4 Char"/>
    <w:basedOn w:val="Standardnpsmoodstavce"/>
    <w:link w:val="Nadpis4"/>
    <w:uiPriority w:val="9"/>
    <w:semiHidden/>
    <w:rsid w:val="00A364B9"/>
    <w:rPr>
      <w:rFonts w:asciiTheme="majorHAnsi" w:eastAsiaTheme="majorEastAsia" w:hAnsiTheme="majorHAnsi" w:cstheme="majorBidi"/>
      <w:b/>
      <w:bCs/>
      <w:i/>
      <w:iCs/>
      <w:color w:val="5B9BD5" w:themeColor="accent1"/>
      <w:sz w:val="24"/>
    </w:rPr>
  </w:style>
  <w:style w:type="character" w:customStyle="1" w:styleId="Nadpis5Char">
    <w:name w:val="Nadpis 5 Char"/>
    <w:basedOn w:val="Standardnpsmoodstavce"/>
    <w:link w:val="Nadpis5"/>
    <w:uiPriority w:val="9"/>
    <w:semiHidden/>
    <w:rsid w:val="00A364B9"/>
    <w:rPr>
      <w:rFonts w:asciiTheme="majorHAnsi" w:eastAsiaTheme="majorEastAsia" w:hAnsiTheme="majorHAnsi" w:cstheme="majorBidi"/>
      <w:color w:val="1F4D78" w:themeColor="accent1" w:themeShade="7F"/>
      <w:sz w:val="24"/>
    </w:rPr>
  </w:style>
  <w:style w:type="character" w:customStyle="1" w:styleId="Nadpis6Char">
    <w:name w:val="Nadpis 6 Char"/>
    <w:basedOn w:val="Standardnpsmoodstavce"/>
    <w:link w:val="Nadpis6"/>
    <w:uiPriority w:val="9"/>
    <w:semiHidden/>
    <w:rsid w:val="00A364B9"/>
    <w:rPr>
      <w:rFonts w:asciiTheme="majorHAnsi" w:eastAsiaTheme="majorEastAsia" w:hAnsiTheme="majorHAnsi" w:cstheme="majorBidi"/>
      <w:i/>
      <w:iCs/>
      <w:color w:val="1F4D78" w:themeColor="accent1" w:themeShade="7F"/>
      <w:sz w:val="24"/>
    </w:rPr>
  </w:style>
  <w:style w:type="character" w:customStyle="1" w:styleId="Nadpis7Char">
    <w:name w:val="Nadpis 7 Char"/>
    <w:basedOn w:val="Standardnpsmoodstavce"/>
    <w:link w:val="Nadpis7"/>
    <w:uiPriority w:val="9"/>
    <w:semiHidden/>
    <w:rsid w:val="00A364B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A364B9"/>
    <w:rPr>
      <w:rFonts w:asciiTheme="majorHAnsi" w:eastAsiaTheme="majorEastAsia" w:hAnsiTheme="majorHAnsi" w:cstheme="majorBidi"/>
      <w:color w:val="5B9BD5" w:themeColor="accent1"/>
      <w:sz w:val="20"/>
      <w:szCs w:val="20"/>
    </w:rPr>
  </w:style>
  <w:style w:type="character" w:customStyle="1" w:styleId="Nadpis9Char">
    <w:name w:val="Nadpis 9 Char"/>
    <w:basedOn w:val="Standardnpsmoodstavce"/>
    <w:link w:val="Nadpis9"/>
    <w:uiPriority w:val="9"/>
    <w:semiHidden/>
    <w:rsid w:val="00A364B9"/>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39"/>
    <w:rsid w:val="00A364B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Normlntabulka"/>
    <w:next w:val="Mkatabulky"/>
    <w:uiPriority w:val="39"/>
    <w:rsid w:val="00A364B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364B9"/>
    <w:rPr>
      <w:sz w:val="16"/>
      <w:szCs w:val="16"/>
    </w:rPr>
  </w:style>
  <w:style w:type="paragraph" w:styleId="Textkomente">
    <w:name w:val="annotation text"/>
    <w:basedOn w:val="Normln"/>
    <w:link w:val="TextkomenteChar"/>
    <w:uiPriority w:val="99"/>
    <w:semiHidden/>
    <w:unhideWhenUsed/>
    <w:rsid w:val="00A364B9"/>
    <w:pPr>
      <w:spacing w:after="200" w:line="240" w:lineRule="auto"/>
    </w:pPr>
    <w:rPr>
      <w:rFonts w:ascii="Times New Roman" w:eastAsiaTheme="minorEastAsia" w:hAnsi="Times New Roman"/>
      <w:sz w:val="20"/>
      <w:szCs w:val="20"/>
    </w:rPr>
  </w:style>
  <w:style w:type="character" w:customStyle="1" w:styleId="TextkomenteChar">
    <w:name w:val="Text komentáře Char"/>
    <w:basedOn w:val="Standardnpsmoodstavce"/>
    <w:link w:val="Textkomente"/>
    <w:uiPriority w:val="99"/>
    <w:semiHidden/>
    <w:rsid w:val="00A364B9"/>
    <w:rPr>
      <w:rFonts w:ascii="Times New Roman" w:eastAsiaTheme="minorEastAsia" w:hAnsi="Times New Roman"/>
      <w:sz w:val="20"/>
      <w:szCs w:val="20"/>
    </w:rPr>
  </w:style>
  <w:style w:type="paragraph" w:styleId="Textbubliny">
    <w:name w:val="Balloon Text"/>
    <w:basedOn w:val="Normln"/>
    <w:link w:val="TextbublinyChar"/>
    <w:uiPriority w:val="99"/>
    <w:semiHidden/>
    <w:unhideWhenUsed/>
    <w:rsid w:val="00A364B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64B9"/>
    <w:rPr>
      <w:rFonts w:ascii="Segoe UI" w:hAnsi="Segoe UI" w:cs="Segoe UI"/>
      <w:sz w:val="18"/>
      <w:szCs w:val="18"/>
    </w:rPr>
  </w:style>
  <w:style w:type="paragraph" w:styleId="Zhlav">
    <w:name w:val="header"/>
    <w:basedOn w:val="Normln"/>
    <w:link w:val="ZhlavChar"/>
    <w:uiPriority w:val="99"/>
    <w:unhideWhenUsed/>
    <w:rsid w:val="007A0C13"/>
    <w:pPr>
      <w:tabs>
        <w:tab w:val="center" w:pos="4819"/>
        <w:tab w:val="right" w:pos="9638"/>
      </w:tabs>
      <w:spacing w:after="0" w:line="240" w:lineRule="auto"/>
    </w:pPr>
  </w:style>
  <w:style w:type="character" w:customStyle="1" w:styleId="ZhlavChar">
    <w:name w:val="Záhlaví Char"/>
    <w:basedOn w:val="Standardnpsmoodstavce"/>
    <w:link w:val="Zhlav"/>
    <w:uiPriority w:val="99"/>
    <w:rsid w:val="007A0C13"/>
  </w:style>
  <w:style w:type="paragraph" w:styleId="Zpat">
    <w:name w:val="footer"/>
    <w:basedOn w:val="Normln"/>
    <w:link w:val="ZpatChar"/>
    <w:uiPriority w:val="99"/>
    <w:unhideWhenUsed/>
    <w:rsid w:val="007A0C13"/>
    <w:pPr>
      <w:tabs>
        <w:tab w:val="center" w:pos="4819"/>
        <w:tab w:val="right" w:pos="9638"/>
      </w:tabs>
      <w:spacing w:after="0" w:line="240" w:lineRule="auto"/>
    </w:pPr>
  </w:style>
  <w:style w:type="character" w:customStyle="1" w:styleId="ZpatChar">
    <w:name w:val="Zápatí Char"/>
    <w:basedOn w:val="Standardnpsmoodstavce"/>
    <w:link w:val="Zpat"/>
    <w:uiPriority w:val="99"/>
    <w:rsid w:val="007A0C13"/>
  </w:style>
  <w:style w:type="paragraph" w:styleId="Odstavecseseznamem">
    <w:name w:val="List Paragraph"/>
    <w:basedOn w:val="Normln"/>
    <w:uiPriority w:val="34"/>
    <w:qFormat/>
    <w:rsid w:val="006D5D22"/>
    <w:pPr>
      <w:ind w:left="720"/>
      <w:contextualSpacing/>
    </w:pPr>
  </w:style>
  <w:style w:type="paragraph" w:styleId="Pedmtkomente">
    <w:name w:val="annotation subject"/>
    <w:basedOn w:val="Textkomente"/>
    <w:next w:val="Textkomente"/>
    <w:link w:val="PedmtkomenteChar"/>
    <w:uiPriority w:val="99"/>
    <w:semiHidden/>
    <w:unhideWhenUsed/>
    <w:rsid w:val="00380326"/>
    <w:pPr>
      <w:spacing w:after="160"/>
    </w:pPr>
    <w:rPr>
      <w:rFonts w:asciiTheme="minorHAnsi" w:eastAsiaTheme="minorHAnsi" w:hAnsiTheme="minorHAnsi"/>
      <w:b/>
      <w:bCs/>
    </w:rPr>
  </w:style>
  <w:style w:type="character" w:customStyle="1" w:styleId="PedmtkomenteChar">
    <w:name w:val="Předmět komentáře Char"/>
    <w:basedOn w:val="TextkomenteChar"/>
    <w:link w:val="Pedmtkomente"/>
    <w:uiPriority w:val="99"/>
    <w:semiHidden/>
    <w:rsid w:val="00380326"/>
    <w:rPr>
      <w:rFonts w:ascii="Times New Roman" w:eastAsiaTheme="minorEastAsia" w:hAnsi="Times New Roman"/>
      <w:b/>
      <w:bCs/>
      <w:sz w:val="20"/>
      <w:szCs w:val="20"/>
    </w:rPr>
  </w:style>
  <w:style w:type="table" w:customStyle="1" w:styleId="Grigliatabella2">
    <w:name w:val="Griglia tabella2"/>
    <w:basedOn w:val="Normlntabulka"/>
    <w:next w:val="Mkatabulky"/>
    <w:uiPriority w:val="39"/>
    <w:rsid w:val="0013680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97F2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2634"/>
  </w:style>
  <w:style w:type="paragraph" w:styleId="Nadpis1">
    <w:name w:val="heading 1"/>
    <w:basedOn w:val="Normln"/>
    <w:next w:val="Normln"/>
    <w:link w:val="Nadpis1Char"/>
    <w:uiPriority w:val="9"/>
    <w:qFormat/>
    <w:rsid w:val="00A364B9"/>
    <w:pPr>
      <w:keepNext/>
      <w:keepLines/>
      <w:numPr>
        <w:numId w:val="6"/>
      </w:numPr>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A364B9"/>
    <w:pPr>
      <w:keepNext/>
      <w:keepLines/>
      <w:numPr>
        <w:ilvl w:val="1"/>
        <w:numId w:val="6"/>
      </w:numPr>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A364B9"/>
    <w:pPr>
      <w:keepNext/>
      <w:keepLines/>
      <w:numPr>
        <w:ilvl w:val="2"/>
        <w:numId w:val="6"/>
      </w:numPr>
      <w:spacing w:before="200" w:after="0" w:line="276" w:lineRule="auto"/>
      <w:outlineLvl w:val="2"/>
    </w:pPr>
    <w:rPr>
      <w:rFonts w:asciiTheme="majorHAnsi" w:eastAsiaTheme="majorEastAsia" w:hAnsiTheme="majorHAnsi" w:cstheme="majorBidi"/>
      <w:b/>
      <w:bCs/>
      <w:color w:val="5B9BD5" w:themeColor="accent1"/>
      <w:sz w:val="24"/>
    </w:rPr>
  </w:style>
  <w:style w:type="paragraph" w:styleId="Nadpis4">
    <w:name w:val="heading 4"/>
    <w:basedOn w:val="Normln"/>
    <w:next w:val="Normln"/>
    <w:link w:val="Nadpis4Char"/>
    <w:uiPriority w:val="9"/>
    <w:semiHidden/>
    <w:unhideWhenUsed/>
    <w:qFormat/>
    <w:rsid w:val="00A364B9"/>
    <w:pPr>
      <w:keepNext/>
      <w:keepLines/>
      <w:numPr>
        <w:ilvl w:val="3"/>
        <w:numId w:val="6"/>
      </w:numPr>
      <w:spacing w:before="200" w:after="0" w:line="276" w:lineRule="auto"/>
      <w:outlineLvl w:val="3"/>
    </w:pPr>
    <w:rPr>
      <w:rFonts w:asciiTheme="majorHAnsi" w:eastAsiaTheme="majorEastAsia" w:hAnsiTheme="majorHAnsi" w:cstheme="majorBidi"/>
      <w:b/>
      <w:bCs/>
      <w:i/>
      <w:iCs/>
      <w:color w:val="5B9BD5" w:themeColor="accent1"/>
      <w:sz w:val="24"/>
    </w:rPr>
  </w:style>
  <w:style w:type="paragraph" w:styleId="Nadpis5">
    <w:name w:val="heading 5"/>
    <w:basedOn w:val="Normln"/>
    <w:next w:val="Normln"/>
    <w:link w:val="Nadpis5Char"/>
    <w:uiPriority w:val="9"/>
    <w:semiHidden/>
    <w:unhideWhenUsed/>
    <w:qFormat/>
    <w:rsid w:val="00A364B9"/>
    <w:pPr>
      <w:keepNext/>
      <w:keepLines/>
      <w:numPr>
        <w:ilvl w:val="4"/>
        <w:numId w:val="6"/>
      </w:numPr>
      <w:spacing w:before="200" w:after="0" w:line="276" w:lineRule="auto"/>
      <w:outlineLvl w:val="4"/>
    </w:pPr>
    <w:rPr>
      <w:rFonts w:asciiTheme="majorHAnsi" w:eastAsiaTheme="majorEastAsia" w:hAnsiTheme="majorHAnsi" w:cstheme="majorBidi"/>
      <w:color w:val="1F4D78" w:themeColor="accent1" w:themeShade="7F"/>
      <w:sz w:val="24"/>
    </w:rPr>
  </w:style>
  <w:style w:type="paragraph" w:styleId="Nadpis6">
    <w:name w:val="heading 6"/>
    <w:basedOn w:val="Normln"/>
    <w:next w:val="Normln"/>
    <w:link w:val="Nadpis6Char"/>
    <w:uiPriority w:val="9"/>
    <w:semiHidden/>
    <w:unhideWhenUsed/>
    <w:qFormat/>
    <w:rsid w:val="00A364B9"/>
    <w:pPr>
      <w:keepNext/>
      <w:keepLines/>
      <w:numPr>
        <w:ilvl w:val="5"/>
        <w:numId w:val="6"/>
      </w:numPr>
      <w:spacing w:before="200" w:after="0" w:line="276" w:lineRule="auto"/>
      <w:outlineLvl w:val="5"/>
    </w:pPr>
    <w:rPr>
      <w:rFonts w:asciiTheme="majorHAnsi" w:eastAsiaTheme="majorEastAsia" w:hAnsiTheme="majorHAnsi" w:cstheme="majorBidi"/>
      <w:i/>
      <w:iCs/>
      <w:color w:val="1F4D78" w:themeColor="accent1" w:themeShade="7F"/>
      <w:sz w:val="24"/>
    </w:rPr>
  </w:style>
  <w:style w:type="paragraph" w:styleId="Nadpis7">
    <w:name w:val="heading 7"/>
    <w:basedOn w:val="Normln"/>
    <w:next w:val="Normln"/>
    <w:link w:val="Nadpis7Char"/>
    <w:uiPriority w:val="9"/>
    <w:semiHidden/>
    <w:unhideWhenUsed/>
    <w:qFormat/>
    <w:rsid w:val="00A364B9"/>
    <w:pPr>
      <w:keepNext/>
      <w:keepLines/>
      <w:numPr>
        <w:ilvl w:val="6"/>
        <w:numId w:val="6"/>
      </w:numPr>
      <w:spacing w:before="200" w:after="0" w:line="276" w:lineRule="auto"/>
      <w:outlineLvl w:val="6"/>
    </w:pPr>
    <w:rPr>
      <w:rFonts w:asciiTheme="majorHAnsi" w:eastAsiaTheme="majorEastAsia" w:hAnsiTheme="majorHAnsi" w:cstheme="majorBidi"/>
      <w:i/>
      <w:iCs/>
      <w:color w:val="404040" w:themeColor="text1" w:themeTint="BF"/>
      <w:sz w:val="24"/>
    </w:rPr>
  </w:style>
  <w:style w:type="paragraph" w:styleId="Nadpis8">
    <w:name w:val="heading 8"/>
    <w:basedOn w:val="Normln"/>
    <w:next w:val="Normln"/>
    <w:link w:val="Nadpis8Char"/>
    <w:uiPriority w:val="9"/>
    <w:semiHidden/>
    <w:unhideWhenUsed/>
    <w:qFormat/>
    <w:rsid w:val="00A364B9"/>
    <w:pPr>
      <w:keepNext/>
      <w:keepLines/>
      <w:numPr>
        <w:ilvl w:val="7"/>
        <w:numId w:val="6"/>
      </w:numPr>
      <w:spacing w:before="200" w:after="0" w:line="276" w:lineRule="auto"/>
      <w:outlineLvl w:val="7"/>
    </w:pPr>
    <w:rPr>
      <w:rFonts w:asciiTheme="majorHAnsi" w:eastAsiaTheme="majorEastAsia" w:hAnsiTheme="majorHAnsi" w:cstheme="majorBidi"/>
      <w:color w:val="5B9BD5" w:themeColor="accent1"/>
      <w:sz w:val="20"/>
      <w:szCs w:val="20"/>
    </w:rPr>
  </w:style>
  <w:style w:type="paragraph" w:styleId="Nadpis9">
    <w:name w:val="heading 9"/>
    <w:basedOn w:val="Normln"/>
    <w:next w:val="Normln"/>
    <w:link w:val="Nadpis9Char"/>
    <w:uiPriority w:val="9"/>
    <w:semiHidden/>
    <w:unhideWhenUsed/>
    <w:qFormat/>
    <w:rsid w:val="00A364B9"/>
    <w:pPr>
      <w:keepNext/>
      <w:keepLines/>
      <w:numPr>
        <w:ilvl w:val="8"/>
        <w:numId w:val="6"/>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364B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uiPriority w:val="9"/>
    <w:rsid w:val="00A364B9"/>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rsid w:val="00A364B9"/>
    <w:rPr>
      <w:rFonts w:asciiTheme="majorHAnsi" w:eastAsiaTheme="majorEastAsia" w:hAnsiTheme="majorHAnsi" w:cstheme="majorBidi"/>
      <w:b/>
      <w:bCs/>
      <w:color w:val="5B9BD5" w:themeColor="accent1"/>
      <w:sz w:val="24"/>
    </w:rPr>
  </w:style>
  <w:style w:type="character" w:customStyle="1" w:styleId="Nadpis4Char">
    <w:name w:val="Nadpis 4 Char"/>
    <w:basedOn w:val="Standardnpsmoodstavce"/>
    <w:link w:val="Nadpis4"/>
    <w:uiPriority w:val="9"/>
    <w:semiHidden/>
    <w:rsid w:val="00A364B9"/>
    <w:rPr>
      <w:rFonts w:asciiTheme="majorHAnsi" w:eastAsiaTheme="majorEastAsia" w:hAnsiTheme="majorHAnsi" w:cstheme="majorBidi"/>
      <w:b/>
      <w:bCs/>
      <w:i/>
      <w:iCs/>
      <w:color w:val="5B9BD5" w:themeColor="accent1"/>
      <w:sz w:val="24"/>
    </w:rPr>
  </w:style>
  <w:style w:type="character" w:customStyle="1" w:styleId="Nadpis5Char">
    <w:name w:val="Nadpis 5 Char"/>
    <w:basedOn w:val="Standardnpsmoodstavce"/>
    <w:link w:val="Nadpis5"/>
    <w:uiPriority w:val="9"/>
    <w:semiHidden/>
    <w:rsid w:val="00A364B9"/>
    <w:rPr>
      <w:rFonts w:asciiTheme="majorHAnsi" w:eastAsiaTheme="majorEastAsia" w:hAnsiTheme="majorHAnsi" w:cstheme="majorBidi"/>
      <w:color w:val="1F4D78" w:themeColor="accent1" w:themeShade="7F"/>
      <w:sz w:val="24"/>
    </w:rPr>
  </w:style>
  <w:style w:type="character" w:customStyle="1" w:styleId="Nadpis6Char">
    <w:name w:val="Nadpis 6 Char"/>
    <w:basedOn w:val="Standardnpsmoodstavce"/>
    <w:link w:val="Nadpis6"/>
    <w:uiPriority w:val="9"/>
    <w:semiHidden/>
    <w:rsid w:val="00A364B9"/>
    <w:rPr>
      <w:rFonts w:asciiTheme="majorHAnsi" w:eastAsiaTheme="majorEastAsia" w:hAnsiTheme="majorHAnsi" w:cstheme="majorBidi"/>
      <w:i/>
      <w:iCs/>
      <w:color w:val="1F4D78" w:themeColor="accent1" w:themeShade="7F"/>
      <w:sz w:val="24"/>
    </w:rPr>
  </w:style>
  <w:style w:type="character" w:customStyle="1" w:styleId="Nadpis7Char">
    <w:name w:val="Nadpis 7 Char"/>
    <w:basedOn w:val="Standardnpsmoodstavce"/>
    <w:link w:val="Nadpis7"/>
    <w:uiPriority w:val="9"/>
    <w:semiHidden/>
    <w:rsid w:val="00A364B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semiHidden/>
    <w:rsid w:val="00A364B9"/>
    <w:rPr>
      <w:rFonts w:asciiTheme="majorHAnsi" w:eastAsiaTheme="majorEastAsia" w:hAnsiTheme="majorHAnsi" w:cstheme="majorBidi"/>
      <w:color w:val="5B9BD5" w:themeColor="accent1"/>
      <w:sz w:val="20"/>
      <w:szCs w:val="20"/>
    </w:rPr>
  </w:style>
  <w:style w:type="character" w:customStyle="1" w:styleId="Nadpis9Char">
    <w:name w:val="Nadpis 9 Char"/>
    <w:basedOn w:val="Standardnpsmoodstavce"/>
    <w:link w:val="Nadpis9"/>
    <w:uiPriority w:val="9"/>
    <w:semiHidden/>
    <w:rsid w:val="00A364B9"/>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39"/>
    <w:rsid w:val="00A364B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Normlntabulka"/>
    <w:next w:val="Mkatabulky"/>
    <w:uiPriority w:val="39"/>
    <w:rsid w:val="00A364B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A364B9"/>
    <w:rPr>
      <w:sz w:val="16"/>
      <w:szCs w:val="16"/>
    </w:rPr>
  </w:style>
  <w:style w:type="paragraph" w:styleId="Textkomente">
    <w:name w:val="annotation text"/>
    <w:basedOn w:val="Normln"/>
    <w:link w:val="TextkomenteChar"/>
    <w:uiPriority w:val="99"/>
    <w:semiHidden/>
    <w:unhideWhenUsed/>
    <w:rsid w:val="00A364B9"/>
    <w:pPr>
      <w:spacing w:after="200" w:line="240" w:lineRule="auto"/>
    </w:pPr>
    <w:rPr>
      <w:rFonts w:ascii="Times New Roman" w:eastAsiaTheme="minorEastAsia" w:hAnsi="Times New Roman"/>
      <w:sz w:val="20"/>
      <w:szCs w:val="20"/>
    </w:rPr>
  </w:style>
  <w:style w:type="character" w:customStyle="1" w:styleId="TextkomenteChar">
    <w:name w:val="Text komentáře Char"/>
    <w:basedOn w:val="Standardnpsmoodstavce"/>
    <w:link w:val="Textkomente"/>
    <w:uiPriority w:val="99"/>
    <w:semiHidden/>
    <w:rsid w:val="00A364B9"/>
    <w:rPr>
      <w:rFonts w:ascii="Times New Roman" w:eastAsiaTheme="minorEastAsia" w:hAnsi="Times New Roman"/>
      <w:sz w:val="20"/>
      <w:szCs w:val="20"/>
    </w:rPr>
  </w:style>
  <w:style w:type="paragraph" w:styleId="Textbubliny">
    <w:name w:val="Balloon Text"/>
    <w:basedOn w:val="Normln"/>
    <w:link w:val="TextbublinyChar"/>
    <w:uiPriority w:val="99"/>
    <w:semiHidden/>
    <w:unhideWhenUsed/>
    <w:rsid w:val="00A364B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64B9"/>
    <w:rPr>
      <w:rFonts w:ascii="Segoe UI" w:hAnsi="Segoe UI" w:cs="Segoe UI"/>
      <w:sz w:val="18"/>
      <w:szCs w:val="18"/>
    </w:rPr>
  </w:style>
  <w:style w:type="paragraph" w:styleId="Zhlav">
    <w:name w:val="header"/>
    <w:basedOn w:val="Normln"/>
    <w:link w:val="ZhlavChar"/>
    <w:uiPriority w:val="99"/>
    <w:unhideWhenUsed/>
    <w:rsid w:val="007A0C13"/>
    <w:pPr>
      <w:tabs>
        <w:tab w:val="center" w:pos="4819"/>
        <w:tab w:val="right" w:pos="9638"/>
      </w:tabs>
      <w:spacing w:after="0" w:line="240" w:lineRule="auto"/>
    </w:pPr>
  </w:style>
  <w:style w:type="character" w:customStyle="1" w:styleId="ZhlavChar">
    <w:name w:val="Záhlaví Char"/>
    <w:basedOn w:val="Standardnpsmoodstavce"/>
    <w:link w:val="Zhlav"/>
    <w:uiPriority w:val="99"/>
    <w:rsid w:val="007A0C13"/>
  </w:style>
  <w:style w:type="paragraph" w:styleId="Zpat">
    <w:name w:val="footer"/>
    <w:basedOn w:val="Normln"/>
    <w:link w:val="ZpatChar"/>
    <w:uiPriority w:val="99"/>
    <w:unhideWhenUsed/>
    <w:rsid w:val="007A0C13"/>
    <w:pPr>
      <w:tabs>
        <w:tab w:val="center" w:pos="4819"/>
        <w:tab w:val="right" w:pos="9638"/>
      </w:tabs>
      <w:spacing w:after="0" w:line="240" w:lineRule="auto"/>
    </w:pPr>
  </w:style>
  <w:style w:type="character" w:customStyle="1" w:styleId="ZpatChar">
    <w:name w:val="Zápatí Char"/>
    <w:basedOn w:val="Standardnpsmoodstavce"/>
    <w:link w:val="Zpat"/>
    <w:uiPriority w:val="99"/>
    <w:rsid w:val="007A0C13"/>
  </w:style>
  <w:style w:type="paragraph" w:styleId="Odstavecseseznamem">
    <w:name w:val="List Paragraph"/>
    <w:basedOn w:val="Normln"/>
    <w:uiPriority w:val="34"/>
    <w:qFormat/>
    <w:rsid w:val="006D5D22"/>
    <w:pPr>
      <w:ind w:left="720"/>
      <w:contextualSpacing/>
    </w:pPr>
  </w:style>
  <w:style w:type="paragraph" w:styleId="Pedmtkomente">
    <w:name w:val="annotation subject"/>
    <w:basedOn w:val="Textkomente"/>
    <w:next w:val="Textkomente"/>
    <w:link w:val="PedmtkomenteChar"/>
    <w:uiPriority w:val="99"/>
    <w:semiHidden/>
    <w:unhideWhenUsed/>
    <w:rsid w:val="00380326"/>
    <w:pPr>
      <w:spacing w:after="160"/>
    </w:pPr>
    <w:rPr>
      <w:rFonts w:asciiTheme="minorHAnsi" w:eastAsiaTheme="minorHAnsi" w:hAnsiTheme="minorHAnsi"/>
      <w:b/>
      <w:bCs/>
    </w:rPr>
  </w:style>
  <w:style w:type="character" w:customStyle="1" w:styleId="PedmtkomenteChar">
    <w:name w:val="Předmět komentáře Char"/>
    <w:basedOn w:val="TextkomenteChar"/>
    <w:link w:val="Pedmtkomente"/>
    <w:uiPriority w:val="99"/>
    <w:semiHidden/>
    <w:rsid w:val="00380326"/>
    <w:rPr>
      <w:rFonts w:ascii="Times New Roman" w:eastAsiaTheme="minorEastAsia" w:hAnsi="Times New Roman"/>
      <w:b/>
      <w:bCs/>
      <w:sz w:val="20"/>
      <w:szCs w:val="20"/>
    </w:rPr>
  </w:style>
  <w:style w:type="table" w:customStyle="1" w:styleId="Grigliatabella2">
    <w:name w:val="Griglia tabella2"/>
    <w:basedOn w:val="Normlntabulka"/>
    <w:next w:val="Mkatabulky"/>
    <w:uiPriority w:val="39"/>
    <w:rsid w:val="0013680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297F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95029">
      <w:bodyDiv w:val="1"/>
      <w:marLeft w:val="0"/>
      <w:marRight w:val="0"/>
      <w:marTop w:val="0"/>
      <w:marBottom w:val="0"/>
      <w:divBdr>
        <w:top w:val="none" w:sz="0" w:space="0" w:color="auto"/>
        <w:left w:val="none" w:sz="0" w:space="0" w:color="auto"/>
        <w:bottom w:val="none" w:sz="0" w:space="0" w:color="auto"/>
        <w:right w:val="none" w:sz="0" w:space="0" w:color="auto"/>
      </w:divBdr>
      <w:divsChild>
        <w:div w:id="1305114617">
          <w:marLeft w:val="0"/>
          <w:marRight w:val="0"/>
          <w:marTop w:val="0"/>
          <w:marBottom w:val="0"/>
          <w:divBdr>
            <w:top w:val="none" w:sz="0" w:space="0" w:color="auto"/>
            <w:left w:val="none" w:sz="0" w:space="0" w:color="auto"/>
            <w:bottom w:val="none" w:sz="0" w:space="0" w:color="auto"/>
            <w:right w:val="none" w:sz="0" w:space="0" w:color="auto"/>
          </w:divBdr>
          <w:divsChild>
            <w:div w:id="1041440118">
              <w:marLeft w:val="0"/>
              <w:marRight w:val="0"/>
              <w:marTop w:val="0"/>
              <w:marBottom w:val="0"/>
              <w:divBdr>
                <w:top w:val="none" w:sz="0" w:space="0" w:color="auto"/>
                <w:left w:val="none" w:sz="0" w:space="0" w:color="auto"/>
                <w:bottom w:val="none" w:sz="0" w:space="0" w:color="auto"/>
                <w:right w:val="none" w:sz="0" w:space="0" w:color="auto"/>
              </w:divBdr>
              <w:divsChild>
                <w:div w:id="1127968137">
                  <w:marLeft w:val="0"/>
                  <w:marRight w:val="0"/>
                  <w:marTop w:val="0"/>
                  <w:marBottom w:val="0"/>
                  <w:divBdr>
                    <w:top w:val="none" w:sz="0" w:space="0" w:color="auto"/>
                    <w:left w:val="none" w:sz="0" w:space="0" w:color="auto"/>
                    <w:bottom w:val="none" w:sz="0" w:space="0" w:color="auto"/>
                    <w:right w:val="none" w:sz="0" w:space="0" w:color="auto"/>
                  </w:divBdr>
                  <w:divsChild>
                    <w:div w:id="1274284041">
                      <w:marLeft w:val="0"/>
                      <w:marRight w:val="0"/>
                      <w:marTop w:val="0"/>
                      <w:marBottom w:val="0"/>
                      <w:divBdr>
                        <w:top w:val="none" w:sz="0" w:space="0" w:color="auto"/>
                        <w:left w:val="none" w:sz="0" w:space="0" w:color="auto"/>
                        <w:bottom w:val="none" w:sz="0" w:space="0" w:color="auto"/>
                        <w:right w:val="none" w:sz="0" w:space="0" w:color="auto"/>
                      </w:divBdr>
                      <w:divsChild>
                        <w:div w:id="1551646069">
                          <w:marLeft w:val="0"/>
                          <w:marRight w:val="0"/>
                          <w:marTop w:val="0"/>
                          <w:marBottom w:val="0"/>
                          <w:divBdr>
                            <w:top w:val="none" w:sz="0" w:space="0" w:color="auto"/>
                            <w:left w:val="none" w:sz="0" w:space="0" w:color="auto"/>
                            <w:bottom w:val="none" w:sz="0" w:space="0" w:color="auto"/>
                            <w:right w:val="none" w:sz="0" w:space="0" w:color="auto"/>
                          </w:divBdr>
                          <w:divsChild>
                            <w:div w:id="2096973428">
                              <w:marLeft w:val="0"/>
                              <w:marRight w:val="0"/>
                              <w:marTop w:val="0"/>
                              <w:marBottom w:val="0"/>
                              <w:divBdr>
                                <w:top w:val="none" w:sz="0" w:space="0" w:color="auto"/>
                                <w:left w:val="none" w:sz="0" w:space="0" w:color="auto"/>
                                <w:bottom w:val="none" w:sz="0" w:space="0" w:color="auto"/>
                                <w:right w:val="none" w:sz="0" w:space="0" w:color="auto"/>
                              </w:divBdr>
                              <w:divsChild>
                                <w:div w:id="1730028887">
                                  <w:marLeft w:val="0"/>
                                  <w:marRight w:val="0"/>
                                  <w:marTop w:val="0"/>
                                  <w:marBottom w:val="0"/>
                                  <w:divBdr>
                                    <w:top w:val="none" w:sz="0" w:space="0" w:color="auto"/>
                                    <w:left w:val="none" w:sz="0" w:space="0" w:color="auto"/>
                                    <w:bottom w:val="none" w:sz="0" w:space="0" w:color="auto"/>
                                    <w:right w:val="none" w:sz="0" w:space="0" w:color="auto"/>
                                  </w:divBdr>
                                  <w:divsChild>
                                    <w:div w:id="467406912">
                                      <w:marLeft w:val="0"/>
                                      <w:marRight w:val="0"/>
                                      <w:marTop w:val="0"/>
                                      <w:marBottom w:val="0"/>
                                      <w:divBdr>
                                        <w:top w:val="none" w:sz="0" w:space="0" w:color="auto"/>
                                        <w:left w:val="none" w:sz="0" w:space="0" w:color="auto"/>
                                        <w:bottom w:val="none" w:sz="0" w:space="0" w:color="auto"/>
                                        <w:right w:val="none" w:sz="0" w:space="0" w:color="auto"/>
                                      </w:divBdr>
                                      <w:divsChild>
                                        <w:div w:id="394739323">
                                          <w:marLeft w:val="0"/>
                                          <w:marRight w:val="0"/>
                                          <w:marTop w:val="0"/>
                                          <w:marBottom w:val="495"/>
                                          <w:divBdr>
                                            <w:top w:val="none" w:sz="0" w:space="0" w:color="auto"/>
                                            <w:left w:val="none" w:sz="0" w:space="0" w:color="auto"/>
                                            <w:bottom w:val="none" w:sz="0" w:space="0" w:color="auto"/>
                                            <w:right w:val="none" w:sz="0" w:space="0" w:color="auto"/>
                                          </w:divBdr>
                                          <w:divsChild>
                                            <w:div w:id="31079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0964703">
      <w:bodyDiv w:val="1"/>
      <w:marLeft w:val="0"/>
      <w:marRight w:val="0"/>
      <w:marTop w:val="0"/>
      <w:marBottom w:val="0"/>
      <w:divBdr>
        <w:top w:val="none" w:sz="0" w:space="0" w:color="auto"/>
        <w:left w:val="none" w:sz="0" w:space="0" w:color="auto"/>
        <w:bottom w:val="none" w:sz="0" w:space="0" w:color="auto"/>
        <w:right w:val="none" w:sz="0" w:space="0" w:color="auto"/>
      </w:divBdr>
      <w:divsChild>
        <w:div w:id="578636186">
          <w:marLeft w:val="0"/>
          <w:marRight w:val="0"/>
          <w:marTop w:val="0"/>
          <w:marBottom w:val="0"/>
          <w:divBdr>
            <w:top w:val="none" w:sz="0" w:space="0" w:color="auto"/>
            <w:left w:val="none" w:sz="0" w:space="0" w:color="auto"/>
            <w:bottom w:val="none" w:sz="0" w:space="0" w:color="auto"/>
            <w:right w:val="none" w:sz="0" w:space="0" w:color="auto"/>
          </w:divBdr>
          <w:divsChild>
            <w:div w:id="1146895402">
              <w:marLeft w:val="0"/>
              <w:marRight w:val="0"/>
              <w:marTop w:val="0"/>
              <w:marBottom w:val="0"/>
              <w:divBdr>
                <w:top w:val="none" w:sz="0" w:space="0" w:color="auto"/>
                <w:left w:val="none" w:sz="0" w:space="0" w:color="auto"/>
                <w:bottom w:val="none" w:sz="0" w:space="0" w:color="auto"/>
                <w:right w:val="none" w:sz="0" w:space="0" w:color="auto"/>
              </w:divBdr>
              <w:divsChild>
                <w:div w:id="1003775445">
                  <w:marLeft w:val="0"/>
                  <w:marRight w:val="0"/>
                  <w:marTop w:val="0"/>
                  <w:marBottom w:val="0"/>
                  <w:divBdr>
                    <w:top w:val="none" w:sz="0" w:space="0" w:color="auto"/>
                    <w:left w:val="none" w:sz="0" w:space="0" w:color="auto"/>
                    <w:bottom w:val="none" w:sz="0" w:space="0" w:color="auto"/>
                    <w:right w:val="none" w:sz="0" w:space="0" w:color="auto"/>
                  </w:divBdr>
                  <w:divsChild>
                    <w:div w:id="389960364">
                      <w:marLeft w:val="0"/>
                      <w:marRight w:val="0"/>
                      <w:marTop w:val="0"/>
                      <w:marBottom w:val="0"/>
                      <w:divBdr>
                        <w:top w:val="none" w:sz="0" w:space="0" w:color="auto"/>
                        <w:left w:val="none" w:sz="0" w:space="0" w:color="auto"/>
                        <w:bottom w:val="none" w:sz="0" w:space="0" w:color="auto"/>
                        <w:right w:val="none" w:sz="0" w:space="0" w:color="auto"/>
                      </w:divBdr>
                      <w:divsChild>
                        <w:div w:id="1705474848">
                          <w:marLeft w:val="0"/>
                          <w:marRight w:val="0"/>
                          <w:marTop w:val="0"/>
                          <w:marBottom w:val="0"/>
                          <w:divBdr>
                            <w:top w:val="none" w:sz="0" w:space="0" w:color="auto"/>
                            <w:left w:val="none" w:sz="0" w:space="0" w:color="auto"/>
                            <w:bottom w:val="none" w:sz="0" w:space="0" w:color="auto"/>
                            <w:right w:val="none" w:sz="0" w:space="0" w:color="auto"/>
                          </w:divBdr>
                          <w:divsChild>
                            <w:div w:id="2107841837">
                              <w:marLeft w:val="0"/>
                              <w:marRight w:val="0"/>
                              <w:marTop w:val="0"/>
                              <w:marBottom w:val="0"/>
                              <w:divBdr>
                                <w:top w:val="none" w:sz="0" w:space="0" w:color="auto"/>
                                <w:left w:val="none" w:sz="0" w:space="0" w:color="auto"/>
                                <w:bottom w:val="none" w:sz="0" w:space="0" w:color="auto"/>
                                <w:right w:val="none" w:sz="0" w:space="0" w:color="auto"/>
                              </w:divBdr>
                              <w:divsChild>
                                <w:div w:id="355498726">
                                  <w:marLeft w:val="0"/>
                                  <w:marRight w:val="0"/>
                                  <w:marTop w:val="0"/>
                                  <w:marBottom w:val="0"/>
                                  <w:divBdr>
                                    <w:top w:val="none" w:sz="0" w:space="0" w:color="auto"/>
                                    <w:left w:val="none" w:sz="0" w:space="0" w:color="auto"/>
                                    <w:bottom w:val="none" w:sz="0" w:space="0" w:color="auto"/>
                                    <w:right w:val="none" w:sz="0" w:space="0" w:color="auto"/>
                                  </w:divBdr>
                                  <w:divsChild>
                                    <w:div w:id="1043671497">
                                      <w:marLeft w:val="0"/>
                                      <w:marRight w:val="0"/>
                                      <w:marTop w:val="0"/>
                                      <w:marBottom w:val="0"/>
                                      <w:divBdr>
                                        <w:top w:val="none" w:sz="0" w:space="0" w:color="auto"/>
                                        <w:left w:val="none" w:sz="0" w:space="0" w:color="auto"/>
                                        <w:bottom w:val="none" w:sz="0" w:space="0" w:color="auto"/>
                                        <w:right w:val="none" w:sz="0" w:space="0" w:color="auto"/>
                                      </w:divBdr>
                                      <w:divsChild>
                                        <w:div w:id="1230731981">
                                          <w:marLeft w:val="0"/>
                                          <w:marRight w:val="0"/>
                                          <w:marTop w:val="0"/>
                                          <w:marBottom w:val="495"/>
                                          <w:divBdr>
                                            <w:top w:val="none" w:sz="0" w:space="0" w:color="auto"/>
                                            <w:left w:val="none" w:sz="0" w:space="0" w:color="auto"/>
                                            <w:bottom w:val="none" w:sz="0" w:space="0" w:color="auto"/>
                                            <w:right w:val="none" w:sz="0" w:space="0" w:color="auto"/>
                                          </w:divBdr>
                                          <w:divsChild>
                                            <w:div w:id="209289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0610747">
      <w:bodyDiv w:val="1"/>
      <w:marLeft w:val="0"/>
      <w:marRight w:val="0"/>
      <w:marTop w:val="0"/>
      <w:marBottom w:val="0"/>
      <w:divBdr>
        <w:top w:val="none" w:sz="0" w:space="0" w:color="auto"/>
        <w:left w:val="none" w:sz="0" w:space="0" w:color="auto"/>
        <w:bottom w:val="none" w:sz="0" w:space="0" w:color="auto"/>
        <w:right w:val="none" w:sz="0" w:space="0" w:color="auto"/>
      </w:divBdr>
    </w:div>
    <w:div w:id="1244798586">
      <w:bodyDiv w:val="1"/>
      <w:marLeft w:val="0"/>
      <w:marRight w:val="0"/>
      <w:marTop w:val="0"/>
      <w:marBottom w:val="0"/>
      <w:divBdr>
        <w:top w:val="none" w:sz="0" w:space="0" w:color="auto"/>
        <w:left w:val="none" w:sz="0" w:space="0" w:color="auto"/>
        <w:bottom w:val="none" w:sz="0" w:space="0" w:color="auto"/>
        <w:right w:val="none" w:sz="0" w:space="0" w:color="auto"/>
      </w:divBdr>
    </w:div>
    <w:div w:id="1426997494">
      <w:bodyDiv w:val="1"/>
      <w:marLeft w:val="0"/>
      <w:marRight w:val="0"/>
      <w:marTop w:val="0"/>
      <w:marBottom w:val="0"/>
      <w:divBdr>
        <w:top w:val="none" w:sz="0" w:space="0" w:color="auto"/>
        <w:left w:val="none" w:sz="0" w:space="0" w:color="auto"/>
        <w:bottom w:val="none" w:sz="0" w:space="0" w:color="auto"/>
        <w:right w:val="none" w:sz="0" w:space="0" w:color="auto"/>
      </w:divBdr>
    </w:div>
    <w:div w:id="1822236837">
      <w:bodyDiv w:val="1"/>
      <w:marLeft w:val="0"/>
      <w:marRight w:val="0"/>
      <w:marTop w:val="0"/>
      <w:marBottom w:val="0"/>
      <w:divBdr>
        <w:top w:val="none" w:sz="0" w:space="0" w:color="auto"/>
        <w:left w:val="none" w:sz="0" w:space="0" w:color="auto"/>
        <w:bottom w:val="none" w:sz="0" w:space="0" w:color="auto"/>
        <w:right w:val="none" w:sz="0" w:space="0" w:color="auto"/>
      </w:divBdr>
      <w:divsChild>
        <w:div w:id="267858750">
          <w:marLeft w:val="0"/>
          <w:marRight w:val="0"/>
          <w:marTop w:val="0"/>
          <w:marBottom w:val="0"/>
          <w:divBdr>
            <w:top w:val="none" w:sz="0" w:space="0" w:color="auto"/>
            <w:left w:val="none" w:sz="0" w:space="0" w:color="auto"/>
            <w:bottom w:val="none" w:sz="0" w:space="0" w:color="auto"/>
            <w:right w:val="none" w:sz="0" w:space="0" w:color="auto"/>
          </w:divBdr>
          <w:divsChild>
            <w:div w:id="353003541">
              <w:marLeft w:val="0"/>
              <w:marRight w:val="0"/>
              <w:marTop w:val="0"/>
              <w:marBottom w:val="0"/>
              <w:divBdr>
                <w:top w:val="none" w:sz="0" w:space="0" w:color="auto"/>
                <w:left w:val="none" w:sz="0" w:space="0" w:color="auto"/>
                <w:bottom w:val="none" w:sz="0" w:space="0" w:color="auto"/>
                <w:right w:val="none" w:sz="0" w:space="0" w:color="auto"/>
              </w:divBdr>
              <w:divsChild>
                <w:div w:id="84302701">
                  <w:marLeft w:val="0"/>
                  <w:marRight w:val="0"/>
                  <w:marTop w:val="0"/>
                  <w:marBottom w:val="0"/>
                  <w:divBdr>
                    <w:top w:val="none" w:sz="0" w:space="0" w:color="auto"/>
                    <w:left w:val="none" w:sz="0" w:space="0" w:color="auto"/>
                    <w:bottom w:val="none" w:sz="0" w:space="0" w:color="auto"/>
                    <w:right w:val="none" w:sz="0" w:space="0" w:color="auto"/>
                  </w:divBdr>
                  <w:divsChild>
                    <w:div w:id="59988902">
                      <w:marLeft w:val="0"/>
                      <w:marRight w:val="0"/>
                      <w:marTop w:val="0"/>
                      <w:marBottom w:val="0"/>
                      <w:divBdr>
                        <w:top w:val="none" w:sz="0" w:space="0" w:color="auto"/>
                        <w:left w:val="none" w:sz="0" w:space="0" w:color="auto"/>
                        <w:bottom w:val="none" w:sz="0" w:space="0" w:color="auto"/>
                        <w:right w:val="none" w:sz="0" w:space="0" w:color="auto"/>
                      </w:divBdr>
                      <w:divsChild>
                        <w:div w:id="932008198">
                          <w:marLeft w:val="0"/>
                          <w:marRight w:val="0"/>
                          <w:marTop w:val="0"/>
                          <w:marBottom w:val="0"/>
                          <w:divBdr>
                            <w:top w:val="none" w:sz="0" w:space="0" w:color="auto"/>
                            <w:left w:val="none" w:sz="0" w:space="0" w:color="auto"/>
                            <w:bottom w:val="none" w:sz="0" w:space="0" w:color="auto"/>
                            <w:right w:val="none" w:sz="0" w:space="0" w:color="auto"/>
                          </w:divBdr>
                          <w:divsChild>
                            <w:div w:id="683242469">
                              <w:marLeft w:val="0"/>
                              <w:marRight w:val="0"/>
                              <w:marTop w:val="0"/>
                              <w:marBottom w:val="0"/>
                              <w:divBdr>
                                <w:top w:val="none" w:sz="0" w:space="0" w:color="auto"/>
                                <w:left w:val="none" w:sz="0" w:space="0" w:color="auto"/>
                                <w:bottom w:val="none" w:sz="0" w:space="0" w:color="auto"/>
                                <w:right w:val="none" w:sz="0" w:space="0" w:color="auto"/>
                              </w:divBdr>
                              <w:divsChild>
                                <w:div w:id="382827580">
                                  <w:marLeft w:val="0"/>
                                  <w:marRight w:val="0"/>
                                  <w:marTop w:val="0"/>
                                  <w:marBottom w:val="0"/>
                                  <w:divBdr>
                                    <w:top w:val="none" w:sz="0" w:space="0" w:color="auto"/>
                                    <w:left w:val="none" w:sz="0" w:space="0" w:color="auto"/>
                                    <w:bottom w:val="none" w:sz="0" w:space="0" w:color="auto"/>
                                    <w:right w:val="none" w:sz="0" w:space="0" w:color="auto"/>
                                  </w:divBdr>
                                  <w:divsChild>
                                    <w:div w:id="2028289132">
                                      <w:marLeft w:val="0"/>
                                      <w:marRight w:val="0"/>
                                      <w:marTop w:val="0"/>
                                      <w:marBottom w:val="0"/>
                                      <w:divBdr>
                                        <w:top w:val="none" w:sz="0" w:space="0" w:color="auto"/>
                                        <w:left w:val="none" w:sz="0" w:space="0" w:color="auto"/>
                                        <w:bottom w:val="none" w:sz="0" w:space="0" w:color="auto"/>
                                        <w:right w:val="none" w:sz="0" w:space="0" w:color="auto"/>
                                      </w:divBdr>
                                      <w:divsChild>
                                        <w:div w:id="244921100">
                                          <w:marLeft w:val="0"/>
                                          <w:marRight w:val="0"/>
                                          <w:marTop w:val="0"/>
                                          <w:marBottom w:val="495"/>
                                          <w:divBdr>
                                            <w:top w:val="none" w:sz="0" w:space="0" w:color="auto"/>
                                            <w:left w:val="none" w:sz="0" w:space="0" w:color="auto"/>
                                            <w:bottom w:val="none" w:sz="0" w:space="0" w:color="auto"/>
                                            <w:right w:val="none" w:sz="0" w:space="0" w:color="auto"/>
                                          </w:divBdr>
                                          <w:divsChild>
                                            <w:div w:id="14343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www.uskvbl.cz/cs/farmakovigilanc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FDED7-727B-46D3-B880-1F5AD344F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1272</Words>
  <Characters>7507</Characters>
  <Application>Microsoft Office Word</Application>
  <DocSecurity>0</DocSecurity>
  <Lines>62</Lines>
  <Paragraphs>17</Paragraphs>
  <ScaleCrop>false</ScaleCrop>
  <HeadingPairs>
    <vt:vector size="6" baseType="variant">
      <vt:variant>
        <vt:lpstr>Název</vt:lpstr>
      </vt:variant>
      <vt:variant>
        <vt:i4>1</vt:i4>
      </vt:variant>
      <vt:variant>
        <vt:lpstr>Titolo</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Neugebauerová Kateřina</cp:lastModifiedBy>
  <cp:revision>10</cp:revision>
  <cp:lastPrinted>2019-07-17T12:27:00Z</cp:lastPrinted>
  <dcterms:created xsi:type="dcterms:W3CDTF">2019-04-01T07:31:00Z</dcterms:created>
  <dcterms:modified xsi:type="dcterms:W3CDTF">2019-07-17T12:27:00Z</dcterms:modified>
</cp:coreProperties>
</file>