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>PŘÍBALOVÁ INFORMACE</w:t>
      </w:r>
      <w:r w:rsidR="00215F5C">
        <w:rPr>
          <w:rFonts w:ascii="Arial" w:eastAsia="Times New Roman" w:hAnsi="Arial" w:cs="Times New Roman"/>
          <w:b/>
          <w:bCs/>
          <w:sz w:val="24"/>
          <w:szCs w:val="24"/>
        </w:rPr>
        <w:t xml:space="preserve"> PRO</w:t>
      </w:r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>: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7B2244">
        <w:rPr>
          <w:rFonts w:ascii="Arial" w:eastAsia="Times New Roman" w:hAnsi="Arial" w:cs="Times New Roman"/>
          <w:b/>
          <w:sz w:val="24"/>
          <w:szCs w:val="24"/>
        </w:rPr>
        <w:t>Equigent</w:t>
      </w:r>
      <w:proofErr w:type="spellEnd"/>
      <w:r w:rsidRPr="007B2244">
        <w:rPr>
          <w:rFonts w:ascii="Arial" w:eastAsia="Times New Roman" w:hAnsi="Arial" w:cs="Times New Roman"/>
          <w:b/>
          <w:sz w:val="24"/>
          <w:szCs w:val="24"/>
        </w:rPr>
        <w:t xml:space="preserve"> 100 mg/ml injekční roztok pro koně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B2244" w:rsidRPr="007B2244" w:rsidRDefault="007B2244" w:rsidP="007B224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7B2244">
        <w:rPr>
          <w:rFonts w:ascii="Arial" w:eastAsia="Times New Roman" w:hAnsi="Arial" w:cs="Times New Roman"/>
          <w:b/>
          <w:bCs/>
          <w:sz w:val="24"/>
          <w:szCs w:val="24"/>
          <w:shd w:val="clear" w:color="auto" w:fill="BFBFBF"/>
        </w:rPr>
        <w:t>1.</w:t>
      </w:r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ab/>
        <w:t>JMÉNO A ADRESA DRŽITELE ROZHODNUTÍ O REGISTRACI A DRŽITELE POVOLENÍ K VÝROBĚ ODPOVĚDNÉHO ZA UVOLNĚNÍ ŠARŽE, POKUD SE NESHODUJE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44" w:rsidRPr="007B2244" w:rsidRDefault="007B2244" w:rsidP="007B224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7B2244">
        <w:rPr>
          <w:rFonts w:ascii="Arial" w:eastAsia="Times New Roman" w:hAnsi="Arial" w:cs="Times New Roman"/>
          <w:iCs/>
          <w:sz w:val="24"/>
          <w:szCs w:val="24"/>
          <w:u w:val="single"/>
        </w:rPr>
        <w:t>Držitel rozhodnutí o registraci</w:t>
      </w:r>
      <w:r w:rsidRPr="007B2244">
        <w:rPr>
          <w:rFonts w:ascii="Arial" w:eastAsia="Times New Roman" w:hAnsi="Arial" w:cs="Times New Roman"/>
          <w:iCs/>
          <w:sz w:val="24"/>
          <w:szCs w:val="24"/>
        </w:rPr>
        <w:t>:</w:t>
      </w:r>
    </w:p>
    <w:p w:rsidR="007B2244" w:rsidRPr="007B2244" w:rsidRDefault="007B2244" w:rsidP="007B22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Chanelle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Pharmaceuticals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Manufacturing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Ltd.</w:t>
      </w:r>
    </w:p>
    <w:p w:rsidR="007B2244" w:rsidRPr="007B2244" w:rsidRDefault="007B2244" w:rsidP="007B22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Dublin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Road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,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Loughrea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7B2244" w:rsidRPr="007B2244" w:rsidRDefault="007B2244" w:rsidP="007B22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Co.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Galway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7B2244" w:rsidRPr="007B2244" w:rsidRDefault="007B2244" w:rsidP="007B22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>Irsko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B2244">
        <w:rPr>
          <w:rFonts w:ascii="Arial" w:eastAsia="Times New Roman" w:hAnsi="Arial" w:cs="Times New Roman"/>
          <w:iCs/>
          <w:sz w:val="24"/>
          <w:szCs w:val="24"/>
          <w:u w:val="single"/>
        </w:rPr>
        <w:t>Výrobce odpovědný za uvolnění šarže</w:t>
      </w:r>
      <w:r w:rsidRPr="007B2244">
        <w:rPr>
          <w:rFonts w:ascii="Arial" w:eastAsia="Times New Roman" w:hAnsi="Arial" w:cs="Times New Roman"/>
          <w:iCs/>
          <w:sz w:val="24"/>
          <w:szCs w:val="24"/>
        </w:rPr>
        <w:t>:</w:t>
      </w:r>
    </w:p>
    <w:p w:rsidR="007B2244" w:rsidRPr="007B2244" w:rsidRDefault="007B2244" w:rsidP="007B22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Chanelle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Pharmaceuticals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Manufacturing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Ltd.</w:t>
      </w:r>
    </w:p>
    <w:p w:rsidR="007B2244" w:rsidRPr="007B2244" w:rsidRDefault="007B2244" w:rsidP="007B22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Dublin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Road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,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Loughrea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7B2244" w:rsidRPr="007B2244" w:rsidRDefault="007B2244" w:rsidP="007B22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Co.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Galway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>Irsko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a 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Labiana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Life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Sciences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, </w:t>
      </w:r>
      <w:proofErr w:type="gramStart"/>
      <w:r w:rsidRPr="007B2244">
        <w:rPr>
          <w:rFonts w:ascii="Arial" w:eastAsia="Times New Roman" w:hAnsi="Arial" w:cs="Times New Roman"/>
          <w:sz w:val="24"/>
          <w:szCs w:val="24"/>
        </w:rPr>
        <w:t>S.A.</w:t>
      </w:r>
      <w:proofErr w:type="gramEnd"/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C/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Venus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, 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26, Pol. Ind.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Can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Parellada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, 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Tarrasa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>, 08228 Barcelona,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>Španělsko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B2244" w:rsidRPr="007B2244" w:rsidRDefault="007B2244" w:rsidP="007B22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B2244">
        <w:rPr>
          <w:rFonts w:ascii="Arial" w:eastAsia="Times New Roman" w:hAnsi="Arial" w:cs="Times New Roman"/>
          <w:b/>
          <w:bCs/>
          <w:sz w:val="24"/>
          <w:szCs w:val="24"/>
          <w:shd w:val="clear" w:color="auto" w:fill="BFBFBF"/>
        </w:rPr>
        <w:t>2.</w:t>
      </w:r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ab/>
        <w:t>NÁZEV VETERINÁRNÍHO LÉČIVÉHO PŘÍPRAVKU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Equigent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100 mg/ml injekční roztok pro koně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gentamicin</w:t>
      </w:r>
      <w:r w:rsidR="00C931CE">
        <w:rPr>
          <w:rFonts w:ascii="Arial" w:eastAsia="Times New Roman" w:hAnsi="Arial" w:cs="Times New Roman"/>
          <w:sz w:val="24"/>
          <w:szCs w:val="24"/>
        </w:rPr>
        <w:t>um</w:t>
      </w:r>
      <w:proofErr w:type="spellEnd"/>
    </w:p>
    <w:p w:rsidR="007B2244" w:rsidRPr="007B2244" w:rsidRDefault="00324302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Přípravek s indikačním omezením.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B2244" w:rsidRPr="007B2244" w:rsidRDefault="007B2244" w:rsidP="007B22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B2244">
        <w:rPr>
          <w:rFonts w:ascii="Arial" w:eastAsia="Times New Roman" w:hAnsi="Arial" w:cs="Times New Roman"/>
          <w:b/>
          <w:bCs/>
          <w:sz w:val="24"/>
          <w:szCs w:val="24"/>
          <w:shd w:val="clear" w:color="auto" w:fill="BFBFBF"/>
        </w:rPr>
        <w:t>3.</w:t>
      </w:r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ab/>
        <w:t>OBSAH LÉČIVÝCH A OSTATNÍCH LÁTEK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>1 ml obsahuje: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Gentamicin</w:t>
      </w:r>
      <w:r w:rsidR="00C931CE">
        <w:rPr>
          <w:rFonts w:ascii="Arial" w:eastAsia="Times New Roman" w:hAnsi="Arial" w:cs="Times New Roman"/>
          <w:sz w:val="24"/>
          <w:szCs w:val="24"/>
        </w:rPr>
        <w:t>um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(jako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gentamicin</w:t>
      </w:r>
      <w:r w:rsidR="00C931CE">
        <w:rPr>
          <w:rFonts w:ascii="Arial" w:eastAsia="Times New Roman" w:hAnsi="Arial" w:cs="Times New Roman"/>
          <w:sz w:val="24"/>
          <w:szCs w:val="24"/>
        </w:rPr>
        <w:t>i</w:t>
      </w:r>
      <w:proofErr w:type="spellEnd"/>
      <w:r w:rsidR="00C931CE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="00C931CE" w:rsidRPr="007B2244">
        <w:rPr>
          <w:rFonts w:ascii="Arial" w:eastAsia="Times New Roman" w:hAnsi="Arial" w:cs="Times New Roman"/>
          <w:sz w:val="24"/>
          <w:szCs w:val="24"/>
        </w:rPr>
        <w:t>sulf</w:t>
      </w:r>
      <w:r w:rsidR="00C931CE">
        <w:rPr>
          <w:rFonts w:ascii="Arial" w:eastAsia="Times New Roman" w:hAnsi="Arial" w:cs="Times New Roman"/>
          <w:sz w:val="24"/>
          <w:szCs w:val="24"/>
        </w:rPr>
        <w:t>as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) </w:t>
      </w:r>
      <w:r w:rsidRPr="007B2244">
        <w:rPr>
          <w:rFonts w:ascii="Arial" w:eastAsia="Times New Roman" w:hAnsi="Arial" w:cs="Times New Roman"/>
          <w:sz w:val="24"/>
          <w:szCs w:val="24"/>
        </w:rPr>
        <w:tab/>
        <w:t>100 mg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Disiřičitan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sodný </w:t>
      </w:r>
      <w:r w:rsidRPr="007B2244">
        <w:rPr>
          <w:rFonts w:ascii="Arial" w:eastAsia="Times New Roman" w:hAnsi="Arial" w:cs="Times New Roman"/>
          <w:sz w:val="24"/>
          <w:szCs w:val="24"/>
        </w:rPr>
        <w:tab/>
      </w:r>
      <w:r w:rsidRPr="007B2244">
        <w:rPr>
          <w:rFonts w:ascii="Arial" w:eastAsia="Times New Roman" w:hAnsi="Arial" w:cs="Times New Roman"/>
          <w:sz w:val="24"/>
          <w:szCs w:val="24"/>
        </w:rPr>
        <w:tab/>
      </w:r>
      <w:r w:rsidRPr="007B2244">
        <w:rPr>
          <w:rFonts w:ascii="Arial" w:eastAsia="Times New Roman" w:hAnsi="Arial" w:cs="Times New Roman"/>
          <w:sz w:val="24"/>
          <w:szCs w:val="24"/>
        </w:rPr>
        <w:tab/>
      </w:r>
      <w:r w:rsidRPr="007B2244">
        <w:rPr>
          <w:rFonts w:ascii="Arial" w:eastAsia="Times New Roman" w:hAnsi="Arial" w:cs="Times New Roman"/>
          <w:sz w:val="24"/>
          <w:szCs w:val="24"/>
        </w:rPr>
        <w:tab/>
        <w:t>1,0 mg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Sodná sůl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methylparabenu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(E</w:t>
      </w:r>
      <w:r w:rsidR="00C931CE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219) </w:t>
      </w:r>
      <w:r w:rsidRPr="007B2244">
        <w:rPr>
          <w:rFonts w:ascii="Arial" w:eastAsia="Times New Roman" w:hAnsi="Arial" w:cs="Times New Roman"/>
          <w:sz w:val="24"/>
          <w:szCs w:val="24"/>
        </w:rPr>
        <w:tab/>
        <w:t>0,9 mg</w:t>
      </w:r>
    </w:p>
    <w:p w:rsidR="007B2244" w:rsidRPr="007B2244" w:rsidRDefault="007B2244" w:rsidP="007B22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Sodná sůl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propylparabenu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(E</w:t>
      </w:r>
      <w:r w:rsidR="00C931CE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217) </w:t>
      </w:r>
      <w:r w:rsidRPr="007B2244">
        <w:rPr>
          <w:rFonts w:ascii="Arial" w:eastAsia="Times New Roman" w:hAnsi="Arial" w:cs="Times New Roman"/>
          <w:sz w:val="24"/>
          <w:szCs w:val="24"/>
        </w:rPr>
        <w:tab/>
        <w:t xml:space="preserve">0,1 mg </w:t>
      </w:r>
    </w:p>
    <w:p w:rsidR="007B2244" w:rsidRPr="007B2244" w:rsidRDefault="007B2244" w:rsidP="007B22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B2244">
        <w:rPr>
          <w:rFonts w:ascii="Arial" w:eastAsia="SimSun" w:hAnsi="Arial" w:cs="Times New Roman"/>
          <w:color w:val="000000"/>
          <w:sz w:val="24"/>
          <w:szCs w:val="24"/>
          <w:lang w:eastAsia="zh-CN"/>
        </w:rPr>
        <w:t xml:space="preserve">Čirý bezbarvý až slabě nažloutlý roztok, </w:t>
      </w:r>
      <w:r w:rsidR="00C931CE">
        <w:rPr>
          <w:rFonts w:ascii="Arial" w:eastAsia="SimSun" w:hAnsi="Arial" w:cs="Times New Roman"/>
          <w:color w:val="000000"/>
          <w:sz w:val="24"/>
          <w:szCs w:val="24"/>
          <w:lang w:eastAsia="zh-CN"/>
        </w:rPr>
        <w:t>bez viditelných</w:t>
      </w:r>
      <w:r w:rsidRPr="007B2244">
        <w:rPr>
          <w:rFonts w:ascii="Arial" w:eastAsia="SimSun" w:hAnsi="Arial" w:cs="Times New Roman"/>
          <w:color w:val="000000"/>
          <w:sz w:val="24"/>
          <w:szCs w:val="24"/>
          <w:lang w:eastAsia="zh-CN"/>
        </w:rPr>
        <w:t xml:space="preserve"> částic. </w:t>
      </w:r>
    </w:p>
    <w:p w:rsidR="007B2244" w:rsidRPr="007B2244" w:rsidRDefault="007B2244" w:rsidP="007B22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B2244" w:rsidRPr="007B2244" w:rsidRDefault="007B2244" w:rsidP="007B22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B2244">
        <w:rPr>
          <w:rFonts w:ascii="Arial" w:eastAsia="Times New Roman" w:hAnsi="Arial" w:cs="Times New Roman"/>
          <w:b/>
          <w:bCs/>
          <w:sz w:val="24"/>
          <w:szCs w:val="24"/>
          <w:shd w:val="clear" w:color="auto" w:fill="BFBFBF"/>
        </w:rPr>
        <w:t>4.</w:t>
      </w:r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ab/>
        <w:t>INDIKACE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44" w:rsidRPr="007B2244" w:rsidRDefault="00215F5C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L</w:t>
      </w:r>
      <w:r w:rsidR="007B2244" w:rsidRPr="007B2244">
        <w:rPr>
          <w:rFonts w:ascii="Arial" w:eastAsia="Times New Roman" w:hAnsi="Arial" w:cs="Times New Roman"/>
          <w:sz w:val="24"/>
          <w:szCs w:val="24"/>
        </w:rPr>
        <w:t>éčb</w:t>
      </w:r>
      <w:r>
        <w:rPr>
          <w:rFonts w:ascii="Arial" w:eastAsia="Times New Roman" w:hAnsi="Arial" w:cs="Times New Roman"/>
          <w:sz w:val="24"/>
          <w:szCs w:val="24"/>
        </w:rPr>
        <w:t>a</w:t>
      </w:r>
      <w:r w:rsidR="007B2244" w:rsidRPr="007B2244">
        <w:rPr>
          <w:rFonts w:ascii="Arial" w:eastAsia="Times New Roman" w:hAnsi="Arial" w:cs="Times New Roman"/>
          <w:sz w:val="24"/>
          <w:szCs w:val="24"/>
        </w:rPr>
        <w:t xml:space="preserve"> infekcí dolního dýchacího traktu u koní </w:t>
      </w:r>
      <w:r>
        <w:rPr>
          <w:rFonts w:ascii="Arial" w:eastAsia="Times New Roman" w:hAnsi="Arial" w:cs="Times New Roman"/>
          <w:sz w:val="24"/>
          <w:szCs w:val="24"/>
        </w:rPr>
        <w:t>vyvolaných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7B2244" w:rsidRPr="007B2244">
        <w:rPr>
          <w:rFonts w:ascii="Arial" w:eastAsia="Times New Roman" w:hAnsi="Arial" w:cs="Times New Roman"/>
          <w:sz w:val="24"/>
          <w:szCs w:val="24"/>
        </w:rPr>
        <w:t xml:space="preserve">aerobními gramnegativními bakteriemi citlivými </w:t>
      </w:r>
      <w:r>
        <w:rPr>
          <w:rFonts w:ascii="Arial" w:eastAsia="Times New Roman" w:hAnsi="Arial" w:cs="Times New Roman"/>
          <w:sz w:val="24"/>
          <w:szCs w:val="24"/>
        </w:rPr>
        <w:t>ke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="007B2244" w:rsidRPr="007B2244">
        <w:rPr>
          <w:rFonts w:ascii="Arial" w:eastAsia="Times New Roman" w:hAnsi="Arial" w:cs="Times New Roman"/>
          <w:sz w:val="24"/>
          <w:szCs w:val="24"/>
        </w:rPr>
        <w:t>gentamicin</w:t>
      </w:r>
      <w:r>
        <w:rPr>
          <w:rFonts w:ascii="Arial" w:eastAsia="Times New Roman" w:hAnsi="Arial" w:cs="Times New Roman"/>
          <w:sz w:val="24"/>
          <w:szCs w:val="24"/>
        </w:rPr>
        <w:t>u</w:t>
      </w:r>
      <w:proofErr w:type="spellEnd"/>
      <w:r w:rsidR="007B2244" w:rsidRPr="007B2244">
        <w:rPr>
          <w:rFonts w:ascii="Arial" w:eastAsia="Times New Roman" w:hAnsi="Arial" w:cs="Times New Roman"/>
          <w:sz w:val="24"/>
          <w:szCs w:val="24"/>
        </w:rPr>
        <w:t>.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B2244" w:rsidRPr="007B2244" w:rsidRDefault="007B2244" w:rsidP="007B22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B2244">
        <w:rPr>
          <w:rFonts w:ascii="Arial" w:eastAsia="Times New Roman" w:hAnsi="Arial" w:cs="Times New Roman"/>
          <w:b/>
          <w:bCs/>
          <w:sz w:val="24"/>
          <w:szCs w:val="24"/>
          <w:shd w:val="clear" w:color="auto" w:fill="BFBFBF"/>
        </w:rPr>
        <w:t>5.</w:t>
      </w:r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ab/>
        <w:t>KONTRAINDIKACE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>Nepoužívat v případech známé dysfunkce ledvin.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Nepoužívat v případech přecitlivělosti na léčivou látku, nebo na některou </w:t>
      </w:r>
      <w:r w:rsidR="00350947" w:rsidRPr="007B2244">
        <w:rPr>
          <w:rFonts w:ascii="Arial" w:eastAsia="Times New Roman" w:hAnsi="Arial" w:cs="Times New Roman"/>
          <w:sz w:val="24"/>
          <w:szCs w:val="24"/>
        </w:rPr>
        <w:t>z</w:t>
      </w:r>
      <w:r w:rsidR="00350947">
        <w:rPr>
          <w:rFonts w:ascii="Arial" w:eastAsia="Times New Roman" w:hAnsi="Arial" w:cs="Times New Roman"/>
          <w:sz w:val="24"/>
          <w:szCs w:val="24"/>
        </w:rPr>
        <w:t> </w:t>
      </w:r>
      <w:r w:rsidRPr="007B2244">
        <w:rPr>
          <w:rFonts w:ascii="Arial" w:eastAsia="Times New Roman" w:hAnsi="Arial" w:cs="Times New Roman"/>
          <w:sz w:val="24"/>
          <w:szCs w:val="24"/>
        </w:rPr>
        <w:t>pomocných látek.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>Nepřekračovat navržený režim dávkování.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B2244" w:rsidRPr="007B2244" w:rsidRDefault="007B2244" w:rsidP="007B22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B2244">
        <w:rPr>
          <w:rFonts w:ascii="Arial" w:eastAsia="Times New Roman" w:hAnsi="Arial" w:cs="Times New Roman"/>
          <w:b/>
          <w:bCs/>
          <w:sz w:val="24"/>
          <w:szCs w:val="24"/>
          <w:shd w:val="clear" w:color="auto" w:fill="BFBFBF"/>
        </w:rPr>
        <w:t>6.</w:t>
      </w:r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ab/>
        <w:t>NEŽÁDOUCÍ ÚČINKY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44" w:rsidRPr="007B2244" w:rsidRDefault="007B2244" w:rsidP="00DD7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Lokální reakce se může objevit v místě podání injekce, zejména v případech </w:t>
      </w:r>
      <w:r w:rsidR="000B19CB">
        <w:rPr>
          <w:rFonts w:ascii="Arial" w:eastAsia="Times New Roman" w:hAnsi="Arial" w:cs="Times New Roman"/>
          <w:sz w:val="24"/>
          <w:szCs w:val="24"/>
        </w:rPr>
        <w:t xml:space="preserve">opakovaného </w:t>
      </w:r>
      <w:r w:rsidRPr="007B2244">
        <w:rPr>
          <w:rFonts w:ascii="Arial" w:eastAsia="Times New Roman" w:hAnsi="Arial" w:cs="Times New Roman"/>
          <w:sz w:val="24"/>
          <w:szCs w:val="24"/>
        </w:rPr>
        <w:t>podání injekce na sousedící místa.</w:t>
      </w:r>
    </w:p>
    <w:p w:rsidR="000B19CB" w:rsidRPr="000B19CB" w:rsidRDefault="007B2244" w:rsidP="00DD7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Jestliže zaznamenáte kterýkoliv z nežádoucích účinků, a to i takové, které nejsou uvedeny v této příbalové informaci, nebo si myslíte, že léčivo </w:t>
      </w:r>
      <w:r w:rsidR="000B19CB">
        <w:rPr>
          <w:rFonts w:ascii="Arial" w:eastAsia="Times New Roman" w:hAnsi="Arial" w:cs="Times New Roman"/>
          <w:sz w:val="24"/>
          <w:szCs w:val="24"/>
        </w:rPr>
        <w:t>není účinné</w:t>
      </w:r>
      <w:r w:rsidRPr="007B2244">
        <w:rPr>
          <w:rFonts w:ascii="Arial" w:eastAsia="Times New Roman" w:hAnsi="Arial" w:cs="Times New Roman"/>
          <w:sz w:val="24"/>
          <w:szCs w:val="24"/>
        </w:rPr>
        <w:t>, oznamte to, prosím, vašemu veterinárnímu lékaři.</w:t>
      </w:r>
      <w:r w:rsidR="000B19CB" w:rsidRPr="000B19CB">
        <w:t xml:space="preserve"> </w:t>
      </w:r>
      <w:r w:rsidR="000B19CB" w:rsidRPr="000B19CB">
        <w:rPr>
          <w:rFonts w:ascii="Arial" w:eastAsia="Times New Roman" w:hAnsi="Arial" w:cs="Times New Roman"/>
          <w:sz w:val="24"/>
          <w:szCs w:val="24"/>
        </w:rPr>
        <w:t xml:space="preserve">Nežádoucí účinky můžete hlásit prostřednictvím formuláře na webových stránkách ÚSKVBL elektronicky, nebo také přímo na adresu: </w:t>
      </w:r>
    </w:p>
    <w:p w:rsidR="000B19CB" w:rsidRPr="000B19CB" w:rsidRDefault="000B19CB" w:rsidP="000B19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0B19CB">
        <w:rPr>
          <w:rFonts w:ascii="Arial" w:eastAsia="Times New Roman" w:hAnsi="Arial" w:cs="Times New Roman"/>
          <w:sz w:val="24"/>
          <w:szCs w:val="24"/>
        </w:rPr>
        <w:t xml:space="preserve">Ústav pro státní kontrolu veterinárních biopreparátů a léčiv </w:t>
      </w:r>
    </w:p>
    <w:p w:rsidR="000B19CB" w:rsidRPr="000B19CB" w:rsidRDefault="000B19CB" w:rsidP="000B19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0B19CB">
        <w:rPr>
          <w:rFonts w:ascii="Arial" w:eastAsia="Times New Roman" w:hAnsi="Arial" w:cs="Times New Roman"/>
          <w:sz w:val="24"/>
          <w:szCs w:val="24"/>
        </w:rPr>
        <w:t>Hudcova 56a</w:t>
      </w:r>
    </w:p>
    <w:p w:rsidR="000B19CB" w:rsidRPr="000B19CB" w:rsidRDefault="000B19CB" w:rsidP="000B19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0B19CB">
        <w:rPr>
          <w:rFonts w:ascii="Arial" w:eastAsia="Times New Roman" w:hAnsi="Arial" w:cs="Times New Roman"/>
          <w:sz w:val="24"/>
          <w:szCs w:val="24"/>
        </w:rPr>
        <w:t xml:space="preserve">621 00 Brno </w:t>
      </w:r>
    </w:p>
    <w:p w:rsidR="000B19CB" w:rsidRPr="000B19CB" w:rsidRDefault="000B19CB" w:rsidP="000B19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0B19CB">
        <w:rPr>
          <w:rFonts w:ascii="Arial" w:eastAsia="Times New Roman" w:hAnsi="Arial" w:cs="Times New Roman"/>
          <w:sz w:val="24"/>
          <w:szCs w:val="24"/>
        </w:rPr>
        <w:t>Mail: adr@uskvbl.cz</w:t>
      </w:r>
    </w:p>
    <w:p w:rsidR="007B2244" w:rsidRDefault="000B19CB" w:rsidP="000B19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  <w:r w:rsidRPr="000B19CB">
        <w:rPr>
          <w:rFonts w:ascii="Arial" w:eastAsia="Times New Roman" w:hAnsi="Arial" w:cs="Times New Roman"/>
          <w:sz w:val="24"/>
          <w:szCs w:val="24"/>
        </w:rPr>
        <w:t>Webové stránky: http://www.uskvbl.cz/cs/farmakovigilance</w:t>
      </w:r>
    </w:p>
    <w:p w:rsidR="000B19CB" w:rsidRPr="007B2244" w:rsidRDefault="000B19CB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B2244">
        <w:rPr>
          <w:rFonts w:ascii="Arial" w:eastAsia="Times New Roman" w:hAnsi="Arial" w:cs="Times New Roman"/>
          <w:b/>
          <w:bCs/>
          <w:sz w:val="24"/>
          <w:szCs w:val="24"/>
          <w:shd w:val="clear" w:color="auto" w:fill="BFBFBF"/>
        </w:rPr>
        <w:t>7.</w:t>
      </w:r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ab/>
        <w:t>CÍLOVÝ DRUH ZVÍŘAT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>Koně (nepotravinoví koně).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44" w:rsidRPr="007B2244" w:rsidRDefault="007B2244" w:rsidP="007B224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7B2244">
        <w:rPr>
          <w:rFonts w:ascii="Arial" w:eastAsia="Times New Roman" w:hAnsi="Arial" w:cs="Times New Roman"/>
          <w:b/>
          <w:bCs/>
          <w:sz w:val="24"/>
          <w:szCs w:val="24"/>
          <w:shd w:val="clear" w:color="auto" w:fill="BFBFBF"/>
        </w:rPr>
        <w:t>8.</w:t>
      </w:r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ab/>
        <w:t xml:space="preserve">DÁVKOVÁNÍ PRO KAŽDÝ DRUH, </w:t>
      </w:r>
      <w:proofErr w:type="gramStart"/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>CESTA(Y) A ZPŮSOB</w:t>
      </w:r>
      <w:proofErr w:type="gramEnd"/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 xml:space="preserve"> PODÁNÍ</w:t>
      </w:r>
    </w:p>
    <w:p w:rsidR="007B2244" w:rsidRPr="007B2244" w:rsidRDefault="007B2244" w:rsidP="007B224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u w:val="single" w:color="000000"/>
        </w:rPr>
      </w:pPr>
    </w:p>
    <w:p w:rsidR="007B2244" w:rsidRPr="007B2244" w:rsidRDefault="007B2244" w:rsidP="00DD7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Podávejte pomalou intravenózní injekcí. </w:t>
      </w:r>
      <w:r w:rsidRPr="007B2244">
        <w:rPr>
          <w:rFonts w:ascii="Arial" w:eastAsia="Times New Roman" w:hAnsi="Arial" w:cs="Times New Roman"/>
          <w:iCs/>
          <w:sz w:val="24"/>
          <w:szCs w:val="24"/>
        </w:rPr>
        <w:t>Jedna dávka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 6,6 mg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gentamicinu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/kg živé hmotnosti (odpovídající 0,066 ml/kg ž. </w:t>
      </w:r>
      <w:proofErr w:type="gramStart"/>
      <w:r w:rsidRPr="007B2244">
        <w:rPr>
          <w:rFonts w:ascii="Arial" w:eastAsia="Times New Roman" w:hAnsi="Arial" w:cs="Times New Roman"/>
          <w:sz w:val="24"/>
          <w:szCs w:val="24"/>
        </w:rPr>
        <w:t>hm</w:t>
      </w:r>
      <w:proofErr w:type="gramEnd"/>
      <w:r w:rsidRPr="007B2244">
        <w:rPr>
          <w:rFonts w:ascii="Arial" w:eastAsia="Times New Roman" w:hAnsi="Arial" w:cs="Times New Roman"/>
          <w:sz w:val="24"/>
          <w:szCs w:val="24"/>
        </w:rPr>
        <w:t>. veterinárního léčivého přípravku) se podává intravenózně po dobu 3–5 po sobě jdoucích dní.</w:t>
      </w:r>
    </w:p>
    <w:p w:rsidR="007B2244" w:rsidRPr="007B2244" w:rsidRDefault="007B2244" w:rsidP="00DD7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Nedoporučuje se používání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gentamicinu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u hříbat a novorozených hříbat.</w:t>
      </w:r>
    </w:p>
    <w:p w:rsidR="007B2244" w:rsidRPr="007B2244" w:rsidRDefault="007B2244" w:rsidP="00DD73E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</w:p>
    <w:p w:rsidR="007B2244" w:rsidRPr="007B2244" w:rsidRDefault="007B2244" w:rsidP="00DD73E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</w:p>
    <w:p w:rsidR="007B2244" w:rsidRPr="007B2244" w:rsidRDefault="007B2244" w:rsidP="00DD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B2244">
        <w:rPr>
          <w:rFonts w:ascii="Arial" w:eastAsia="Times New Roman" w:hAnsi="Arial" w:cs="Times New Roman"/>
          <w:b/>
          <w:bCs/>
          <w:sz w:val="24"/>
          <w:szCs w:val="24"/>
          <w:shd w:val="clear" w:color="auto" w:fill="BFBFBF"/>
        </w:rPr>
        <w:t>9.</w:t>
      </w:r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ab/>
        <w:t>POKYNY PRO SPRÁVNÉ PODÁNÍ</w:t>
      </w:r>
    </w:p>
    <w:p w:rsidR="007B2244" w:rsidRPr="007B2244" w:rsidRDefault="007B2244" w:rsidP="00DD73E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B2244" w:rsidRPr="007B2244" w:rsidRDefault="007B2244" w:rsidP="00DD7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>Pro zajištění podání správné dávky by měla být co nejpřesněji stanovena živá hmotnost, aby nedošlo k poddávkování či předávkování. Režim dávkování se nesmí překračovat.</w:t>
      </w:r>
    </w:p>
    <w:p w:rsidR="007B2244" w:rsidRPr="007B2244" w:rsidRDefault="007B2244" w:rsidP="00DD7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B2244" w:rsidRPr="007B2244" w:rsidRDefault="007B2244" w:rsidP="00DD7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B2244" w:rsidRPr="007B2244" w:rsidRDefault="007B2244" w:rsidP="00DD73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B2244">
        <w:rPr>
          <w:rFonts w:ascii="Arial" w:eastAsia="Times New Roman" w:hAnsi="Arial" w:cs="Times New Roman"/>
          <w:b/>
          <w:bCs/>
          <w:sz w:val="24"/>
          <w:szCs w:val="24"/>
          <w:shd w:val="clear" w:color="auto" w:fill="BFBFBF"/>
        </w:rPr>
        <w:t>10.</w:t>
      </w:r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ab/>
        <w:t xml:space="preserve">OCHRANNÁ(É) </w:t>
      </w:r>
      <w:proofErr w:type="gramStart"/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>LHŮTA(Y)</w:t>
      </w:r>
      <w:proofErr w:type="gramEnd"/>
    </w:p>
    <w:p w:rsidR="007B2244" w:rsidRPr="007B2244" w:rsidRDefault="007B2244" w:rsidP="00DD7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7688" w:rsidRPr="009119C6" w:rsidRDefault="002E7688" w:rsidP="002E768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19C6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používat u koní</w:t>
      </w:r>
      <w:r w:rsidRPr="009119C6">
        <w:rPr>
          <w:rFonts w:ascii="Arial" w:hAnsi="Arial" w:cs="Arial"/>
          <w:sz w:val="24"/>
          <w:szCs w:val="24"/>
        </w:rPr>
        <w:t xml:space="preserve">, jejichž maso nebo mléko </w:t>
      </w:r>
      <w:r>
        <w:rPr>
          <w:rFonts w:ascii="Arial" w:hAnsi="Arial" w:cs="Arial"/>
          <w:sz w:val="24"/>
          <w:szCs w:val="24"/>
        </w:rPr>
        <w:t>je určeno</w:t>
      </w:r>
      <w:r w:rsidRPr="009119C6">
        <w:rPr>
          <w:rFonts w:ascii="Arial" w:hAnsi="Arial" w:cs="Arial"/>
          <w:sz w:val="24"/>
          <w:szCs w:val="24"/>
        </w:rPr>
        <w:t xml:space="preserve"> pro lidskou spotřebu.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B2244" w:rsidRPr="007B2244" w:rsidRDefault="007B2244" w:rsidP="007B22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B2244">
        <w:rPr>
          <w:rFonts w:ascii="Arial" w:eastAsia="Times New Roman" w:hAnsi="Arial" w:cs="Times New Roman"/>
          <w:b/>
          <w:bCs/>
          <w:sz w:val="24"/>
          <w:szCs w:val="24"/>
          <w:shd w:val="clear" w:color="auto" w:fill="BFBFBF"/>
        </w:rPr>
        <w:t>11.</w:t>
      </w:r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ab/>
        <w:t>ZVLÁŠTNÍ OPATŘENÍ PRO UCHOVÁVÁNÍ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44" w:rsidRPr="007B2244" w:rsidRDefault="007B2244" w:rsidP="00DD7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>Uchovávat mimo dohled a dosah dětí.</w:t>
      </w:r>
    </w:p>
    <w:p w:rsidR="007B2244" w:rsidRPr="007B2244" w:rsidRDefault="00C931CE" w:rsidP="00DD73E6">
      <w:pPr>
        <w:tabs>
          <w:tab w:val="left" w:pos="567"/>
        </w:tabs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Times New Roman"/>
          <w:iCs/>
          <w:sz w:val="24"/>
          <w:szCs w:val="24"/>
        </w:rPr>
        <w:t>Uchovávejte i</w:t>
      </w:r>
      <w:r w:rsidR="007B2244" w:rsidRPr="007B2244">
        <w:rPr>
          <w:rFonts w:ascii="Arial" w:eastAsia="Times New Roman" w:hAnsi="Arial" w:cs="Times New Roman"/>
          <w:iCs/>
          <w:sz w:val="24"/>
          <w:szCs w:val="24"/>
        </w:rPr>
        <w:t xml:space="preserve">njekční lahvičku ve vnějším obalu, aby byla chráněna před světlem. </w:t>
      </w:r>
    </w:p>
    <w:p w:rsidR="007B2244" w:rsidRPr="007B2244" w:rsidRDefault="007B2244" w:rsidP="00DD73E6">
      <w:pPr>
        <w:tabs>
          <w:tab w:val="left" w:pos="567"/>
        </w:tabs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>Doba použitelnosti po prvním otevření vnitřního obalu: 28 dní</w:t>
      </w:r>
      <w:r w:rsidR="00C931CE">
        <w:rPr>
          <w:rFonts w:ascii="Arial" w:eastAsia="Times New Roman" w:hAnsi="Arial" w:cs="Times New Roman"/>
          <w:sz w:val="24"/>
          <w:szCs w:val="24"/>
        </w:rPr>
        <w:t>.</w:t>
      </w:r>
    </w:p>
    <w:p w:rsidR="007B2244" w:rsidRPr="007B2244" w:rsidRDefault="007B2244" w:rsidP="00DD7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Nepoužívejte tento veterinární léčivý přípravek po uplynutí doby použitelnosti uvedené na krabičce a </w:t>
      </w:r>
      <w:r w:rsidR="00C931CE">
        <w:rPr>
          <w:rFonts w:ascii="Arial" w:eastAsia="Times New Roman" w:hAnsi="Arial" w:cs="Times New Roman"/>
          <w:sz w:val="24"/>
          <w:szCs w:val="24"/>
        </w:rPr>
        <w:t>injekční lahvičce</w:t>
      </w:r>
      <w:r w:rsidR="00C931CE"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B2244">
        <w:rPr>
          <w:rFonts w:ascii="Arial" w:eastAsia="Times New Roman" w:hAnsi="Arial" w:cs="Times New Roman"/>
          <w:sz w:val="24"/>
          <w:szCs w:val="24"/>
        </w:rPr>
        <w:t>po EXP.</w:t>
      </w:r>
    </w:p>
    <w:p w:rsidR="007B2244" w:rsidRPr="007B2244" w:rsidRDefault="007B2244" w:rsidP="00DD7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B2244" w:rsidRPr="007B2244" w:rsidRDefault="007B2244" w:rsidP="007B22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B2244">
        <w:rPr>
          <w:rFonts w:ascii="Arial" w:eastAsia="Times New Roman" w:hAnsi="Arial" w:cs="Times New Roman"/>
          <w:b/>
          <w:bCs/>
          <w:sz w:val="24"/>
          <w:szCs w:val="24"/>
          <w:shd w:val="clear" w:color="auto" w:fill="BFBFBF"/>
        </w:rPr>
        <w:t>12.</w:t>
      </w:r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ab/>
        <w:t>ZVLÁŠTNÍ UPOZORNĚNÍ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44" w:rsidRPr="007B2244" w:rsidRDefault="007B2244" w:rsidP="007B2244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B2244">
        <w:rPr>
          <w:rFonts w:ascii="Arial" w:eastAsia="Times New Roman" w:hAnsi="Arial" w:cs="Times New Roman"/>
          <w:bCs/>
          <w:sz w:val="24"/>
          <w:szCs w:val="24"/>
          <w:u w:val="single"/>
        </w:rPr>
        <w:t>Zvláštní opatření pro použití u zvířat:</w:t>
      </w:r>
      <w:r w:rsidRPr="007B2244">
        <w:rPr>
          <w:rFonts w:ascii="Arial" w:eastAsia="Times New Roman" w:hAnsi="Arial" w:cs="Times New Roman"/>
          <w:color w:val="000000"/>
          <w:sz w:val="24"/>
          <w:szCs w:val="24"/>
          <w:u w:val="single"/>
        </w:rPr>
        <w:t xml:space="preserve"> </w:t>
      </w:r>
    </w:p>
    <w:p w:rsidR="007B2244" w:rsidRPr="007B2244" w:rsidRDefault="007B2244" w:rsidP="00DD73E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Je známo, že gentamicin navozuje </w:t>
      </w:r>
      <w:r w:rsidR="00BE568E">
        <w:rPr>
          <w:rFonts w:ascii="Arial" w:eastAsia="Times New Roman" w:hAnsi="Arial" w:cs="Times New Roman"/>
          <w:sz w:val="24"/>
          <w:szCs w:val="24"/>
        </w:rPr>
        <w:t xml:space="preserve">u koní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nefrotoxicitu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dokonce i při terapeutických dávkách. Existují i ojedinělá hlášení o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ototoxicitě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spojená s použitím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gentamicinu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. </w:t>
      </w:r>
      <w:r w:rsidR="00123815" w:rsidRPr="007B2244">
        <w:rPr>
          <w:rFonts w:ascii="Arial" w:eastAsia="Times New Roman" w:hAnsi="Arial" w:cs="Times New Roman"/>
          <w:sz w:val="24"/>
          <w:szCs w:val="24"/>
        </w:rPr>
        <w:t>U</w:t>
      </w:r>
      <w:r w:rsidR="00123815">
        <w:rPr>
          <w:rFonts w:ascii="Arial" w:eastAsia="Times New Roman" w:hAnsi="Arial" w:cs="Times New Roman"/>
          <w:sz w:val="24"/>
          <w:szCs w:val="24"/>
        </w:rPr>
        <w:t> </w:t>
      </w:r>
      <w:r w:rsidRPr="007B2244">
        <w:rPr>
          <w:rFonts w:ascii="Arial" w:eastAsia="Times New Roman" w:hAnsi="Arial" w:cs="Times New Roman"/>
          <w:sz w:val="24"/>
          <w:szCs w:val="24"/>
        </w:rPr>
        <w:t>schváleného režimu dávkování nebyly stanoveny meze bezpečnosti. Gentamicin má sám o sobě úzké rozpětí bezpečnosti. Přípravek by proto měl být používán pouze na základě zvážení přínos</w:t>
      </w:r>
      <w:r w:rsidR="0093451F">
        <w:rPr>
          <w:rFonts w:ascii="Arial" w:eastAsia="Times New Roman" w:hAnsi="Arial" w:cs="Times New Roman"/>
          <w:sz w:val="24"/>
          <w:szCs w:val="24"/>
        </w:rPr>
        <w:t>u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 a rizik</w:t>
      </w:r>
      <w:r w:rsidR="0093451F">
        <w:rPr>
          <w:rFonts w:ascii="Arial" w:eastAsia="Times New Roman" w:hAnsi="Arial" w:cs="Times New Roman"/>
          <w:sz w:val="24"/>
          <w:szCs w:val="24"/>
        </w:rPr>
        <w:t>a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 u každého jednotlivého koně příslušným veterinárním lékařem při zohlednění </w:t>
      </w:r>
      <w:r w:rsidR="0093451F">
        <w:rPr>
          <w:rFonts w:ascii="Arial" w:eastAsia="Times New Roman" w:hAnsi="Arial" w:cs="Times New Roman"/>
          <w:sz w:val="24"/>
          <w:szCs w:val="24"/>
        </w:rPr>
        <w:t xml:space="preserve">jiných </w:t>
      </w:r>
      <w:r w:rsidR="0093451F" w:rsidRPr="007B2244">
        <w:rPr>
          <w:rFonts w:ascii="Arial" w:eastAsia="Times New Roman" w:hAnsi="Arial" w:cs="Times New Roman"/>
          <w:sz w:val="24"/>
          <w:szCs w:val="24"/>
        </w:rPr>
        <w:t>dostup</w:t>
      </w:r>
      <w:r w:rsidR="0093451F">
        <w:rPr>
          <w:rFonts w:ascii="Arial" w:eastAsia="Times New Roman" w:hAnsi="Arial" w:cs="Times New Roman"/>
          <w:sz w:val="24"/>
          <w:szCs w:val="24"/>
        </w:rPr>
        <w:t>ných</w:t>
      </w:r>
      <w:r w:rsidR="0093451F"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93451F">
        <w:rPr>
          <w:rFonts w:ascii="Arial" w:eastAsia="Times New Roman" w:hAnsi="Arial" w:cs="Times New Roman"/>
          <w:sz w:val="24"/>
          <w:szCs w:val="24"/>
        </w:rPr>
        <w:t>možností</w:t>
      </w:r>
      <w:r w:rsidR="0093451F"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B2244">
        <w:rPr>
          <w:rFonts w:ascii="Arial" w:eastAsia="Times New Roman" w:hAnsi="Arial" w:cs="Times New Roman"/>
          <w:sz w:val="24"/>
          <w:szCs w:val="24"/>
        </w:rPr>
        <w:t>léčby.</w:t>
      </w:r>
    </w:p>
    <w:p w:rsidR="007B2244" w:rsidRPr="007B2244" w:rsidRDefault="007B2244" w:rsidP="00DD73E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Pro snížení rizika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nefrotoxicity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by měla být zajištěna přiměřená hydratace léčených zvířat a v případě potřeby by měla být zahájena</w:t>
      </w:r>
      <w:r w:rsidR="00365F29">
        <w:rPr>
          <w:rFonts w:ascii="Arial" w:eastAsia="Times New Roman" w:hAnsi="Arial" w:cs="Times New Roman"/>
          <w:sz w:val="24"/>
          <w:szCs w:val="24"/>
        </w:rPr>
        <w:t xml:space="preserve"> infuzní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 terapie.</w:t>
      </w:r>
    </w:p>
    <w:p w:rsidR="007B2244" w:rsidRPr="007B2244" w:rsidRDefault="007B2244" w:rsidP="00DD73E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Důrazně se doporučuje pečlivé monitorování koní léčených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gentamicinem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. Toto monitorování zahrnuje </w:t>
      </w:r>
      <w:r w:rsidR="00B20F38">
        <w:rPr>
          <w:rFonts w:ascii="Arial" w:eastAsia="Times New Roman" w:hAnsi="Arial" w:cs="Times New Roman"/>
          <w:sz w:val="24"/>
          <w:szCs w:val="24"/>
        </w:rPr>
        <w:t>vyšetření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 parametrů funkce ledvin v krvi (např. kreatininu </w:t>
      </w:r>
      <w:r w:rsidR="00123815" w:rsidRPr="007B2244">
        <w:rPr>
          <w:rFonts w:ascii="Arial" w:eastAsia="Times New Roman" w:hAnsi="Arial" w:cs="Times New Roman"/>
          <w:sz w:val="24"/>
          <w:szCs w:val="24"/>
        </w:rPr>
        <w:t>a</w:t>
      </w:r>
      <w:r w:rsidR="00123815">
        <w:rPr>
          <w:rFonts w:ascii="Arial" w:eastAsia="Times New Roman" w:hAnsi="Arial" w:cs="Times New Roman"/>
          <w:sz w:val="24"/>
          <w:szCs w:val="24"/>
        </w:rPr>
        <w:t> </w:t>
      </w:r>
      <w:r w:rsidRPr="007B2244">
        <w:rPr>
          <w:rFonts w:ascii="Arial" w:eastAsia="Times New Roman" w:hAnsi="Arial" w:cs="Times New Roman"/>
          <w:sz w:val="24"/>
          <w:szCs w:val="24"/>
        </w:rPr>
        <w:t>močoviny) a vyšetření moči (např. stanovení poměru gama-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glutamyltransferázy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/kreatininu). Doporučuje se také terapeutické monitorování koncentrace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gentamicinu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v krvi z důvodu známého kolísání maximální a minimální plazmatické koncentrace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gentamicinu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u jednotlivých zvířat. </w:t>
      </w:r>
      <w:r w:rsidR="00B20F38">
        <w:rPr>
          <w:rFonts w:ascii="Arial" w:eastAsia="Times New Roman" w:hAnsi="Arial" w:cs="Times New Roman"/>
          <w:sz w:val="24"/>
          <w:szCs w:val="24"/>
        </w:rPr>
        <w:t>Pokud je monitoring dostupný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, </w:t>
      </w:r>
      <w:proofErr w:type="spellStart"/>
      <w:r w:rsidR="00B20F38">
        <w:rPr>
          <w:rFonts w:ascii="Arial" w:eastAsia="Times New Roman" w:hAnsi="Arial" w:cs="Times New Roman"/>
          <w:sz w:val="24"/>
          <w:szCs w:val="24"/>
        </w:rPr>
        <w:t>peak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maximální plazmatick</w:t>
      </w:r>
      <w:r w:rsidR="00B20F38">
        <w:rPr>
          <w:rFonts w:ascii="Arial" w:eastAsia="Times New Roman" w:hAnsi="Arial" w:cs="Times New Roman"/>
          <w:sz w:val="24"/>
          <w:szCs w:val="24"/>
        </w:rPr>
        <w:t>é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 koncentrace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gentamicinu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B20F38">
        <w:rPr>
          <w:rFonts w:ascii="Arial" w:eastAsia="Times New Roman" w:hAnsi="Arial" w:cs="Times New Roman"/>
          <w:sz w:val="24"/>
          <w:szCs w:val="24"/>
        </w:rPr>
        <w:t xml:space="preserve">by měl dosahovat </w:t>
      </w:r>
      <w:r w:rsidRPr="007B2244">
        <w:rPr>
          <w:rFonts w:ascii="Arial" w:eastAsia="Times New Roman" w:hAnsi="Arial" w:cs="Times New Roman"/>
          <w:sz w:val="24"/>
          <w:szCs w:val="24"/>
        </w:rPr>
        <w:t>přibližně 16-20 µg/ml.</w:t>
      </w:r>
    </w:p>
    <w:p w:rsidR="007B2244" w:rsidRPr="007B2244" w:rsidRDefault="007B2244" w:rsidP="00DD73E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Zvláštní obezřetnost je nutná při podávání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gentamicinu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s dalšími potenciálně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nefrotoxickými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léčivými přípravky (obsahujícími např. NSAID, furosemid nebo jiné aminoglykosidy).</w:t>
      </w:r>
    </w:p>
    <w:p w:rsidR="007B2244" w:rsidRPr="007B2244" w:rsidRDefault="007B2244" w:rsidP="00DD73E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U hříbat nebyla bezpečnost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gentamicinu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stanovena a chybí údaje o </w:t>
      </w:r>
      <w:r w:rsidR="00B20F38">
        <w:rPr>
          <w:rFonts w:ascii="Arial" w:eastAsia="Times New Roman" w:hAnsi="Arial" w:cs="Times New Roman"/>
          <w:sz w:val="24"/>
          <w:szCs w:val="24"/>
        </w:rPr>
        <w:t>dalších</w:t>
      </w:r>
      <w:r w:rsidR="00B20F38"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účincích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gentamicinu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na ledviny hříbat, zvláště novorozených. Současné znalosti naznačují, že riziko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nefrotoxicity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B20F38">
        <w:rPr>
          <w:rFonts w:ascii="Arial" w:eastAsia="Times New Roman" w:hAnsi="Arial" w:cs="Times New Roman"/>
          <w:sz w:val="24"/>
          <w:szCs w:val="24"/>
        </w:rPr>
        <w:t>způsobené</w:t>
      </w:r>
      <w:r w:rsidR="00B20F38"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gentamicinem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je u hříbat, zvláště novorozených, vyšší než u dospělých zvířat.</w:t>
      </w:r>
    </w:p>
    <w:p w:rsidR="007B2244" w:rsidRPr="007B2244" w:rsidRDefault="007B2244" w:rsidP="00DD73E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Jedním z rozdílů </w:t>
      </w:r>
      <w:r w:rsidR="00B20F38">
        <w:rPr>
          <w:rFonts w:ascii="Arial" w:eastAsia="Times New Roman" w:hAnsi="Arial" w:cs="Times New Roman"/>
          <w:sz w:val="24"/>
          <w:szCs w:val="24"/>
        </w:rPr>
        <w:t>ve funkci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 ledvin novorozených hříbat a dospělých zvířat je nižší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clearance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gentamicinu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u hříbat.</w:t>
      </w:r>
    </w:p>
    <w:p w:rsidR="007B2244" w:rsidRPr="007B2244" w:rsidRDefault="007B2244" w:rsidP="00DD73E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>U novorozených hříbat jako takových nebyly stanoveny meze bezpečnosti. Používání přípravku u hříbat se proto nedoporučuje.</w:t>
      </w:r>
    </w:p>
    <w:p w:rsidR="007B2244" w:rsidRPr="007B2244" w:rsidRDefault="007B2244" w:rsidP="00DD73E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Vždy, když je to možné, by použití přípravku mělo vycházet z testování citlivosti bakterií izolovaných </w:t>
      </w:r>
      <w:r w:rsidR="00A90565">
        <w:rPr>
          <w:rFonts w:ascii="Arial" w:eastAsia="Times New Roman" w:hAnsi="Arial" w:cs="Times New Roman"/>
          <w:sz w:val="24"/>
          <w:szCs w:val="24"/>
        </w:rPr>
        <w:t>ze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 zvířete.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Gentamicin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je baktericidní </w:t>
      </w:r>
      <w:proofErr w:type="spellStart"/>
      <w:r w:rsidR="000E7D88" w:rsidRPr="007B2244">
        <w:rPr>
          <w:rFonts w:ascii="Arial" w:eastAsia="Times New Roman" w:hAnsi="Arial" w:cs="Times New Roman"/>
          <w:sz w:val="24"/>
          <w:szCs w:val="24"/>
        </w:rPr>
        <w:t>antimikrobi</w:t>
      </w:r>
      <w:r w:rsidR="000E7D88">
        <w:rPr>
          <w:rFonts w:ascii="Arial" w:eastAsia="Times New Roman" w:hAnsi="Arial" w:cs="Times New Roman"/>
          <w:sz w:val="24"/>
          <w:szCs w:val="24"/>
        </w:rPr>
        <w:t>kum</w:t>
      </w:r>
      <w:proofErr w:type="spellEnd"/>
      <w:r w:rsidR="000E7D88">
        <w:rPr>
          <w:rFonts w:ascii="Arial" w:eastAsia="Times New Roman" w:hAnsi="Arial" w:cs="Times New Roman"/>
          <w:sz w:val="24"/>
          <w:szCs w:val="24"/>
        </w:rPr>
        <w:t xml:space="preserve"> s úzkým spektrem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0E7D88">
        <w:rPr>
          <w:rFonts w:ascii="Arial" w:eastAsia="Times New Roman" w:hAnsi="Arial" w:cs="Times New Roman"/>
          <w:sz w:val="24"/>
          <w:szCs w:val="24"/>
        </w:rPr>
        <w:t>účinku na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 gramnegativní bakteri</w:t>
      </w:r>
      <w:r w:rsidR="000E7D88">
        <w:rPr>
          <w:rFonts w:ascii="Arial" w:eastAsia="Times New Roman" w:hAnsi="Arial" w:cs="Times New Roman"/>
          <w:sz w:val="24"/>
          <w:szCs w:val="24"/>
        </w:rPr>
        <w:t>e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, které </w:t>
      </w:r>
      <w:r w:rsidR="000E7D88">
        <w:rPr>
          <w:rFonts w:ascii="Arial" w:eastAsia="Times New Roman" w:hAnsi="Arial" w:cs="Times New Roman"/>
          <w:sz w:val="24"/>
          <w:szCs w:val="24"/>
        </w:rPr>
        <w:t>není účinné vůči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 anaerobní</w:t>
      </w:r>
      <w:r w:rsidR="000E7D88">
        <w:rPr>
          <w:rFonts w:ascii="Arial" w:eastAsia="Times New Roman" w:hAnsi="Arial" w:cs="Times New Roman"/>
          <w:sz w:val="24"/>
          <w:szCs w:val="24"/>
        </w:rPr>
        <w:t xml:space="preserve">m </w:t>
      </w:r>
      <w:r w:rsidRPr="007B2244">
        <w:rPr>
          <w:rFonts w:ascii="Arial" w:eastAsia="Times New Roman" w:hAnsi="Arial" w:cs="Times New Roman"/>
          <w:sz w:val="24"/>
          <w:szCs w:val="24"/>
        </w:rPr>
        <w:t>bakteri</w:t>
      </w:r>
      <w:r w:rsidR="000E7D88">
        <w:rPr>
          <w:rFonts w:ascii="Arial" w:eastAsia="Times New Roman" w:hAnsi="Arial" w:cs="Times New Roman"/>
          <w:sz w:val="24"/>
          <w:szCs w:val="24"/>
        </w:rPr>
        <w:t>ím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 a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mykoplazmat</w:t>
      </w:r>
      <w:r w:rsidR="000E7D88">
        <w:rPr>
          <w:rFonts w:ascii="Arial" w:eastAsia="Times New Roman" w:hAnsi="Arial" w:cs="Times New Roman"/>
          <w:sz w:val="24"/>
          <w:szCs w:val="24"/>
        </w:rPr>
        <w:t>ům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. Gentamicin nepenetruje do buněk ani do abscesů. </w:t>
      </w:r>
      <w:r w:rsidR="00123815" w:rsidRPr="007B2244">
        <w:rPr>
          <w:rFonts w:ascii="Arial" w:eastAsia="Times New Roman" w:hAnsi="Arial" w:cs="Times New Roman"/>
          <w:sz w:val="24"/>
          <w:szCs w:val="24"/>
        </w:rPr>
        <w:t>V</w:t>
      </w:r>
      <w:r w:rsidR="00123815">
        <w:rPr>
          <w:rFonts w:ascii="Arial" w:eastAsia="Times New Roman" w:hAnsi="Arial" w:cs="Times New Roman"/>
          <w:sz w:val="24"/>
          <w:szCs w:val="24"/>
        </w:rPr>
        <w:t> </w:t>
      </w:r>
      <w:r w:rsidRPr="007B2244">
        <w:rPr>
          <w:rFonts w:ascii="Arial" w:eastAsia="Times New Roman" w:hAnsi="Arial" w:cs="Times New Roman"/>
          <w:sz w:val="24"/>
          <w:szCs w:val="24"/>
        </w:rPr>
        <w:t>přítomnosti zánětlivého detritu, v prostředí s nízkým obsahem kyslíku a při nízkém pH je gentamicin deaktivován.</w:t>
      </w:r>
    </w:p>
    <w:p w:rsidR="007B2244" w:rsidRPr="007B2244" w:rsidRDefault="000E7D88" w:rsidP="00DD73E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Dávkovací režim</w:t>
      </w:r>
      <w:r w:rsidR="007B2244" w:rsidRPr="007B2244">
        <w:rPr>
          <w:rFonts w:ascii="Arial" w:eastAsia="Times New Roman" w:hAnsi="Arial" w:cs="Times New Roman"/>
          <w:sz w:val="24"/>
          <w:szCs w:val="24"/>
        </w:rPr>
        <w:t xml:space="preserve"> se nesmí překračovat. Použití přípravku, které je odlišné od pokynů uvedených v</w:t>
      </w:r>
      <w:r w:rsidR="00B34418">
        <w:rPr>
          <w:rFonts w:ascii="Arial" w:eastAsia="Times New Roman" w:hAnsi="Arial" w:cs="Times New Roman"/>
          <w:sz w:val="24"/>
          <w:szCs w:val="24"/>
        </w:rPr>
        <w:t xml:space="preserve"> této příbalové informaci, </w:t>
      </w:r>
      <w:r w:rsidR="007B2244" w:rsidRPr="007B2244">
        <w:rPr>
          <w:rFonts w:ascii="Arial" w:eastAsia="Times New Roman" w:hAnsi="Arial" w:cs="Times New Roman"/>
          <w:sz w:val="24"/>
          <w:szCs w:val="24"/>
        </w:rPr>
        <w:t xml:space="preserve">zvyšuje riziko </w:t>
      </w:r>
      <w:proofErr w:type="spellStart"/>
      <w:r w:rsidR="007B2244" w:rsidRPr="007B2244">
        <w:rPr>
          <w:rFonts w:ascii="Arial" w:eastAsia="Times New Roman" w:hAnsi="Arial" w:cs="Times New Roman"/>
          <w:sz w:val="24"/>
          <w:szCs w:val="24"/>
        </w:rPr>
        <w:t>nefrotoxicity</w:t>
      </w:r>
      <w:proofErr w:type="spellEnd"/>
      <w:r w:rsidR="007B2244" w:rsidRPr="007B2244">
        <w:rPr>
          <w:rFonts w:ascii="Arial" w:eastAsia="Times New Roman" w:hAnsi="Arial" w:cs="Times New Roman"/>
          <w:sz w:val="24"/>
          <w:szCs w:val="24"/>
        </w:rPr>
        <w:t xml:space="preserve"> a může zvýšit prevalenci bakterií rezistentních ke </w:t>
      </w:r>
      <w:proofErr w:type="spellStart"/>
      <w:r w:rsidR="007B2244" w:rsidRPr="007B2244">
        <w:rPr>
          <w:rFonts w:ascii="Arial" w:eastAsia="Times New Roman" w:hAnsi="Arial" w:cs="Times New Roman"/>
          <w:sz w:val="24"/>
          <w:szCs w:val="24"/>
        </w:rPr>
        <w:t>gentamicinu</w:t>
      </w:r>
      <w:proofErr w:type="spellEnd"/>
      <w:r w:rsidR="007B2244" w:rsidRPr="007B2244">
        <w:rPr>
          <w:rFonts w:ascii="Arial" w:eastAsia="Times New Roman" w:hAnsi="Arial" w:cs="Times New Roman"/>
          <w:sz w:val="24"/>
          <w:szCs w:val="24"/>
        </w:rPr>
        <w:t xml:space="preserve">. </w:t>
      </w:r>
    </w:p>
    <w:p w:rsidR="007B2244" w:rsidRPr="007B2244" w:rsidRDefault="007B2244" w:rsidP="00DD73E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Zvláštní obezřetnost se doporučuje při použití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gentamicinu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u starých koní nebo koní s horečkou,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endotoxémií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>, sepsí a dehydratací.</w:t>
      </w:r>
    </w:p>
    <w:p w:rsidR="007B2244" w:rsidRPr="007B2244" w:rsidRDefault="007B2244" w:rsidP="007B22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7B2244" w:rsidRPr="007B2244" w:rsidRDefault="007B2244" w:rsidP="00DD73E6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r w:rsidRPr="007B2244">
        <w:rPr>
          <w:rFonts w:ascii="Arial" w:eastAsia="Times New Roman" w:hAnsi="Arial" w:cs="Times New Roman"/>
          <w:sz w:val="24"/>
          <w:szCs w:val="24"/>
          <w:u w:val="single"/>
        </w:rPr>
        <w:t>Zvláštní opatření určené osobám, které podávají veterinární léčivý přípravek zvířatům</w:t>
      </w:r>
      <w:r w:rsidRPr="007B2244">
        <w:rPr>
          <w:rFonts w:ascii="Arial" w:eastAsia="Times New Roman" w:hAnsi="Arial" w:cs="Times New Roman"/>
          <w:sz w:val="24"/>
          <w:szCs w:val="24"/>
        </w:rPr>
        <w:t>:</w:t>
      </w:r>
    </w:p>
    <w:p w:rsidR="00FA13C2" w:rsidRPr="009119C6" w:rsidRDefault="00FA13C2" w:rsidP="00DD73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Gentamicin </w:t>
      </w:r>
      <w:r w:rsidRPr="009119C6">
        <w:rPr>
          <w:rFonts w:ascii="Arial" w:hAnsi="Arial" w:cs="Arial"/>
          <w:iCs/>
          <w:sz w:val="24"/>
          <w:szCs w:val="24"/>
        </w:rPr>
        <w:t xml:space="preserve">může </w:t>
      </w:r>
      <w:r>
        <w:rPr>
          <w:rFonts w:ascii="Arial" w:hAnsi="Arial" w:cs="Arial"/>
          <w:iCs/>
          <w:sz w:val="24"/>
          <w:szCs w:val="24"/>
        </w:rPr>
        <w:t xml:space="preserve">po expozici vyvolat </w:t>
      </w:r>
      <w:r w:rsidRPr="009119C6">
        <w:rPr>
          <w:rFonts w:ascii="Arial" w:hAnsi="Arial" w:cs="Arial"/>
          <w:iCs/>
          <w:sz w:val="24"/>
          <w:szCs w:val="24"/>
        </w:rPr>
        <w:t>hypersenzitiv</w:t>
      </w:r>
      <w:r>
        <w:rPr>
          <w:rFonts w:ascii="Arial" w:hAnsi="Arial" w:cs="Arial"/>
          <w:iCs/>
          <w:sz w:val="24"/>
          <w:szCs w:val="24"/>
        </w:rPr>
        <w:t xml:space="preserve">ní </w:t>
      </w:r>
      <w:r w:rsidRPr="009119C6">
        <w:rPr>
          <w:rFonts w:ascii="Arial" w:hAnsi="Arial" w:cs="Arial"/>
          <w:iCs/>
          <w:sz w:val="24"/>
          <w:szCs w:val="24"/>
        </w:rPr>
        <w:t>(alergickou) reakci. Lidé se známou přecitlivělostí na gentamicin by se měli vyhnout kontaktu s veterinárním léčivým přípravkem.</w:t>
      </w:r>
    </w:p>
    <w:p w:rsidR="00FA13C2" w:rsidRPr="009119C6" w:rsidRDefault="00FA13C2" w:rsidP="00DD73E6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</w:t>
      </w:r>
      <w:r w:rsidRPr="009119C6">
        <w:rPr>
          <w:rFonts w:ascii="Arial" w:hAnsi="Arial" w:cs="Arial"/>
          <w:iCs/>
          <w:sz w:val="24"/>
          <w:szCs w:val="24"/>
        </w:rPr>
        <w:t xml:space="preserve">řípravek podávejte </w:t>
      </w:r>
      <w:r>
        <w:rPr>
          <w:rFonts w:ascii="Arial" w:hAnsi="Arial" w:cs="Arial"/>
          <w:iCs/>
          <w:sz w:val="24"/>
          <w:szCs w:val="24"/>
        </w:rPr>
        <w:t>obezřetně</w:t>
      </w:r>
      <w:r w:rsidRPr="009119C6">
        <w:rPr>
          <w:rFonts w:ascii="Arial" w:hAnsi="Arial" w:cs="Arial"/>
          <w:iCs/>
          <w:sz w:val="24"/>
          <w:szCs w:val="24"/>
        </w:rPr>
        <w:t>.</w:t>
      </w:r>
    </w:p>
    <w:p w:rsidR="00FA13C2" w:rsidRPr="009119C6" w:rsidRDefault="00FA13C2" w:rsidP="00DD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19C6">
        <w:rPr>
          <w:rFonts w:ascii="Arial" w:hAnsi="Arial" w:cs="Arial"/>
          <w:sz w:val="24"/>
          <w:szCs w:val="24"/>
        </w:rPr>
        <w:t>V případě náhodného samopodání, vyhledejte ihned lékařskou pomoc a ukažte příbalovou informaci nebo etiketu praktickému lékaři.</w:t>
      </w:r>
    </w:p>
    <w:p w:rsidR="007B2244" w:rsidRPr="007B2244" w:rsidRDefault="007B2244" w:rsidP="00DD7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7B2244" w:rsidRPr="007B2244" w:rsidRDefault="007B2244" w:rsidP="007B2244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7B2244">
        <w:rPr>
          <w:rFonts w:ascii="Arial" w:eastAsia="Times New Roman" w:hAnsi="Arial" w:cs="Times New Roman"/>
          <w:sz w:val="24"/>
          <w:szCs w:val="24"/>
          <w:u w:val="single"/>
        </w:rPr>
        <w:t>Březost a laktace</w:t>
      </w:r>
      <w:r w:rsidRPr="007B2244">
        <w:rPr>
          <w:rFonts w:ascii="Arial" w:eastAsia="Times New Roman" w:hAnsi="Arial" w:cs="Times New Roman"/>
          <w:sz w:val="24"/>
          <w:szCs w:val="24"/>
        </w:rPr>
        <w:t>:</w:t>
      </w:r>
    </w:p>
    <w:p w:rsidR="007B2244" w:rsidRPr="007B2244" w:rsidRDefault="007B2244" w:rsidP="00DD7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Bezpečnost použití u březích klisen není známa. Studie u laboratorních zvířat však přinesly důkazy o </w:t>
      </w:r>
      <w:r w:rsidR="00B34418">
        <w:rPr>
          <w:rFonts w:ascii="Arial" w:eastAsia="Times New Roman" w:hAnsi="Arial" w:cs="Times New Roman"/>
          <w:sz w:val="24"/>
          <w:szCs w:val="24"/>
        </w:rPr>
        <w:t xml:space="preserve">fetální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nefrotoxicitě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>. Použít pouze po zvážení terapeutického prospěchu a rizika příslušným veterinárním lékařem.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u w:val="single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r w:rsidRPr="007B2244">
        <w:rPr>
          <w:rFonts w:ascii="Arial" w:eastAsia="Times New Roman" w:hAnsi="Arial" w:cs="Times New Roman"/>
          <w:sz w:val="24"/>
          <w:szCs w:val="24"/>
          <w:u w:val="single"/>
        </w:rPr>
        <w:t>Interakce s dalšími léčivými přípravky a další formy interakce</w:t>
      </w:r>
      <w:r w:rsidRPr="007B2244">
        <w:rPr>
          <w:rFonts w:ascii="Arial" w:eastAsia="Times New Roman" w:hAnsi="Arial" w:cs="Times New Roman"/>
          <w:sz w:val="24"/>
          <w:szCs w:val="24"/>
        </w:rPr>
        <w:t>:</w:t>
      </w:r>
    </w:p>
    <w:p w:rsidR="007B2244" w:rsidRPr="007B2244" w:rsidRDefault="007B2244" w:rsidP="00DD7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 xml:space="preserve">Tento veterinární léčivý přípravek se nemá používat souběžně s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aminoglykosidovými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antibiotiky nebo s jinými léčivy, o kterých je známo, že způsobuj</w:t>
      </w:r>
      <w:r w:rsidR="00B34418">
        <w:rPr>
          <w:rFonts w:ascii="Arial" w:eastAsia="Times New Roman" w:hAnsi="Arial" w:cs="Times New Roman"/>
          <w:sz w:val="24"/>
          <w:szCs w:val="24"/>
        </w:rPr>
        <w:t>í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ototoxicitu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 xml:space="preserve"> nebo </w:t>
      </w:r>
      <w:proofErr w:type="spellStart"/>
      <w:r w:rsidRPr="007B2244">
        <w:rPr>
          <w:rFonts w:ascii="Arial" w:eastAsia="Times New Roman" w:hAnsi="Arial" w:cs="Times New Roman"/>
          <w:sz w:val="24"/>
          <w:szCs w:val="24"/>
        </w:rPr>
        <w:t>nefrotoxicitu</w:t>
      </w:r>
      <w:proofErr w:type="spellEnd"/>
      <w:r w:rsidRPr="007B2244">
        <w:rPr>
          <w:rFonts w:ascii="Arial" w:eastAsia="Times New Roman" w:hAnsi="Arial" w:cs="Times New Roman"/>
          <w:sz w:val="24"/>
          <w:szCs w:val="24"/>
        </w:rPr>
        <w:t>.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r w:rsidRPr="007B2244">
        <w:rPr>
          <w:rFonts w:ascii="Arial" w:eastAsia="Times New Roman" w:hAnsi="Arial" w:cs="Times New Roman"/>
          <w:sz w:val="24"/>
          <w:szCs w:val="24"/>
          <w:u w:val="single"/>
        </w:rPr>
        <w:t>Předávkování (symptomy, první pomoc, antidota)</w:t>
      </w:r>
      <w:r w:rsidRPr="007B2244">
        <w:rPr>
          <w:rFonts w:ascii="Arial" w:eastAsia="Times New Roman" w:hAnsi="Arial" w:cs="Times New Roman"/>
          <w:sz w:val="24"/>
          <w:szCs w:val="24"/>
        </w:rPr>
        <w:t>:</w:t>
      </w:r>
      <w:r w:rsidRPr="007B2244">
        <w:rPr>
          <w:rFonts w:ascii="Arial" w:eastAsia="Times New Roman" w:hAnsi="Arial" w:cs="Times New Roman"/>
          <w:sz w:val="24"/>
          <w:szCs w:val="24"/>
          <w:u w:val="single"/>
        </w:rPr>
        <w:t xml:space="preserve"> </w:t>
      </w:r>
    </w:p>
    <w:p w:rsidR="007B2244" w:rsidRPr="007B2244" w:rsidRDefault="00BD25CF" w:rsidP="00DD7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Předávkování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v</w:t>
      </w:r>
      <w:r w:rsidR="007B2244" w:rsidRPr="007B2244">
        <w:rPr>
          <w:rFonts w:ascii="Arial" w:eastAsia="Times New Roman" w:hAnsi="Arial" w:cs="Times New Roman"/>
          <w:sz w:val="24"/>
          <w:szCs w:val="24"/>
        </w:rPr>
        <w:t>eterinární</w:t>
      </w:r>
      <w:r>
        <w:rPr>
          <w:rFonts w:ascii="Arial" w:eastAsia="Times New Roman" w:hAnsi="Arial" w:cs="Times New Roman"/>
          <w:sz w:val="24"/>
          <w:szCs w:val="24"/>
        </w:rPr>
        <w:t>m</w:t>
      </w:r>
      <w:r w:rsidR="007B2244" w:rsidRPr="007B2244">
        <w:rPr>
          <w:rFonts w:ascii="Arial" w:eastAsia="Times New Roman" w:hAnsi="Arial" w:cs="Times New Roman"/>
          <w:sz w:val="24"/>
          <w:szCs w:val="24"/>
        </w:rPr>
        <w:t xml:space="preserve"> léčivý</w:t>
      </w:r>
      <w:r>
        <w:rPr>
          <w:rFonts w:ascii="Arial" w:eastAsia="Times New Roman" w:hAnsi="Arial" w:cs="Times New Roman"/>
          <w:sz w:val="24"/>
          <w:szCs w:val="24"/>
        </w:rPr>
        <w:t>m</w:t>
      </w:r>
      <w:r w:rsidR="007B2244" w:rsidRPr="007B2244">
        <w:rPr>
          <w:rFonts w:ascii="Arial" w:eastAsia="Times New Roman" w:hAnsi="Arial" w:cs="Times New Roman"/>
          <w:sz w:val="24"/>
          <w:szCs w:val="24"/>
        </w:rPr>
        <w:t xml:space="preserve"> přípravk</w:t>
      </w:r>
      <w:r>
        <w:rPr>
          <w:rFonts w:ascii="Arial" w:eastAsia="Times New Roman" w:hAnsi="Arial" w:cs="Times New Roman"/>
          <w:sz w:val="24"/>
          <w:szCs w:val="24"/>
        </w:rPr>
        <w:t>em</w:t>
      </w:r>
      <w:r w:rsidR="007B2244" w:rsidRPr="007B2244">
        <w:rPr>
          <w:rFonts w:ascii="Arial" w:eastAsia="Times New Roman" w:hAnsi="Arial" w:cs="Times New Roman"/>
          <w:sz w:val="24"/>
          <w:szCs w:val="24"/>
        </w:rPr>
        <w:t xml:space="preserve"> nebyl</w:t>
      </w:r>
      <w:r>
        <w:rPr>
          <w:rFonts w:ascii="Arial" w:eastAsia="Times New Roman" w:hAnsi="Arial" w:cs="Times New Roman"/>
          <w:sz w:val="24"/>
          <w:szCs w:val="24"/>
        </w:rPr>
        <w:t>o</w:t>
      </w:r>
      <w:r w:rsidR="007B2244"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B2244">
        <w:rPr>
          <w:rFonts w:ascii="Arial" w:eastAsia="Times New Roman" w:hAnsi="Arial" w:cs="Times New Roman"/>
          <w:sz w:val="24"/>
          <w:szCs w:val="24"/>
        </w:rPr>
        <w:t>v</w:t>
      </w:r>
      <w:r>
        <w:rPr>
          <w:rFonts w:ascii="Arial" w:eastAsia="Times New Roman" w:hAnsi="Arial" w:cs="Times New Roman"/>
          <w:sz w:val="24"/>
          <w:szCs w:val="24"/>
        </w:rPr>
        <w:t>e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 studiích </w:t>
      </w:r>
      <w:r w:rsidR="007B2244" w:rsidRPr="007B2244">
        <w:rPr>
          <w:rFonts w:ascii="Arial" w:eastAsia="Times New Roman" w:hAnsi="Arial" w:cs="Times New Roman"/>
          <w:sz w:val="24"/>
          <w:szCs w:val="24"/>
        </w:rPr>
        <w:t>testován</w:t>
      </w:r>
      <w:r>
        <w:rPr>
          <w:rFonts w:ascii="Arial" w:eastAsia="Times New Roman" w:hAnsi="Arial" w:cs="Times New Roman"/>
          <w:sz w:val="24"/>
          <w:szCs w:val="24"/>
        </w:rPr>
        <w:t>o</w:t>
      </w:r>
      <w:r w:rsidR="007B2244" w:rsidRPr="007B2244">
        <w:rPr>
          <w:rFonts w:ascii="Arial" w:eastAsia="Times New Roman" w:hAnsi="Arial" w:cs="Times New Roman"/>
          <w:sz w:val="24"/>
          <w:szCs w:val="24"/>
        </w:rPr>
        <w:t>, a proto nebyla stanovena hranice bezpečnosti.</w:t>
      </w:r>
    </w:p>
    <w:p w:rsidR="007B2244" w:rsidRPr="007B2244" w:rsidRDefault="007B2244" w:rsidP="00DD7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44" w:rsidRPr="007B2244" w:rsidRDefault="007B2244" w:rsidP="00DD73E6">
      <w:pPr>
        <w:keepNext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B2244">
        <w:rPr>
          <w:rFonts w:ascii="Arial" w:eastAsia="Times New Roman" w:hAnsi="Arial" w:cs="Times New Roman"/>
          <w:b/>
          <w:bCs/>
          <w:sz w:val="24"/>
          <w:szCs w:val="24"/>
          <w:shd w:val="clear" w:color="auto" w:fill="BFBFBF"/>
        </w:rPr>
        <w:t>13.</w:t>
      </w:r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ab/>
        <w:t>ZVLÁŠTNÍ OPATŘENÍ PRO ZNEŠKODŇOVÁNÍ NEPOUŽITÝCH PŘÍPRAVKŮ NEBO ODPADU, POKUD JE JICH TŘEBA</w:t>
      </w:r>
    </w:p>
    <w:p w:rsidR="007B2244" w:rsidRPr="007B2244" w:rsidRDefault="007B2244" w:rsidP="00DD73E6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B2244" w:rsidRPr="007B2244" w:rsidRDefault="007B2244" w:rsidP="00DD73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>O možnostech likvidace nepotřebných léčivých přípravků se poraďte s vaším veterinárním lékařem. Tato opatření napomáhají chránit životní prostředí.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44" w:rsidRPr="007B2244" w:rsidRDefault="007B2244" w:rsidP="007B22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B2244">
        <w:rPr>
          <w:rFonts w:ascii="Arial" w:eastAsia="Times New Roman" w:hAnsi="Arial" w:cs="Times New Roman"/>
          <w:b/>
          <w:bCs/>
          <w:sz w:val="24"/>
          <w:szCs w:val="24"/>
          <w:shd w:val="clear" w:color="auto" w:fill="BFBFBF"/>
        </w:rPr>
        <w:t>14.</w:t>
      </w:r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ab/>
        <w:t>DATUM POSLEDNÍ REVIZE PŘÍBALOVÉ INFORMACE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B2244" w:rsidRDefault="00DD3618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Duben 2020</w:t>
      </w:r>
    </w:p>
    <w:p w:rsidR="00123815" w:rsidRPr="007B2244" w:rsidRDefault="00123815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B2244" w:rsidRDefault="007B2244" w:rsidP="007B22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7B2244">
        <w:rPr>
          <w:rFonts w:ascii="Arial" w:eastAsia="Times New Roman" w:hAnsi="Arial" w:cs="Times New Roman"/>
          <w:b/>
          <w:bCs/>
          <w:sz w:val="24"/>
          <w:szCs w:val="24"/>
          <w:shd w:val="clear" w:color="auto" w:fill="BFBFBF"/>
        </w:rPr>
        <w:t>15.</w:t>
      </w:r>
      <w:r w:rsidRPr="007B2244">
        <w:rPr>
          <w:rFonts w:ascii="Arial" w:eastAsia="Times New Roman" w:hAnsi="Arial" w:cs="Times New Roman"/>
          <w:b/>
          <w:bCs/>
          <w:sz w:val="24"/>
          <w:szCs w:val="24"/>
        </w:rPr>
        <w:tab/>
        <w:t>DALŠÍ INFORMACE</w:t>
      </w:r>
    </w:p>
    <w:p w:rsidR="00346260" w:rsidRPr="007B2244" w:rsidRDefault="00346260" w:rsidP="007B22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B2244" w:rsidRPr="007B2244" w:rsidRDefault="00346260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Pouze pro zvířata.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>Veterinární léčivý přípravek je vydáván pouze na předpis.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>Krabička obsahuje jednu bezbarvou skle</w:t>
      </w:r>
      <w:r w:rsidR="00C931CE">
        <w:rPr>
          <w:rFonts w:ascii="Arial" w:eastAsia="Times New Roman" w:hAnsi="Arial" w:cs="Times New Roman"/>
          <w:sz w:val="24"/>
          <w:szCs w:val="24"/>
        </w:rPr>
        <w:t>ně</w:t>
      </w:r>
      <w:r w:rsidRPr="007B2244">
        <w:rPr>
          <w:rFonts w:ascii="Arial" w:eastAsia="Times New Roman" w:hAnsi="Arial" w:cs="Times New Roman"/>
          <w:sz w:val="24"/>
          <w:szCs w:val="24"/>
        </w:rPr>
        <w:t xml:space="preserve">nou injekční </w:t>
      </w:r>
      <w:r w:rsidR="00C931CE">
        <w:rPr>
          <w:rFonts w:ascii="Arial" w:eastAsia="Times New Roman" w:hAnsi="Arial" w:cs="Times New Roman"/>
          <w:sz w:val="24"/>
          <w:szCs w:val="24"/>
        </w:rPr>
        <w:t>lahvičku</w:t>
      </w:r>
      <w:r w:rsidR="00C931CE"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C931CE">
        <w:rPr>
          <w:rFonts w:ascii="Arial" w:eastAsia="Times New Roman" w:hAnsi="Arial" w:cs="Times New Roman"/>
          <w:sz w:val="24"/>
          <w:szCs w:val="24"/>
        </w:rPr>
        <w:t>obsahující</w:t>
      </w:r>
      <w:r w:rsidR="00C931CE" w:rsidRPr="007B2244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B2244">
        <w:rPr>
          <w:rFonts w:ascii="Arial" w:eastAsia="Times New Roman" w:hAnsi="Arial" w:cs="Times New Roman"/>
          <w:sz w:val="24"/>
          <w:szCs w:val="24"/>
        </w:rPr>
        <w:t>100 ml nebo 250 ml.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7B2244">
        <w:rPr>
          <w:rFonts w:ascii="Arial" w:eastAsia="Times New Roman" w:hAnsi="Arial" w:cs="Times New Roman"/>
          <w:bCs/>
          <w:sz w:val="24"/>
          <w:szCs w:val="24"/>
        </w:rPr>
        <w:t>Na trhu nemusí být všechny velikosti balení.</w:t>
      </w: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7B2244" w:rsidRPr="007B2244" w:rsidRDefault="007B2244" w:rsidP="007B22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B2244">
        <w:rPr>
          <w:rFonts w:ascii="Arial" w:eastAsia="Times New Roman" w:hAnsi="Arial" w:cs="Times New Roman"/>
          <w:sz w:val="24"/>
          <w:szCs w:val="24"/>
        </w:rPr>
        <w:t>Pokud chcete získat informace o tomto veterinárním léčivém přípravku, kontaktujte prosím příslušného místního zástupce držitele rozhodnutí o registraci.</w:t>
      </w:r>
    </w:p>
    <w:p w:rsidR="006C3151" w:rsidRDefault="006C3151"/>
    <w:sectPr w:rsidR="006C3151" w:rsidSect="001405D3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CA" w:rsidRDefault="00011ECA" w:rsidP="00A348E7">
      <w:pPr>
        <w:spacing w:after="0" w:line="240" w:lineRule="auto"/>
      </w:pPr>
      <w:r>
        <w:separator/>
      </w:r>
    </w:p>
  </w:endnote>
  <w:endnote w:type="continuationSeparator" w:id="0">
    <w:p w:rsidR="00011ECA" w:rsidRDefault="00011ECA" w:rsidP="00A3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CA" w:rsidRDefault="00011ECA" w:rsidP="00A348E7">
      <w:pPr>
        <w:spacing w:after="0" w:line="240" w:lineRule="auto"/>
      </w:pPr>
      <w:r>
        <w:separator/>
      </w:r>
    </w:p>
  </w:footnote>
  <w:footnote w:type="continuationSeparator" w:id="0">
    <w:p w:rsidR="00011ECA" w:rsidRDefault="00011ECA" w:rsidP="00A3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E7" w:rsidRDefault="00464243">
    <w:pPr>
      <w:pStyle w:val="Zhlav"/>
    </w:pPr>
    <w:r>
      <w:t xml:space="preserve"> </w:t>
    </w:r>
    <w:r w:rsidR="00A348E7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44"/>
    <w:rsid w:val="00011ECA"/>
    <w:rsid w:val="000B19CB"/>
    <w:rsid w:val="000E7D88"/>
    <w:rsid w:val="00123815"/>
    <w:rsid w:val="001405D3"/>
    <w:rsid w:val="00160B24"/>
    <w:rsid w:val="001A23CA"/>
    <w:rsid w:val="00215F5C"/>
    <w:rsid w:val="002C4723"/>
    <w:rsid w:val="002E7688"/>
    <w:rsid w:val="00324302"/>
    <w:rsid w:val="00346260"/>
    <w:rsid w:val="00350947"/>
    <w:rsid w:val="00365F29"/>
    <w:rsid w:val="003950B6"/>
    <w:rsid w:val="00427FB3"/>
    <w:rsid w:val="00464243"/>
    <w:rsid w:val="004B2D9E"/>
    <w:rsid w:val="005339CC"/>
    <w:rsid w:val="0065560D"/>
    <w:rsid w:val="00686D2A"/>
    <w:rsid w:val="006C3151"/>
    <w:rsid w:val="007B2244"/>
    <w:rsid w:val="00904799"/>
    <w:rsid w:val="0093451F"/>
    <w:rsid w:val="009D1F1A"/>
    <w:rsid w:val="00A348E7"/>
    <w:rsid w:val="00A90565"/>
    <w:rsid w:val="00B15DB4"/>
    <w:rsid w:val="00B20F38"/>
    <w:rsid w:val="00B34418"/>
    <w:rsid w:val="00B855F2"/>
    <w:rsid w:val="00BA7173"/>
    <w:rsid w:val="00BD25CF"/>
    <w:rsid w:val="00BE568E"/>
    <w:rsid w:val="00C9180B"/>
    <w:rsid w:val="00C931CE"/>
    <w:rsid w:val="00C95A04"/>
    <w:rsid w:val="00CF27DA"/>
    <w:rsid w:val="00DD3618"/>
    <w:rsid w:val="00DD73E6"/>
    <w:rsid w:val="00FA13C2"/>
    <w:rsid w:val="00FA5370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4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8E7"/>
  </w:style>
  <w:style w:type="paragraph" w:styleId="Zpat">
    <w:name w:val="footer"/>
    <w:basedOn w:val="Normln"/>
    <w:link w:val="ZpatChar"/>
    <w:uiPriority w:val="99"/>
    <w:unhideWhenUsed/>
    <w:rsid w:val="00A34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8E7"/>
  </w:style>
  <w:style w:type="paragraph" w:styleId="Textbubliny">
    <w:name w:val="Balloon Text"/>
    <w:basedOn w:val="Normln"/>
    <w:link w:val="TextbublinyChar"/>
    <w:uiPriority w:val="99"/>
    <w:semiHidden/>
    <w:unhideWhenUsed/>
    <w:rsid w:val="00C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4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8E7"/>
  </w:style>
  <w:style w:type="paragraph" w:styleId="Zpat">
    <w:name w:val="footer"/>
    <w:basedOn w:val="Normln"/>
    <w:link w:val="ZpatChar"/>
    <w:uiPriority w:val="99"/>
    <w:unhideWhenUsed/>
    <w:rsid w:val="00A34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8E7"/>
  </w:style>
  <w:style w:type="paragraph" w:styleId="Textbubliny">
    <w:name w:val="Balloon Text"/>
    <w:basedOn w:val="Normln"/>
    <w:link w:val="TextbublinyChar"/>
    <w:uiPriority w:val="99"/>
    <w:semiHidden/>
    <w:unhideWhenUsed/>
    <w:rsid w:val="00C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1083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33</cp:revision>
  <cp:lastPrinted>2019-09-10T13:19:00Z</cp:lastPrinted>
  <dcterms:created xsi:type="dcterms:W3CDTF">2019-07-24T05:47:00Z</dcterms:created>
  <dcterms:modified xsi:type="dcterms:W3CDTF">2020-04-20T15:52:00Z</dcterms:modified>
</cp:coreProperties>
</file>