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C1" w:rsidRPr="008017F7" w:rsidRDefault="00B11A39">
      <w:pPr>
        <w:rPr>
          <w:b/>
          <w:sz w:val="28"/>
          <w:szCs w:val="28"/>
        </w:rPr>
      </w:pPr>
      <w:r w:rsidRPr="008017F7">
        <w:rPr>
          <w:b/>
          <w:sz w:val="28"/>
          <w:szCs w:val="28"/>
        </w:rPr>
        <w:t xml:space="preserve">Testovací souprava k prokázání protilátek proti viru </w:t>
      </w:r>
      <w:proofErr w:type="spellStart"/>
      <w:r w:rsidRPr="008017F7">
        <w:rPr>
          <w:b/>
          <w:sz w:val="28"/>
          <w:szCs w:val="28"/>
        </w:rPr>
        <w:t>leukózy</w:t>
      </w:r>
      <w:proofErr w:type="spellEnd"/>
      <w:r w:rsidRPr="008017F7">
        <w:rPr>
          <w:b/>
          <w:sz w:val="28"/>
          <w:szCs w:val="28"/>
        </w:rPr>
        <w:t xml:space="preserve"> skotu (BLV)</w:t>
      </w:r>
    </w:p>
    <w:p w:rsidR="00B11A39" w:rsidRDefault="00B11A39" w:rsidP="00B11A39">
      <w:r>
        <w:t>Pouze pro veterinární užití</w:t>
      </w:r>
    </w:p>
    <w:p w:rsidR="00B11A39" w:rsidRPr="008017F7" w:rsidRDefault="00B11A39" w:rsidP="00B11A39">
      <w:pPr>
        <w:rPr>
          <w:b/>
        </w:rPr>
      </w:pPr>
      <w:r w:rsidRPr="008017F7">
        <w:rPr>
          <w:b/>
        </w:rPr>
        <w:t>Název a zamýšlené užití</w:t>
      </w:r>
    </w:p>
    <w:p w:rsidR="00B11A39" w:rsidRDefault="00B11A39" w:rsidP="00B11A39">
      <w:pPr>
        <w:spacing w:after="0"/>
      </w:pPr>
      <w:r>
        <w:t xml:space="preserve">Testovací souprava IDEXX </w:t>
      </w:r>
      <w:proofErr w:type="spellStart"/>
      <w:r>
        <w:t>Leukosis</w:t>
      </w:r>
      <w:proofErr w:type="spellEnd"/>
      <w:r>
        <w:t xml:space="preserve"> </w:t>
      </w:r>
      <w:proofErr w:type="spellStart"/>
      <w:r>
        <w:t>Serum</w:t>
      </w:r>
      <w:proofErr w:type="spellEnd"/>
      <w:r>
        <w:t xml:space="preserve"> X2 nabízí rychlou, jednoduchou, citlivou a specifickou metodu pro detekci protilátek </w:t>
      </w:r>
      <w:r w:rsidR="00F10A6C">
        <w:t xml:space="preserve">proti viru </w:t>
      </w:r>
      <w:proofErr w:type="spellStart"/>
      <w:r w:rsidR="00F10A6C">
        <w:t>leukózy</w:t>
      </w:r>
      <w:proofErr w:type="spellEnd"/>
      <w:r w:rsidR="00F10A6C">
        <w:t xml:space="preserve"> skotu (BLV) v</w:t>
      </w:r>
      <w:r w:rsidR="00E41C43">
        <w:t>e vzorcích séra a plazmy skotu</w:t>
      </w:r>
      <w:r w:rsidR="00F10A6C">
        <w:t xml:space="preserve"> (in</w:t>
      </w:r>
      <w:r w:rsidR="00B87265">
        <w:t>dividuálních nebo směsných až do</w:t>
      </w:r>
      <w:r w:rsidR="00F10A6C">
        <w:t xml:space="preserve"> 10 jedinců). </w:t>
      </w:r>
    </w:p>
    <w:p w:rsidR="00B11A39" w:rsidRPr="008017F7" w:rsidRDefault="00B11A39" w:rsidP="00B11A39">
      <w:pPr>
        <w:spacing w:after="0"/>
        <w:rPr>
          <w:b/>
        </w:rPr>
      </w:pPr>
    </w:p>
    <w:p w:rsidR="00F10A6C" w:rsidRPr="008017F7" w:rsidRDefault="00F10A6C" w:rsidP="00B11A39">
      <w:pPr>
        <w:spacing w:after="0"/>
        <w:rPr>
          <w:b/>
        </w:rPr>
      </w:pPr>
      <w:r w:rsidRPr="008017F7">
        <w:rPr>
          <w:b/>
        </w:rPr>
        <w:t>Popis a principy</w:t>
      </w:r>
    </w:p>
    <w:p w:rsidR="00F10A6C" w:rsidRDefault="00F10A6C" w:rsidP="00B11A39">
      <w:pPr>
        <w:spacing w:after="0"/>
      </w:pPr>
    </w:p>
    <w:p w:rsidR="00F10A6C" w:rsidRDefault="00F10A6C" w:rsidP="00B11A39">
      <w:pPr>
        <w:spacing w:after="0"/>
      </w:pPr>
      <w:proofErr w:type="spellStart"/>
      <w:r>
        <w:t>Mi</w:t>
      </w:r>
      <w:r w:rsidR="00E52182">
        <w:t>krotitrační</w:t>
      </w:r>
      <w:proofErr w:type="spellEnd"/>
      <w:r w:rsidR="00E52182">
        <w:t xml:space="preserve"> destičky jsou dodává</w:t>
      </w:r>
      <w:r>
        <w:t>ny potažené inaktivovaným antigenem. Zředěné vzorky určené k testování se inkubují v jamkách těchto destiček. Jakákoli protilátka specifická pro BLV se naváže na antigen v jamkách a utvoří komplex antigen-protilátka na vnitřním povrchu jamek. Nenavázaný materiál se z jamek od</w:t>
      </w:r>
      <w:r w:rsidR="002469DB">
        <w:t xml:space="preserve">straní vymytím. </w:t>
      </w:r>
      <w:r w:rsidR="002469DB">
        <w:br/>
        <w:t>Následně se při</w:t>
      </w:r>
      <w:r>
        <w:t>dá peroxidázou značený anti-</w:t>
      </w:r>
      <w:proofErr w:type="spellStart"/>
      <w:r>
        <w:t>ruminantní</w:t>
      </w:r>
      <w:proofErr w:type="spellEnd"/>
      <w:r>
        <w:t xml:space="preserve"> </w:t>
      </w:r>
      <w:r w:rsidR="00E52182">
        <w:t xml:space="preserve"> </w:t>
      </w:r>
      <w:proofErr w:type="spellStart"/>
      <w:r>
        <w:t>IgG</w:t>
      </w:r>
      <w:proofErr w:type="spellEnd"/>
      <w:r>
        <w:t xml:space="preserve"> konjugát, který se váže na protilátky </w:t>
      </w:r>
      <w:proofErr w:type="spellStart"/>
      <w:r>
        <w:t>komplexované</w:t>
      </w:r>
      <w:proofErr w:type="spellEnd"/>
      <w:r>
        <w:t xml:space="preserve"> antigenem BLV. </w:t>
      </w:r>
      <w:r w:rsidR="005E56D8">
        <w:t xml:space="preserve">Nenavázaný konjugát se odstraní vymytím a do jamek se přidá substrát. Stupeň vznikajícího zabarvení (optická hustota se měří při 450 </w:t>
      </w:r>
      <w:proofErr w:type="spellStart"/>
      <w:r w:rsidR="005E56D8">
        <w:t>nm</w:t>
      </w:r>
      <w:proofErr w:type="spellEnd"/>
      <w:r w:rsidR="005E56D8">
        <w:t xml:space="preserve">) je přímo úměrný množství protilátek ve vzorku, specifických pro BLV. Výsledek se získá porovnáním optické hustoty (OD) vzorků s OD pozitivní kontroly. </w:t>
      </w:r>
    </w:p>
    <w:p w:rsidR="00F10A6C" w:rsidRDefault="00F10A6C" w:rsidP="00B11A39">
      <w:pPr>
        <w:spacing w:after="0"/>
      </w:pPr>
    </w:p>
    <w:p w:rsidR="005E56D8" w:rsidRDefault="008017F7" w:rsidP="005E56D8">
      <w:pPr>
        <w:tabs>
          <w:tab w:val="left" w:pos="7140"/>
        </w:tabs>
        <w:spacing w:after="0"/>
      </w:pPr>
      <w:proofErr w:type="gramStart"/>
      <w:r>
        <w:t xml:space="preserve">Reagencie                                                                             </w:t>
      </w:r>
      <w:r w:rsidR="005E56D8">
        <w:t>Objem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1456"/>
      </w:tblGrid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Destička potažená antigenem BLV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10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2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Pozitivní kontrolní vzorek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1,5 ml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3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Negativní kontrolní vzorek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1,5 ml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4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Konjugát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110 ml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5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Roztok k ředění vzorků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110 ml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A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TMB substrát č. 12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100 ml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B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Zastavovací roztok č. 3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100 ml</w:t>
            </w:r>
          </w:p>
        </w:tc>
      </w:tr>
      <w:tr w:rsidR="005E56D8" w:rsidTr="008017F7">
        <w:tc>
          <w:tcPr>
            <w:tcW w:w="534" w:type="dxa"/>
          </w:tcPr>
          <w:p w:rsidR="005E56D8" w:rsidRDefault="005E56D8" w:rsidP="008017F7">
            <w:pPr>
              <w:jc w:val="center"/>
            </w:pPr>
            <w:r>
              <w:t>C</w:t>
            </w:r>
          </w:p>
        </w:tc>
        <w:tc>
          <w:tcPr>
            <w:tcW w:w="4072" w:type="dxa"/>
          </w:tcPr>
          <w:p w:rsidR="005E56D8" w:rsidRDefault="005E56D8" w:rsidP="008017F7">
            <w:pPr>
              <w:jc w:val="center"/>
            </w:pPr>
            <w:r>
              <w:t>Promývací koncentrát (10x)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 x 480 ml</w:t>
            </w:r>
          </w:p>
        </w:tc>
      </w:tr>
      <w:tr w:rsidR="005E56D8" w:rsidTr="008017F7">
        <w:tc>
          <w:tcPr>
            <w:tcW w:w="4606" w:type="dxa"/>
            <w:gridSpan w:val="2"/>
          </w:tcPr>
          <w:p w:rsidR="005E56D8" w:rsidRDefault="005E56D8" w:rsidP="008017F7">
            <w:r>
              <w:t>Ostatní komponenty:</w:t>
            </w:r>
            <w:r w:rsidR="00210380">
              <w:t xml:space="preserve"> </w:t>
            </w:r>
            <w:r>
              <w:t xml:space="preserve"> Sáček se zipovým uzávěrem</w:t>
            </w:r>
          </w:p>
        </w:tc>
        <w:tc>
          <w:tcPr>
            <w:tcW w:w="1456" w:type="dxa"/>
          </w:tcPr>
          <w:p w:rsidR="005E56D8" w:rsidRDefault="005E56D8" w:rsidP="008017F7">
            <w:pPr>
              <w:jc w:val="center"/>
            </w:pPr>
            <w:r>
              <w:t>1</w:t>
            </w:r>
          </w:p>
        </w:tc>
      </w:tr>
    </w:tbl>
    <w:p w:rsidR="005E56D8" w:rsidRDefault="005E56D8" w:rsidP="008017F7">
      <w:pPr>
        <w:spacing w:after="0"/>
        <w:jc w:val="center"/>
      </w:pPr>
    </w:p>
    <w:p w:rsidR="008017F7" w:rsidRPr="008017F7" w:rsidRDefault="008017F7" w:rsidP="008017F7">
      <w:pPr>
        <w:spacing w:after="0"/>
        <w:rPr>
          <w:b/>
        </w:rPr>
      </w:pPr>
      <w:r w:rsidRPr="008017F7">
        <w:rPr>
          <w:b/>
        </w:rPr>
        <w:t>Uchovávání</w:t>
      </w:r>
    </w:p>
    <w:p w:rsidR="008017F7" w:rsidRDefault="008017F7" w:rsidP="008017F7">
      <w:pPr>
        <w:spacing w:after="0"/>
      </w:pPr>
    </w:p>
    <w:p w:rsidR="00B11A39" w:rsidRDefault="008017F7" w:rsidP="008017F7">
      <w:pPr>
        <w:spacing w:after="0"/>
      </w:pPr>
      <w:r>
        <w:t>Reagencie uchovávejte při teplotě 2–8 °C. Reagencie jsou za předpokladu řádného skladování stabilní do data exspirace.</w:t>
      </w:r>
    </w:p>
    <w:p w:rsidR="008017F7" w:rsidRDefault="008017F7" w:rsidP="008017F7">
      <w:pPr>
        <w:spacing w:after="0"/>
      </w:pPr>
    </w:p>
    <w:p w:rsidR="008017F7" w:rsidRPr="008017F7" w:rsidRDefault="008017F7" w:rsidP="008017F7">
      <w:pPr>
        <w:spacing w:after="0"/>
        <w:rPr>
          <w:b/>
        </w:rPr>
      </w:pPr>
      <w:r w:rsidRPr="008017F7">
        <w:rPr>
          <w:b/>
        </w:rPr>
        <w:t>Potřebné materiály, které nejsou součástí soupravy</w:t>
      </w:r>
    </w:p>
    <w:p w:rsidR="008017F7" w:rsidRDefault="008017F7" w:rsidP="008017F7">
      <w:pPr>
        <w:spacing w:after="0"/>
      </w:pP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r>
        <w:t xml:space="preserve">Přesné </w:t>
      </w:r>
      <w:r w:rsidR="00745733">
        <w:t>mikro</w:t>
      </w:r>
      <w:r>
        <w:t xml:space="preserve">pipety nebo multikanálové </w:t>
      </w:r>
      <w:r w:rsidR="00745733">
        <w:t>mikro</w:t>
      </w:r>
      <w:r>
        <w:t>pipety</w:t>
      </w: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r>
        <w:t>Válec na promývací roztok opatřený stupnicí</w:t>
      </w:r>
    </w:p>
    <w:p w:rsidR="008017F7" w:rsidRDefault="00332308" w:rsidP="008017F7">
      <w:pPr>
        <w:pStyle w:val="Odstavecseseznamem"/>
        <w:numPr>
          <w:ilvl w:val="0"/>
          <w:numId w:val="1"/>
        </w:numPr>
        <w:spacing w:after="0"/>
      </w:pPr>
      <w:proofErr w:type="gramStart"/>
      <w:r>
        <w:t>Čtečka  96jamkových</w:t>
      </w:r>
      <w:proofErr w:type="gramEnd"/>
      <w:r>
        <w:t xml:space="preserve"> </w:t>
      </w:r>
      <w:proofErr w:type="spellStart"/>
      <w:r>
        <w:t>mikrotitračních</w:t>
      </w:r>
      <w:proofErr w:type="spellEnd"/>
      <w:r>
        <w:t xml:space="preserve"> destiček</w:t>
      </w:r>
      <w:r w:rsidR="008017F7">
        <w:t xml:space="preserve"> (vybavená filtrem s vlnovou délkou 450 </w:t>
      </w:r>
      <w:proofErr w:type="spellStart"/>
      <w:r w:rsidR="008017F7">
        <w:t>nm</w:t>
      </w:r>
      <w:proofErr w:type="spellEnd"/>
      <w:r w:rsidR="008017F7">
        <w:t>)</w:t>
      </w:r>
    </w:p>
    <w:p w:rsidR="008017F7" w:rsidRDefault="002469DB" w:rsidP="008017F7">
      <w:pPr>
        <w:pStyle w:val="Odstavecseseznamem"/>
        <w:numPr>
          <w:ilvl w:val="0"/>
          <w:numId w:val="1"/>
        </w:numPr>
        <w:spacing w:after="0"/>
      </w:pPr>
      <w:r>
        <w:t xml:space="preserve">Promývací zařízení na </w:t>
      </w:r>
      <w:proofErr w:type="spellStart"/>
      <w:r>
        <w:t>mikrodestičky</w:t>
      </w:r>
      <w:proofErr w:type="spellEnd"/>
      <w:r w:rsidR="008017F7">
        <w:t xml:space="preserve"> (manuální, poloautomatický nebo automatický systém)</w:t>
      </w: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Pro přípravu reagencií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r>
        <w:t>K</w:t>
      </w:r>
      <w:r w:rsidRPr="008017F7">
        <w:t xml:space="preserve">ryt </w:t>
      </w:r>
      <w:proofErr w:type="spellStart"/>
      <w:r w:rsidRPr="008017F7">
        <w:t>mikrodestičky</w:t>
      </w:r>
      <w:proofErr w:type="spellEnd"/>
      <w:r w:rsidRPr="008017F7">
        <w:t xml:space="preserve"> (víko, hliníková fólie nebo lepicí)</w:t>
      </w:r>
      <w:r>
        <w:t xml:space="preserve"> a/nebo vlhká komora</w:t>
      </w:r>
    </w:p>
    <w:p w:rsidR="008017F7" w:rsidRDefault="008017F7" w:rsidP="008017F7">
      <w:pPr>
        <w:pStyle w:val="Odstavecseseznamem"/>
        <w:numPr>
          <w:ilvl w:val="0"/>
          <w:numId w:val="1"/>
        </w:numPr>
        <w:spacing w:after="0"/>
      </w:pPr>
      <w:r>
        <w:t xml:space="preserve">Inkubátor schopný uchovávat teplotu </w:t>
      </w:r>
      <w:r w:rsidRPr="008017F7">
        <w:t>+37°C (±3°C)</w:t>
      </w:r>
    </w:p>
    <w:p w:rsidR="008017F7" w:rsidRDefault="008017F7" w:rsidP="008017F7">
      <w:pPr>
        <w:spacing w:after="0"/>
      </w:pPr>
    </w:p>
    <w:p w:rsidR="008017F7" w:rsidRPr="008017F7" w:rsidRDefault="008017F7" w:rsidP="008017F7">
      <w:pPr>
        <w:spacing w:after="0"/>
        <w:rPr>
          <w:b/>
        </w:rPr>
      </w:pPr>
      <w:r w:rsidRPr="008017F7">
        <w:rPr>
          <w:b/>
        </w:rPr>
        <w:t>Bezpečnostní opatření a upozornění pro uživatele</w:t>
      </w:r>
    </w:p>
    <w:p w:rsidR="008017F7" w:rsidRDefault="008017F7" w:rsidP="008017F7">
      <w:pPr>
        <w:spacing w:after="0"/>
      </w:pPr>
    </w:p>
    <w:p w:rsidR="008017F7" w:rsidRDefault="008017F7" w:rsidP="008017F7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</w:p>
    <w:p w:rsidR="008017F7" w:rsidRDefault="008017F7" w:rsidP="008017F7">
      <w:pPr>
        <w:pStyle w:val="Odstavecseseznamem"/>
        <w:numPr>
          <w:ilvl w:val="0"/>
          <w:numId w:val="2"/>
        </w:numPr>
        <w:spacing w:after="0"/>
      </w:pPr>
      <w:r>
        <w:t>Při manipulaci se vzorky a reagencii používejte ochranné rukavice / ochranné oblečení / ochranné prostředky na oči nebo obličej.</w:t>
      </w:r>
    </w:p>
    <w:p w:rsidR="004F60F1" w:rsidRDefault="004F60F1" w:rsidP="004F60F1">
      <w:pPr>
        <w:pStyle w:val="Odstavecseseznamem"/>
        <w:numPr>
          <w:ilvl w:val="0"/>
          <w:numId w:val="2"/>
        </w:numPr>
        <w:spacing w:after="0"/>
      </w:pPr>
      <w:r>
        <w:t>Další informace najdete v materiálových bezpečnostních listech.</w:t>
      </w:r>
    </w:p>
    <w:p w:rsidR="008017F7" w:rsidRDefault="004F60F1" w:rsidP="004F60F1">
      <w:pPr>
        <w:pStyle w:val="Odstavecseseznamem"/>
        <w:numPr>
          <w:ilvl w:val="0"/>
          <w:numId w:val="2"/>
        </w:numPr>
        <w:spacing w:after="0"/>
      </w:pPr>
      <w:r>
        <w:t>Upozornění a bezpečnostní opatření pro použití reagencií najdete na konci tohoto letáku.</w:t>
      </w:r>
    </w:p>
    <w:p w:rsidR="004F60F1" w:rsidRDefault="004F60F1" w:rsidP="004F60F1">
      <w:pPr>
        <w:spacing w:after="0"/>
      </w:pPr>
    </w:p>
    <w:p w:rsidR="004F60F1" w:rsidRDefault="004F60F1" w:rsidP="004F60F1">
      <w:pPr>
        <w:spacing w:after="0"/>
      </w:pPr>
      <w:r>
        <w:t>Laboratorní postupy</w:t>
      </w:r>
    </w:p>
    <w:p w:rsidR="004F60F1" w:rsidRDefault="004F60F1" w:rsidP="004F60F1">
      <w:pPr>
        <w:spacing w:after="0"/>
      </w:pPr>
    </w:p>
    <w:p w:rsidR="004F60F1" w:rsidRDefault="004F60F1" w:rsidP="004F60F1">
      <w:pPr>
        <w:pStyle w:val="Odstavecseseznamem"/>
        <w:numPr>
          <w:ilvl w:val="0"/>
          <w:numId w:val="3"/>
        </w:numPr>
        <w:spacing w:after="0"/>
      </w:pPr>
      <w:r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>
        <w:t>pipetovací</w:t>
      </w:r>
      <w:proofErr w:type="spellEnd"/>
      <w:r>
        <w:t xml:space="preserve"> špičku.</w:t>
      </w:r>
    </w:p>
    <w:p w:rsidR="004F60F1" w:rsidRDefault="004F60F1" w:rsidP="004F60F1">
      <w:pPr>
        <w:pStyle w:val="Odstavecseseznamem"/>
        <w:numPr>
          <w:ilvl w:val="0"/>
          <w:numId w:val="3"/>
        </w:numPr>
        <w:spacing w:after="0"/>
      </w:pPr>
      <w:r>
        <w:t xml:space="preserve">Roztok TMB nevystavujte silnému světlu nebo jakýmkoli oxidačním činidlům. Pro manipulaci s roztokem TMB používejte čisté skleněné nebo plastové nádoby. </w:t>
      </w:r>
    </w:p>
    <w:p w:rsidR="004F60F1" w:rsidRDefault="004F60F1" w:rsidP="004F60F1">
      <w:pPr>
        <w:pStyle w:val="Odstavecseseznamem"/>
        <w:numPr>
          <w:ilvl w:val="0"/>
          <w:numId w:val="3"/>
        </w:numPr>
        <w:spacing w:after="0"/>
      </w:pPr>
      <w:r>
        <w:t>Všechny odpady je třeba před likvidací řádně dekontaminovat. Obsah likvidujte v souladu s místními, regionálními a státními předpisy.</w:t>
      </w:r>
    </w:p>
    <w:p w:rsidR="004F60F1" w:rsidRDefault="004F60F1" w:rsidP="004F60F1">
      <w:pPr>
        <w:pStyle w:val="Odstavecseseznamem"/>
        <w:numPr>
          <w:ilvl w:val="0"/>
          <w:numId w:val="3"/>
        </w:numPr>
        <w:spacing w:after="0"/>
      </w:pPr>
      <w:r>
        <w:t>Snažte se zabránit kontaminaci složek soupravy. Nenalévejte nepoužité reagencie zpět do nádob.</w:t>
      </w:r>
    </w:p>
    <w:p w:rsidR="004F60F1" w:rsidRDefault="004F60F1" w:rsidP="004F60F1">
      <w:pPr>
        <w:pStyle w:val="Odstavecseseznamem"/>
        <w:numPr>
          <w:ilvl w:val="0"/>
          <w:numId w:val="3"/>
        </w:numPr>
        <w:spacing w:after="0"/>
      </w:pPr>
      <w:r>
        <w:t>Nepoužívejte soupravu po datu exspirace.</w:t>
      </w:r>
    </w:p>
    <w:p w:rsidR="004F60F1" w:rsidRDefault="004F60F1" w:rsidP="004F60F1">
      <w:pPr>
        <w:spacing w:after="0"/>
      </w:pPr>
    </w:p>
    <w:p w:rsidR="004F60F1" w:rsidRPr="004F60F1" w:rsidRDefault="004F60F1" w:rsidP="004F60F1">
      <w:pPr>
        <w:spacing w:after="0"/>
        <w:rPr>
          <w:b/>
        </w:rPr>
      </w:pPr>
      <w:r w:rsidRPr="004F60F1">
        <w:rPr>
          <w:b/>
        </w:rPr>
        <w:t>Příprava promývacího roztoku</w:t>
      </w:r>
    </w:p>
    <w:p w:rsidR="004F60F1" w:rsidRDefault="004F60F1" w:rsidP="004F60F1">
      <w:pPr>
        <w:spacing w:after="0"/>
      </w:pPr>
    </w:p>
    <w:p w:rsidR="004F60F1" w:rsidRDefault="004F60F1" w:rsidP="004F60F1">
      <w:pPr>
        <w:spacing w:after="0"/>
      </w:pPr>
      <w:r>
        <w:t xml:space="preserve">Koncentrát mycího roztoku (10X) je třeba temperovat na 18–26 °C a promíchat, aby se rozpustily všechny sražené soli. Koncentrát mycího roztoku (10X) musí být před použitím zředěn destilovanou nebo </w:t>
      </w:r>
      <w:proofErr w:type="spellStart"/>
      <w:r>
        <w:t>deionizovanou</w:t>
      </w:r>
      <w:proofErr w:type="spellEnd"/>
      <w:r>
        <w:t xml:space="preserve"> vodou v poměru 1:10 (1 díl koncentrátu a 9 dílů destilované vody, např. 100 ml koncentrátu mycího roztoku (10 X) + 900 ml destilované vody). Pokud byl připraven ve sterilních podmínkách, lze promývací roztok uchovávat jeden týden při teplotě  </w:t>
      </w:r>
      <w:r w:rsidRPr="004F60F1">
        <w:t>2–8°C.</w:t>
      </w:r>
    </w:p>
    <w:p w:rsidR="004F60F1" w:rsidRDefault="004F60F1" w:rsidP="004F60F1">
      <w:pPr>
        <w:spacing w:after="0"/>
      </w:pPr>
    </w:p>
    <w:p w:rsidR="004F60F1" w:rsidRPr="004F60F1" w:rsidRDefault="004F60F1" w:rsidP="004F60F1">
      <w:pPr>
        <w:spacing w:after="0"/>
        <w:rPr>
          <w:b/>
        </w:rPr>
      </w:pPr>
      <w:r w:rsidRPr="004F60F1">
        <w:rPr>
          <w:b/>
        </w:rPr>
        <w:t>Postup testu</w:t>
      </w:r>
    </w:p>
    <w:p w:rsidR="004F60F1" w:rsidRDefault="004F60F1" w:rsidP="004F60F1">
      <w:pPr>
        <w:spacing w:after="0"/>
      </w:pPr>
    </w:p>
    <w:p w:rsidR="004F60F1" w:rsidRDefault="004F60F1" w:rsidP="004F60F1">
      <w:pPr>
        <w:spacing w:after="0"/>
      </w:pPr>
      <w:r>
        <w:t>Všechny reagenční roztoky použité v tomto testu musí mít teplotu 18–26°C. Reagencie se míchají jemným kroužením.</w:t>
      </w:r>
    </w:p>
    <w:p w:rsidR="004F60F1" w:rsidRDefault="004F60F1" w:rsidP="004F60F1">
      <w:pPr>
        <w:spacing w:after="0"/>
      </w:pPr>
    </w:p>
    <w:p w:rsidR="004F60F1" w:rsidRDefault="004F60F1" w:rsidP="004F60F1">
      <w:pPr>
        <w:spacing w:after="0"/>
      </w:pPr>
      <w:r>
        <w:t>1. Vyjměte potažené destičky ze sáčku a označte pozice vzorků. Pokud použijete jen část destičky,</w:t>
      </w:r>
    </w:p>
    <w:p w:rsidR="004F60F1" w:rsidRDefault="004F60F1" w:rsidP="004F60F1">
      <w:pPr>
        <w:spacing w:after="0"/>
      </w:pPr>
      <w:r>
        <w:t>vezměte jen takové množství jamek, jaké je potřebné pro daný počet testovaných vzorků. Ostatní jamky uložte spolu s desikantem do přiloženého uzavíratelného sáčku a uložte při teplotě 2–8°C.</w:t>
      </w:r>
    </w:p>
    <w:p w:rsidR="004F60F1" w:rsidRDefault="004F60F1" w:rsidP="004F60F1">
      <w:pPr>
        <w:spacing w:after="0"/>
      </w:pPr>
    </w:p>
    <w:p w:rsidR="004F60F1" w:rsidRDefault="004F60F1" w:rsidP="004F60F1">
      <w:pPr>
        <w:spacing w:after="0"/>
      </w:pPr>
      <w:r>
        <w:lastRenderedPageBreak/>
        <w:t xml:space="preserve">2. Dejte 90 </w:t>
      </w:r>
      <w:proofErr w:type="spellStart"/>
      <w:r>
        <w:t>μl</w:t>
      </w:r>
      <w:proofErr w:type="spellEnd"/>
      <w:r>
        <w:t xml:space="preserve"> ředicího roztoku</w:t>
      </w:r>
      <w:r w:rsidR="005618F5">
        <w:t xml:space="preserve"> do každé jamky.</w:t>
      </w:r>
    </w:p>
    <w:p w:rsidR="004F60F1" w:rsidRDefault="004F60F1" w:rsidP="004F60F1">
      <w:pPr>
        <w:spacing w:after="0"/>
      </w:pPr>
      <w:r>
        <w:t xml:space="preserve">3. Dejte 10 </w:t>
      </w:r>
      <w:proofErr w:type="spellStart"/>
      <w:r>
        <w:t>μl</w:t>
      </w:r>
      <w:proofErr w:type="spellEnd"/>
      <w:r>
        <w:t xml:space="preserve"> NEŘEDĚNÉHO pozitivního kontrolního vzorku (P</w:t>
      </w:r>
      <w:r w:rsidR="005618F5">
        <w:t>K) do duplicitních jamek.</w:t>
      </w:r>
    </w:p>
    <w:p w:rsidR="004F60F1" w:rsidRDefault="004F60F1" w:rsidP="004F60F1">
      <w:pPr>
        <w:spacing w:after="0"/>
      </w:pPr>
      <w:r>
        <w:t xml:space="preserve">4. Dejte 10 </w:t>
      </w:r>
      <w:proofErr w:type="spellStart"/>
      <w:r>
        <w:t>μl</w:t>
      </w:r>
      <w:proofErr w:type="spellEnd"/>
      <w:r>
        <w:t xml:space="preserve"> NEŘEDĚNÉHO negativního kontrolního vzorku (NK) do duplicitních jamek.</w:t>
      </w:r>
    </w:p>
    <w:p w:rsidR="004F60F1" w:rsidRDefault="004F60F1" w:rsidP="004F60F1">
      <w:pPr>
        <w:spacing w:after="0"/>
      </w:pPr>
      <w:r>
        <w:t xml:space="preserve">5. Použijte 10 </w:t>
      </w:r>
      <w:proofErr w:type="spellStart"/>
      <w:r>
        <w:t>μl</w:t>
      </w:r>
      <w:proofErr w:type="spellEnd"/>
      <w:r>
        <w:t xml:space="preserve"> NEŘEDĚNÉHO testovaného vzorku (individuálního nebo směsného)</w:t>
      </w:r>
      <w:r w:rsidR="005618F5">
        <w:t xml:space="preserve"> na jamku.</w:t>
      </w:r>
    </w:p>
    <w:p w:rsidR="004F60F1" w:rsidRDefault="004F60F1" w:rsidP="004F60F1">
      <w:pPr>
        <w:spacing w:after="0"/>
      </w:pPr>
      <w:r>
        <w:t>6. Smíchejte obsah jamek jemným poklepáváním nebo použijte třepačku</w:t>
      </w:r>
      <w:r w:rsidR="005618F5">
        <w:t>.</w:t>
      </w:r>
    </w:p>
    <w:p w:rsidR="004F60F1" w:rsidRDefault="004F60F1" w:rsidP="004F60F1">
      <w:pPr>
        <w:spacing w:after="0"/>
      </w:pPr>
      <w:r>
        <w:t xml:space="preserve">7. Zakryjte destičku a inkubujte 60 minut (±5 min.) při </w:t>
      </w:r>
      <w:r w:rsidRPr="004F60F1">
        <w:t>+37°C (± 3°C)</w:t>
      </w:r>
      <w:r>
        <w:t xml:space="preserve"> nebo 14 - 18 hodin při </w:t>
      </w:r>
      <w:r w:rsidRPr="004F60F1">
        <w:t>18–26°C</w:t>
      </w:r>
      <w:r>
        <w:t xml:space="preserve">. </w:t>
      </w:r>
      <w:r w:rsidR="004879E6">
        <w:t xml:space="preserve">Při obou z těchto možností by měly být destičky těsně uzavřeny nebo inkubovány ve vlhké komoře s kryty, aby se zabránilo vypařování. </w:t>
      </w:r>
    </w:p>
    <w:p w:rsidR="004F60F1" w:rsidRDefault="004879E6" w:rsidP="004F60F1">
      <w:pPr>
        <w:spacing w:after="0"/>
      </w:pPr>
      <w:r>
        <w:t>8</w:t>
      </w:r>
      <w:r w:rsidR="004F60F1">
        <w:t xml:space="preserve">. Odstraňte roztok a každou jamku třikrát promyjte přibližně 300 µl mycího roztoku. </w:t>
      </w:r>
      <w:r>
        <w:t xml:space="preserve"> Destička nesmí mezi umýváním a před přidáním příští reagencie vyschnout. Po </w:t>
      </w:r>
      <w:r w:rsidR="004F60F1">
        <w:t>posledním odstranění tekutiny odstraňte zbývající</w:t>
      </w:r>
      <w:r>
        <w:t xml:space="preserve"> mycí tekutinu z každé destičky </w:t>
      </w:r>
      <w:r w:rsidR="004F60F1">
        <w:t xml:space="preserve">poklepáváním na savý materiál. </w:t>
      </w:r>
    </w:p>
    <w:p w:rsidR="004879E6" w:rsidRDefault="004879E6" w:rsidP="004F60F1">
      <w:pPr>
        <w:spacing w:after="0"/>
      </w:pPr>
      <w:r>
        <w:t>9</w:t>
      </w:r>
      <w:r w:rsidR="004F60F1">
        <w:t xml:space="preserve">. Přidejte 100 </w:t>
      </w:r>
      <w:proofErr w:type="spellStart"/>
      <w:r w:rsidR="004F60F1">
        <w:t>μl</w:t>
      </w:r>
      <w:proofErr w:type="spellEnd"/>
      <w:r w:rsidR="004F60F1">
        <w:t xml:space="preserve"> </w:t>
      </w:r>
      <w:r>
        <w:t xml:space="preserve">konjugátu </w:t>
      </w:r>
      <w:r w:rsidR="004F60F1">
        <w:t>do každé jamky.</w:t>
      </w:r>
    </w:p>
    <w:p w:rsidR="004879E6" w:rsidRDefault="004879E6" w:rsidP="004879E6">
      <w:pPr>
        <w:spacing w:after="0"/>
      </w:pPr>
      <w:r>
        <w:t xml:space="preserve">10. Zakryjte destičku a inkubujte 60 minut (±5 min.) při </w:t>
      </w:r>
      <w:r w:rsidRPr="004F60F1">
        <w:t>+37°C (± 3°C)</w:t>
      </w:r>
      <w:r>
        <w:t xml:space="preserve">. Destičky by měly být těsně uzavřeny nebo inkubovány ve vlhké komoře s kryty, aby se zabránilo vypařování. </w:t>
      </w:r>
    </w:p>
    <w:p w:rsidR="004879E6" w:rsidRDefault="005618F5" w:rsidP="004879E6">
      <w:pPr>
        <w:spacing w:after="0"/>
      </w:pPr>
      <w:r>
        <w:t xml:space="preserve">11. Opakujte krok č. 8. </w:t>
      </w:r>
    </w:p>
    <w:p w:rsidR="004879E6" w:rsidRDefault="004879E6" w:rsidP="004879E6">
      <w:pPr>
        <w:spacing w:after="0"/>
      </w:pPr>
      <w:r>
        <w:t xml:space="preserve">12.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TMB substrátu č. 12 do každé jamky.</w:t>
      </w:r>
    </w:p>
    <w:p w:rsidR="004879E6" w:rsidRDefault="004879E6" w:rsidP="004879E6">
      <w:pPr>
        <w:spacing w:after="0"/>
      </w:pPr>
      <w:r>
        <w:t xml:space="preserve">13. Inkubujte 15 minut (±1 min.) při </w:t>
      </w:r>
      <w:r w:rsidRPr="004F60F1">
        <w:t>18–26°C</w:t>
      </w:r>
      <w:r w:rsidR="005618F5">
        <w:t xml:space="preserve">. </w:t>
      </w:r>
    </w:p>
    <w:p w:rsidR="004879E6" w:rsidRDefault="004879E6" w:rsidP="004879E6">
      <w:pPr>
        <w:spacing w:after="0"/>
      </w:pPr>
      <w:r>
        <w:t xml:space="preserve">14.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č. 3 do každé jamky.</w:t>
      </w:r>
    </w:p>
    <w:p w:rsidR="004879E6" w:rsidRDefault="004879E6" w:rsidP="004879E6">
      <w:pPr>
        <w:spacing w:after="0"/>
      </w:pPr>
      <w:r>
        <w:t xml:space="preserve">15. Odečtěte výsledky při vlnové délce 450 </w:t>
      </w:r>
      <w:proofErr w:type="spellStart"/>
      <w:r>
        <w:t>nm</w:t>
      </w:r>
      <w:proofErr w:type="spellEnd"/>
      <w:r>
        <w:t xml:space="preserve">. </w:t>
      </w:r>
    </w:p>
    <w:p w:rsidR="004879E6" w:rsidRDefault="004879E6" w:rsidP="004879E6">
      <w:pPr>
        <w:spacing w:after="0"/>
      </w:pPr>
    </w:p>
    <w:p w:rsidR="004879E6" w:rsidRDefault="004879E6" w:rsidP="004879E6">
      <w:pPr>
        <w:spacing w:after="0"/>
      </w:pPr>
      <w:r>
        <w:t xml:space="preserve">Poznámka: Zajistěte vyhodnocení destiček do dvou hodin od přidání zastavovacího roztoku. </w:t>
      </w:r>
    </w:p>
    <w:p w:rsidR="004879E6" w:rsidRDefault="004879E6" w:rsidP="004879E6">
      <w:pPr>
        <w:spacing w:after="0"/>
      </w:pPr>
    </w:p>
    <w:p w:rsidR="004879E6" w:rsidRDefault="004879E6" w:rsidP="004879E6">
      <w:pPr>
        <w:spacing w:after="0"/>
      </w:pPr>
      <w:r>
        <w:t xml:space="preserve">16. </w:t>
      </w:r>
      <w:r w:rsidRPr="00B440A5">
        <w:rPr>
          <w:b/>
        </w:rPr>
        <w:t>Výpočty:</w:t>
      </w:r>
      <w:r>
        <w:t xml:space="preserve"> </w:t>
      </w:r>
    </w:p>
    <w:p w:rsidR="004879E6" w:rsidRDefault="004879E6" w:rsidP="004879E6">
      <w:pPr>
        <w:spacing w:after="0"/>
      </w:pPr>
    </w:p>
    <w:p w:rsidR="004879E6" w:rsidRPr="00B440A5" w:rsidRDefault="004879E6" w:rsidP="004879E6">
      <w:pPr>
        <w:spacing w:after="0"/>
        <w:rPr>
          <w:b/>
        </w:rPr>
      </w:pPr>
      <w:r w:rsidRPr="00B440A5">
        <w:rPr>
          <w:b/>
        </w:rPr>
        <w:t>Kontrolní vzorky</w:t>
      </w:r>
    </w:p>
    <w:p w:rsidR="004879E6" w:rsidRPr="005618F5" w:rsidRDefault="004879E6" w:rsidP="004879E6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5618F5">
        <w:rPr>
          <w:rFonts w:asciiTheme="minorHAnsi" w:hAnsiTheme="minorHAnsi" w:cs="Swiss 72 1 BT"/>
          <w:color w:val="000000"/>
          <w:sz w:val="22"/>
          <w:szCs w:val="22"/>
        </w:rPr>
        <w:t>NK</w:t>
      </w:r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NK1 A(450</w:t>
      </w:r>
      <w:proofErr w:type="gramEnd"/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A(450)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5618F5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5618F5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t>PK1 A(450) + PK2 A(450)</w:t>
      </w:r>
      <w:r w:rsidRPr="005618F5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5618F5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4879E6" w:rsidRDefault="004879E6" w:rsidP="004F60F1">
      <w:pPr>
        <w:spacing w:after="0"/>
      </w:pPr>
    </w:p>
    <w:p w:rsidR="004879E6" w:rsidRPr="00B440A5" w:rsidRDefault="004879E6" w:rsidP="004F60F1">
      <w:pPr>
        <w:spacing w:after="0"/>
        <w:rPr>
          <w:b/>
        </w:rPr>
      </w:pPr>
      <w:r w:rsidRPr="00B440A5">
        <w:rPr>
          <w:b/>
        </w:rPr>
        <w:t xml:space="preserve">Kritéria validity </w:t>
      </w:r>
    </w:p>
    <w:p w:rsidR="004879E6" w:rsidRDefault="004879E6" w:rsidP="004F60F1">
      <w:pPr>
        <w:spacing w:after="0"/>
      </w:pPr>
    </w:p>
    <w:p w:rsidR="004879E6" w:rsidRDefault="004879E6" w:rsidP="004879E6">
      <w:pPr>
        <w:spacing w:after="0"/>
      </w:pPr>
      <w:proofErr w:type="spellStart"/>
      <w:r w:rsidRPr="004879E6">
        <w:t>N</w:t>
      </w:r>
      <w:r>
        <w:t>K</w:t>
      </w:r>
      <w:r w:rsidRPr="004879E6">
        <w:t>x</w:t>
      </w:r>
      <w:proofErr w:type="spellEnd"/>
      <w:r w:rsidRPr="004879E6">
        <w:t xml:space="preserve"> ≤ 0</w:t>
      </w:r>
      <w:r>
        <w:t>,</w:t>
      </w:r>
      <w:r w:rsidRPr="004879E6">
        <w:t>500</w:t>
      </w:r>
      <w:r>
        <w:t xml:space="preserve">                </w:t>
      </w:r>
      <w:proofErr w:type="spellStart"/>
      <w:r>
        <w:t>PKx</w:t>
      </w:r>
      <w:proofErr w:type="spellEnd"/>
      <w:r>
        <w:t xml:space="preserve"> ≤ 2,000                   </w:t>
      </w:r>
      <w:proofErr w:type="spellStart"/>
      <w:r>
        <w:t>PKx</w:t>
      </w:r>
      <w:proofErr w:type="spellEnd"/>
      <w:r>
        <w:t xml:space="preserve"> – </w:t>
      </w:r>
      <w:proofErr w:type="spellStart"/>
      <w:r>
        <w:t>NKx</w:t>
      </w:r>
      <w:proofErr w:type="spellEnd"/>
      <w:r>
        <w:t xml:space="preserve"> ≥ 0,300</w:t>
      </w:r>
    </w:p>
    <w:p w:rsidR="004879E6" w:rsidRDefault="004879E6" w:rsidP="004879E6">
      <w:pPr>
        <w:spacing w:after="0"/>
      </w:pPr>
    </w:p>
    <w:p w:rsidR="004879E6" w:rsidRDefault="004879E6" w:rsidP="004879E6">
      <w:pPr>
        <w:spacing w:after="0"/>
      </w:pPr>
      <w:r>
        <w:t>Při neplatnosti výsledků je třeba předpokládat chybu v technice provedení. D</w:t>
      </w:r>
      <w:r w:rsidR="00B440A5">
        <w:t xml:space="preserve">oporučuje se důkladně znovu prostudovat přiložený leták a test provést znovu. </w:t>
      </w:r>
    </w:p>
    <w:p w:rsidR="00B440A5" w:rsidRDefault="00B440A5" w:rsidP="004879E6">
      <w:pPr>
        <w:spacing w:after="0"/>
      </w:pPr>
    </w:p>
    <w:p w:rsidR="00B440A5" w:rsidRPr="00B440A5" w:rsidRDefault="00B440A5" w:rsidP="004879E6">
      <w:pPr>
        <w:spacing w:after="0"/>
        <w:rPr>
          <w:b/>
        </w:rPr>
      </w:pPr>
      <w:r w:rsidRPr="00B440A5">
        <w:rPr>
          <w:b/>
        </w:rPr>
        <w:t>Vzorky</w:t>
      </w:r>
    </w:p>
    <w:p w:rsidR="00B440A5" w:rsidRPr="00B440A5" w:rsidRDefault="00B440A5" w:rsidP="00B440A5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5618F5">
        <w:rPr>
          <w:rFonts w:cs="Swiss 72 1 BT"/>
          <w:color w:val="000000"/>
        </w:rPr>
        <w:t xml:space="preserve">S/P % = </w:t>
      </w:r>
      <w:proofErr w:type="gramStart"/>
      <w:r w:rsidRPr="005618F5">
        <w:rPr>
          <w:rFonts w:cs="Swiss 72 1 BT"/>
          <w:color w:val="000000"/>
        </w:rPr>
        <w:t xml:space="preserve">100 x </w:t>
      </w:r>
      <w:r w:rsidRPr="005618F5">
        <w:rPr>
          <w:rFonts w:cs="Swiss 72 1 BT"/>
          <w:color w:val="000000"/>
          <w:u w:val="single"/>
        </w:rPr>
        <w:t>A(450</w:t>
      </w:r>
      <w:proofErr w:type="gramEnd"/>
      <w:r w:rsidRPr="005618F5">
        <w:rPr>
          <w:rFonts w:cs="Swiss 72 1 BT"/>
          <w:color w:val="000000"/>
          <w:u w:val="single"/>
        </w:rPr>
        <w:t xml:space="preserve">) vzorku – </w:t>
      </w:r>
      <w:proofErr w:type="spellStart"/>
      <w:r w:rsidRPr="005618F5">
        <w:rPr>
          <w:rFonts w:cs="Swiss 72 1 BT"/>
          <w:color w:val="000000"/>
          <w:u w:val="single"/>
        </w:rPr>
        <w:t>NK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:rsidR="00B440A5" w:rsidRPr="005618F5" w:rsidRDefault="00B440A5" w:rsidP="00B440A5">
      <w:pPr>
        <w:spacing w:after="0"/>
        <w:rPr>
          <w:rFonts w:cs="Swiss 72 1 BT"/>
          <w:strike/>
          <w:color w:val="000000"/>
        </w:rPr>
      </w:pPr>
      <w:r w:rsidRPr="005618F5">
        <w:rPr>
          <w:rFonts w:cs="Swiss 72 1 BT"/>
          <w:color w:val="000000"/>
        </w:rPr>
        <w:t xml:space="preserve">                                </w:t>
      </w:r>
      <w:proofErr w:type="spellStart"/>
      <w:r w:rsidRPr="005618F5">
        <w:rPr>
          <w:rFonts w:cs="Swiss 72 1 BT"/>
          <w:color w:val="000000"/>
        </w:rPr>
        <w:t>PK</w:t>
      </w:r>
      <w:r w:rsidRPr="005618F5">
        <w:rPr>
          <w:rFonts w:cs="Swiss 72 1 BT"/>
          <w:strike/>
          <w:color w:val="000000"/>
        </w:rPr>
        <w:t>x</w:t>
      </w:r>
      <w:proofErr w:type="spellEnd"/>
      <w:r w:rsidRPr="005618F5">
        <w:rPr>
          <w:rFonts w:cs="Swiss 72 1 BT"/>
          <w:strike/>
          <w:color w:val="000000"/>
        </w:rPr>
        <w:t xml:space="preserve"> </w:t>
      </w:r>
      <w:r w:rsidRPr="005618F5">
        <w:rPr>
          <w:rFonts w:cs="Swiss 72 1 BT"/>
          <w:color w:val="000000"/>
        </w:rPr>
        <w:t xml:space="preserve">– </w:t>
      </w:r>
      <w:proofErr w:type="spellStart"/>
      <w:r w:rsidRPr="005618F5">
        <w:rPr>
          <w:rFonts w:cs="Swiss 72 1 BT"/>
          <w:color w:val="000000"/>
        </w:rPr>
        <w:t>NK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:rsidR="00B440A5" w:rsidRDefault="00B440A5" w:rsidP="00B440A5">
      <w:pPr>
        <w:spacing w:after="0"/>
        <w:rPr>
          <w:rFonts w:ascii="Swiss 72 1 BT" w:hAnsi="Swiss 72 1 BT" w:cs="Swiss 72 1 BT"/>
          <w:strike/>
          <w:color w:val="000000"/>
          <w:sz w:val="17"/>
          <w:szCs w:val="17"/>
        </w:rPr>
      </w:pPr>
    </w:p>
    <w:p w:rsidR="00B440A5" w:rsidRDefault="00B440A5" w:rsidP="00B440A5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17. </w:t>
      </w:r>
      <w:r w:rsidRPr="00B440A5">
        <w:rPr>
          <w:rFonts w:cs="Swiss 72 1 BT"/>
          <w:b/>
          <w:color w:val="000000"/>
        </w:rPr>
        <w:t>Intepretace</w:t>
      </w:r>
    </w:p>
    <w:p w:rsidR="00B440A5" w:rsidRDefault="00B440A5" w:rsidP="00B440A5">
      <w:pPr>
        <w:spacing w:after="0"/>
        <w:rPr>
          <w:rFonts w:cs="Swiss 72 1 BT"/>
          <w:color w:val="000000"/>
        </w:rPr>
      </w:pPr>
    </w:p>
    <w:p w:rsidR="00B440A5" w:rsidRPr="00B440A5" w:rsidRDefault="00B440A5" w:rsidP="00B440A5">
      <w:pPr>
        <w:spacing w:after="0"/>
        <w:rPr>
          <w:rFonts w:cs="Swiss 72 1 BT"/>
          <w:b/>
          <w:color w:val="000000"/>
        </w:rPr>
      </w:pPr>
      <w:r w:rsidRPr="00B440A5">
        <w:rPr>
          <w:rFonts w:cs="Swiss 72 1 BT"/>
          <w:b/>
          <w:color w:val="000000"/>
        </w:rPr>
        <w:t>Individuální vzorky</w:t>
      </w:r>
    </w:p>
    <w:p w:rsidR="00B440A5" w:rsidRPr="00B440A5" w:rsidRDefault="00B440A5" w:rsidP="00B440A5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 w:cs="Swiss 72 1 BT"/>
          <w:color w:val="000000"/>
          <w:sz w:val="22"/>
          <w:szCs w:val="22"/>
        </w:rPr>
        <w:t>Negativní: S/P % &lt; 30</w:t>
      </w:r>
    </w:p>
    <w:p w:rsidR="00B440A5" w:rsidRPr="00B440A5" w:rsidRDefault="00B440A5" w:rsidP="00B440A5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/>
          <w:sz w:val="22"/>
          <w:szCs w:val="22"/>
        </w:rPr>
        <w:lastRenderedPageBreak/>
        <w:t xml:space="preserve">Suspektní: 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30 </w:t>
      </w:r>
      <w:r w:rsidRPr="00B440A5">
        <w:rPr>
          <w:rFonts w:asciiTheme="minorHAnsi" w:hAnsiTheme="minorHAnsi" w:cs="Rockwell"/>
          <w:color w:val="000000"/>
          <w:sz w:val="22"/>
          <w:szCs w:val="22"/>
        </w:rPr>
        <w:t xml:space="preserve">≤ 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>S/P % &lt; 40</w:t>
      </w:r>
    </w:p>
    <w:p w:rsidR="00B440A5" w:rsidRPr="00B440A5" w:rsidRDefault="00B440A5" w:rsidP="00B440A5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/>
          <w:sz w:val="22"/>
          <w:szCs w:val="22"/>
        </w:rPr>
        <w:t xml:space="preserve">Pozitivní: 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 xml:space="preserve">S/P % </w:t>
      </w:r>
      <w:r w:rsidRPr="00B440A5">
        <w:rPr>
          <w:rFonts w:asciiTheme="minorHAnsi" w:hAnsiTheme="minorHAnsi" w:cs="Rockwell"/>
          <w:color w:val="000000"/>
          <w:sz w:val="22"/>
          <w:szCs w:val="22"/>
        </w:rPr>
        <w:t xml:space="preserve">≥ </w:t>
      </w:r>
      <w:r w:rsidRPr="00B440A5">
        <w:rPr>
          <w:rFonts w:asciiTheme="minorHAnsi" w:hAnsiTheme="minorHAnsi" w:cs="Swiss 72 1 BT"/>
          <w:color w:val="000000"/>
          <w:sz w:val="22"/>
          <w:szCs w:val="22"/>
        </w:rPr>
        <w:t>40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>Pokud zůstává vzorek suspektní (podezřelý) i po opakování testu, měl by být od tohoto zvířete získán a vyhodnocen nový vzorek. Pokud je i nový vzorek podezřelý, měla by být zvážena epidemiologická (</w:t>
      </w:r>
      <w:proofErr w:type="spellStart"/>
      <w:r>
        <w:t>epizootologická</w:t>
      </w:r>
      <w:proofErr w:type="spellEnd"/>
      <w:r>
        <w:t xml:space="preserve">) situace. 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>Směsné vzorky (až do 10 jedinců)</w:t>
      </w:r>
    </w:p>
    <w:p w:rsidR="00B440A5" w:rsidRDefault="00B440A5" w:rsidP="00B440A5">
      <w:pPr>
        <w:spacing w:after="0"/>
      </w:pPr>
      <w:r>
        <w:t xml:space="preserve">Negativní: </w:t>
      </w:r>
      <w:r w:rsidRPr="00B440A5">
        <w:t>S/P % &lt; 20</w:t>
      </w:r>
    </w:p>
    <w:p w:rsidR="00B440A5" w:rsidRDefault="00B440A5" w:rsidP="00B440A5">
      <w:pPr>
        <w:spacing w:after="0"/>
      </w:pPr>
      <w:r>
        <w:t xml:space="preserve">Pozitivní: </w:t>
      </w:r>
      <w:r w:rsidRPr="00B440A5">
        <w:t>S/P % ≥ 20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 xml:space="preserve">Pokud směsný vzorek vykazuje pozitivní výsledek, měly by být vzorky použité k přípravě směsného vzorku otestovány individuálně. 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>Poznámka: Společnost IDEXX má přístrojové a softwarové systémy, které vypočítávají průměry a podíly blokování a poskytují souhrny údajů.</w:t>
      </w:r>
    </w:p>
    <w:p w:rsidR="00B440A5" w:rsidRDefault="00B440A5" w:rsidP="00B440A5">
      <w:pPr>
        <w:spacing w:after="0"/>
      </w:pPr>
    </w:p>
    <w:p w:rsidR="00B440A5" w:rsidRPr="005618F5" w:rsidRDefault="00B440A5" w:rsidP="00B440A5">
      <w:pPr>
        <w:spacing w:after="0"/>
        <w:rPr>
          <w:b/>
        </w:rPr>
      </w:pPr>
      <w:r w:rsidRPr="005618F5">
        <w:rPr>
          <w:b/>
        </w:rPr>
        <w:t>Potřebujete-li technickou podporu: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 xml:space="preserve">IDEXX USA Tel: +1 800 548 9997 </w:t>
      </w:r>
      <w:proofErr w:type="spellStart"/>
      <w:r>
        <w:t>or</w:t>
      </w:r>
      <w:proofErr w:type="spellEnd"/>
      <w:r>
        <w:t xml:space="preserve"> +1 207 556 4895</w:t>
      </w:r>
    </w:p>
    <w:p w:rsidR="00B440A5" w:rsidRDefault="00B440A5" w:rsidP="00B440A5">
      <w:pPr>
        <w:spacing w:after="0"/>
      </w:pPr>
      <w:r>
        <w:t>IDEXX Evropa Tel: +800 727 43399</w:t>
      </w:r>
    </w:p>
    <w:p w:rsidR="00B440A5" w:rsidRDefault="00B440A5" w:rsidP="00B440A5">
      <w:pPr>
        <w:spacing w:after="0"/>
      </w:pPr>
      <w:r>
        <w:t>Obraťte se na manažera nebo distributora společnosti IDEXX pro Vaši oblast nebo navštivte naši webovou stránku: www.idexx.com/production/contactlpd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zapsané ochranné známky</w:t>
      </w:r>
    </w:p>
    <w:p w:rsidR="00B440A5" w:rsidRDefault="00B440A5" w:rsidP="00B440A5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:rsidR="00B440A5" w:rsidRDefault="00B440A5" w:rsidP="00B440A5">
      <w:pPr>
        <w:spacing w:after="0"/>
      </w:pPr>
    </w:p>
    <w:p w:rsidR="00B440A5" w:rsidRDefault="00B440A5" w:rsidP="00B440A5">
      <w:pPr>
        <w:spacing w:after="0"/>
      </w:pPr>
      <w:r>
        <w:t xml:space="preserve">©2015 IDEXX </w:t>
      </w:r>
      <w:proofErr w:type="spellStart"/>
      <w:r>
        <w:t>Laboratories</w:t>
      </w:r>
      <w:proofErr w:type="spellEnd"/>
      <w:r>
        <w:t xml:space="preserve">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:rsidR="005618F5" w:rsidRDefault="005618F5" w:rsidP="00B440A5">
      <w:pPr>
        <w:spacing w:after="0"/>
      </w:pPr>
    </w:p>
    <w:p w:rsidR="005618F5" w:rsidRPr="005618F5" w:rsidRDefault="005618F5" w:rsidP="00B440A5">
      <w:pPr>
        <w:spacing w:after="0"/>
        <w:rPr>
          <w:b/>
        </w:rPr>
      </w:pPr>
      <w:r w:rsidRPr="005618F5">
        <w:rPr>
          <w:b/>
        </w:rPr>
        <w:t>Varování</w:t>
      </w:r>
    </w:p>
    <w:p w:rsidR="005618F5" w:rsidRDefault="005618F5" w:rsidP="00B440A5">
      <w:pPr>
        <w:spacing w:after="0"/>
        <w:rPr>
          <w:b/>
        </w:rPr>
      </w:pPr>
      <w:r w:rsidRPr="005618F5">
        <w:rPr>
          <w:b/>
        </w:rPr>
        <w:br/>
        <w:t>H318 / P280 / P305+P351+P338 / P310</w:t>
      </w:r>
    </w:p>
    <w:p w:rsidR="005618F5" w:rsidRPr="005618F5" w:rsidRDefault="005618F5" w:rsidP="00B440A5">
      <w:pPr>
        <w:spacing w:after="0"/>
        <w:rPr>
          <w:b/>
        </w:rPr>
      </w:pPr>
      <w:r w:rsidRPr="005618F5">
        <w:rPr>
          <w:b/>
        </w:rPr>
        <w:t>Ředicí roztok</w:t>
      </w:r>
    </w:p>
    <w:p w:rsidR="005618F5" w:rsidRDefault="005618F5" w:rsidP="005618F5">
      <w:pPr>
        <w:spacing w:after="0"/>
      </w:pPr>
      <w:r>
        <w:t xml:space="preserve">Způsobuje vážné poškození očí. Používejte ochranné brýle / obličejový štít. </w:t>
      </w:r>
    </w:p>
    <w:p w:rsidR="005618F5" w:rsidRDefault="005618F5" w:rsidP="005618F5">
      <w:pPr>
        <w:spacing w:after="0"/>
      </w:pPr>
      <w:r>
        <w:t>V PŘÍPADĚ ZASAŽENÍ OČÍ: Důkladně vyplachujte vodou po několik minut. Odstraňte kontaktní čočky, pokud jsou používány a pokud to lze snadno. Pokračujte ve vyplachování. Okamžitě kontaktujte toxikologické centrum nebo lékaře.</w:t>
      </w:r>
    </w:p>
    <w:p w:rsidR="005618F5" w:rsidRPr="005618F5" w:rsidRDefault="005618F5" w:rsidP="005618F5">
      <w:pPr>
        <w:spacing w:after="0"/>
        <w:rPr>
          <w:b/>
        </w:rPr>
      </w:pPr>
    </w:p>
    <w:p w:rsidR="005618F5" w:rsidRPr="005618F5" w:rsidRDefault="005618F5" w:rsidP="005618F5">
      <w:pPr>
        <w:spacing w:after="0"/>
        <w:rPr>
          <w:b/>
        </w:rPr>
      </w:pPr>
      <w:r w:rsidRPr="005618F5">
        <w:rPr>
          <w:b/>
        </w:rPr>
        <w:t>H315/H319/P280/P332+P313/P337+P313</w:t>
      </w:r>
    </w:p>
    <w:p w:rsidR="005618F5" w:rsidRDefault="005618F5" w:rsidP="005618F5">
      <w:pPr>
        <w:spacing w:after="0"/>
      </w:pPr>
      <w:r w:rsidRPr="005618F5">
        <w:rPr>
          <w:b/>
        </w:rPr>
        <w:t>TMB substrát</w:t>
      </w:r>
      <w:r>
        <w:t xml:space="preserve"> - Dráždí kůži. Způsobuje vážné podráždění očí. Používejte ochranné rukavice / ochranné brýle / obličejový štít.</w:t>
      </w:r>
    </w:p>
    <w:p w:rsidR="005618F5" w:rsidRDefault="005618F5" w:rsidP="005618F5">
      <w:pPr>
        <w:spacing w:after="0"/>
      </w:pPr>
      <w:r>
        <w:t>Dojde-li k podráždění kůže: Vyhledejte lékařskou pomoc / ošetření. Přetrvává-li podráždění očí: Vyhledejte lékařskou pomoc / ošetření.</w:t>
      </w:r>
    </w:p>
    <w:p w:rsidR="005618F5" w:rsidRDefault="005618F5" w:rsidP="005618F5">
      <w:pPr>
        <w:spacing w:after="0"/>
      </w:pPr>
    </w:p>
    <w:p w:rsidR="005618F5" w:rsidRPr="005618F5" w:rsidRDefault="005618F5" w:rsidP="005618F5">
      <w:pPr>
        <w:spacing w:after="0"/>
        <w:rPr>
          <w:b/>
        </w:rPr>
      </w:pPr>
      <w:r w:rsidRPr="005618F5">
        <w:rPr>
          <w:b/>
        </w:rPr>
        <w:lastRenderedPageBreak/>
        <w:t>H302/H315/H317/H319/H335/P280/P333+P313/P337+P313/P363</w:t>
      </w:r>
    </w:p>
    <w:p w:rsidR="005618F5" w:rsidRDefault="005618F5" w:rsidP="005618F5">
      <w:pPr>
        <w:spacing w:after="0"/>
      </w:pPr>
      <w:r w:rsidRPr="005618F5">
        <w:rPr>
          <w:b/>
        </w:rPr>
        <w:t>Zastavovací roztok:</w:t>
      </w:r>
      <w:r>
        <w:t xml:space="preserve"> Zdraví škodlivý při požití. Může způsobit podráždění kůže. Může vyvolat alergickou kožní reakci. Způsobuje vážné podráždění očí. Může způsobit podráždění dýchacích cest. Používejte ochranné rukavice / ochranné brýle / obličejový štít.</w:t>
      </w:r>
    </w:p>
    <w:p w:rsidR="005618F5" w:rsidRDefault="005618F5" w:rsidP="005618F5">
      <w:pPr>
        <w:spacing w:after="0"/>
      </w:pPr>
      <w:r>
        <w:t xml:space="preserve">Dojde-li k podráždění kůže nebo vyrážce: Vyhledejte lékařskou pomoc / ošetření. </w:t>
      </w:r>
    </w:p>
    <w:p w:rsidR="005618F5" w:rsidRDefault="005618F5" w:rsidP="005618F5">
      <w:pPr>
        <w:spacing w:after="0"/>
      </w:pPr>
      <w:r>
        <w:t>Přetrvává-li podráždění očí: Vyhledejte lékařskou pomoc / ošetření.</w:t>
      </w:r>
    </w:p>
    <w:p w:rsidR="005618F5" w:rsidRDefault="005618F5" w:rsidP="005618F5">
      <w:pPr>
        <w:spacing w:after="0"/>
      </w:pPr>
      <w:r>
        <w:t>Kontaminované oblečení před opětovným použitím vyperte.</w:t>
      </w:r>
    </w:p>
    <w:p w:rsidR="005618F5" w:rsidRDefault="005618F5" w:rsidP="005618F5">
      <w:pPr>
        <w:spacing w:after="0"/>
      </w:pPr>
      <w:bookmarkStart w:id="0" w:name="_GoBack"/>
      <w:bookmarkEnd w:id="0"/>
    </w:p>
    <w:p w:rsidR="005618F5" w:rsidRPr="005618F5" w:rsidRDefault="005618F5" w:rsidP="005618F5">
      <w:pPr>
        <w:spacing w:after="0"/>
        <w:rPr>
          <w:b/>
        </w:rPr>
      </w:pPr>
      <w:r w:rsidRPr="005618F5">
        <w:rPr>
          <w:b/>
        </w:rPr>
        <w:t>Popis symbolů:</w:t>
      </w:r>
    </w:p>
    <w:p w:rsidR="005618F5" w:rsidRDefault="005618F5" w:rsidP="005618F5">
      <w:pPr>
        <w:spacing w:after="0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8"/>
        <w:gridCol w:w="5707"/>
      </w:tblGrid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503B4753" wp14:editId="0D2C1B11">
                  <wp:extent cx="866775" cy="38100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Číslo šarže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1E0697DA" wp14:editId="7DFC38EB">
                  <wp:extent cx="866775" cy="361950"/>
                  <wp:effectExtent l="0" t="0" r="952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2222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Sériové číslo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5FAB2E6E" wp14:editId="45210C2D">
                  <wp:extent cx="866775" cy="390525"/>
                  <wp:effectExtent l="0" t="0" r="9525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1603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Katalogové číslo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1552A0FC" wp14:editId="1DF69C32">
                  <wp:extent cx="866775" cy="3429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1392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Diagnostika </w:t>
            </w:r>
            <w:r w:rsidRPr="00737F42">
              <w:rPr>
                <w:rStyle w:val="FontStyle35"/>
                <w:rFonts w:ascii="Arial" w:hAnsi="Arial"/>
                <w:i/>
                <w:sz w:val="18"/>
              </w:rPr>
              <w:t>in vitro</w:t>
            </w:r>
            <w:r w:rsidRPr="00737F42">
              <w:rPr>
                <w:rStyle w:val="FontStyle35"/>
                <w:rFonts w:ascii="Arial" w:hAnsi="Arial"/>
                <w:sz w:val="18"/>
              </w:rPr>
              <w:t xml:space="preserve">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0A831123" wp14:editId="613515F9">
                  <wp:extent cx="866775" cy="933450"/>
                  <wp:effectExtent l="0" t="0" r="952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left="5" w:right="2059" w:hanging="5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Autorizovaný zástupce v Evropském společenství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43980251" wp14:editId="399DABE0">
                  <wp:extent cx="866775" cy="36195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2002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Pozitivní kontrola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19D64900" wp14:editId="4CBB3F12">
                  <wp:extent cx="866775" cy="3619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1862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Negativní kontrola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1C7088C6" wp14:editId="243BD5B8">
                  <wp:extent cx="866775" cy="38100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1853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Použijte </w:t>
            </w:r>
            <w:proofErr w:type="gramStart"/>
            <w:r w:rsidRPr="00737F42">
              <w:rPr>
                <w:rStyle w:val="FontStyle35"/>
                <w:rFonts w:ascii="Arial" w:hAnsi="Arial"/>
                <w:sz w:val="18"/>
              </w:rPr>
              <w:t>do</w:t>
            </w:r>
            <w:proofErr w:type="gramEnd"/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4F9FB935" wp14:editId="3D91158F">
                  <wp:extent cx="866775" cy="3524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1550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Datum výroby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31A0069" wp14:editId="078E9889">
                  <wp:extent cx="866775" cy="3619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2966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Výrobce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68F1BFFA" wp14:editId="1D5ED920">
                  <wp:extent cx="866775" cy="495300"/>
                  <wp:effectExtent l="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left="5" w:right="2141" w:hanging="5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Teplotní limity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48B29F2B" wp14:editId="079111B0">
                  <wp:extent cx="866775" cy="4953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1320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Viz návod k použití </w:t>
            </w:r>
          </w:p>
        </w:tc>
      </w:tr>
      <w:tr w:rsidR="0033579C" w:rsidRPr="00737F42" w:rsidTr="00C611C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33579C" w:rsidRPr="00737F42" w:rsidRDefault="0033579C" w:rsidP="00C611C9">
            <w:pPr>
              <w:pStyle w:val="Style18"/>
              <w:widowControl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 wp14:anchorId="6156C3F9" wp14:editId="58A91D18">
                  <wp:extent cx="866775" cy="8858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33579C" w:rsidRPr="00737F42" w:rsidRDefault="0033579C" w:rsidP="00C611C9">
            <w:pPr>
              <w:pStyle w:val="Style12"/>
              <w:widowControl/>
              <w:ind w:right="2026"/>
              <w:rPr>
                <w:rStyle w:val="FontStyle35"/>
                <w:rFonts w:ascii="Arial" w:hAnsi="Arial"/>
                <w:sz w:val="18"/>
                <w:szCs w:val="18"/>
              </w:rPr>
            </w:pPr>
            <w:r w:rsidRPr="00737F42">
              <w:rPr>
                <w:rStyle w:val="FontStyle35"/>
                <w:rFonts w:ascii="Arial" w:hAnsi="Arial"/>
                <w:sz w:val="18"/>
              </w:rPr>
              <w:t xml:space="preserve">Důležitá změna v pokynech pro uživatele </w:t>
            </w:r>
          </w:p>
        </w:tc>
      </w:tr>
    </w:tbl>
    <w:p w:rsidR="0033579C" w:rsidRPr="00737F42" w:rsidRDefault="0033579C" w:rsidP="0033579C">
      <w:pPr>
        <w:sectPr w:rsidR="0033579C" w:rsidRPr="00737F42" w:rsidSect="00BA034E">
          <w:pgSz w:w="11905" w:h="16837" w:code="9"/>
          <w:pgMar w:top="1418" w:right="1418" w:bottom="1418" w:left="1418" w:header="709" w:footer="709" w:gutter="0"/>
          <w:cols w:space="60"/>
          <w:noEndnote/>
        </w:sectPr>
      </w:pPr>
    </w:p>
    <w:p w:rsidR="005618F5" w:rsidRDefault="005618F5" w:rsidP="005618F5">
      <w:pPr>
        <w:spacing w:after="0"/>
      </w:pPr>
    </w:p>
    <w:p w:rsidR="005618F5" w:rsidRDefault="005618F5" w:rsidP="005618F5">
      <w:pPr>
        <w:spacing w:after="0"/>
      </w:pPr>
      <w:r>
        <w:t xml:space="preserve">IDEXX </w:t>
      </w:r>
      <w:proofErr w:type="spellStart"/>
      <w:r>
        <w:t>Laboratories</w:t>
      </w:r>
      <w:proofErr w:type="spellEnd"/>
      <w:r>
        <w:t>, Inc.</w:t>
      </w:r>
    </w:p>
    <w:p w:rsidR="005618F5" w:rsidRDefault="005618F5" w:rsidP="005618F5">
      <w:pPr>
        <w:spacing w:after="0"/>
      </w:pPr>
      <w:proofErr w:type="spellStart"/>
      <w:r>
        <w:t>One</w:t>
      </w:r>
      <w:proofErr w:type="spellEnd"/>
      <w:r>
        <w:t xml:space="preserve"> IDEXX Drive</w:t>
      </w:r>
    </w:p>
    <w:p w:rsidR="005618F5" w:rsidRDefault="005618F5" w:rsidP="005618F5">
      <w:pPr>
        <w:spacing w:after="0"/>
      </w:pPr>
      <w:proofErr w:type="spellStart"/>
      <w:r>
        <w:t>Westbrook</w:t>
      </w:r>
      <w:proofErr w:type="spellEnd"/>
      <w:r>
        <w:t>, Maine 04092</w:t>
      </w:r>
    </w:p>
    <w:p w:rsidR="005618F5" w:rsidRDefault="005618F5" w:rsidP="005618F5">
      <w:pPr>
        <w:spacing w:after="0"/>
      </w:pPr>
      <w:r>
        <w:t>USA</w:t>
      </w:r>
    </w:p>
    <w:p w:rsidR="005618F5" w:rsidRDefault="005618F5" w:rsidP="005618F5">
      <w:pPr>
        <w:spacing w:after="0"/>
      </w:pPr>
    </w:p>
    <w:p w:rsidR="005618F5" w:rsidRDefault="005618F5" w:rsidP="005618F5">
      <w:pPr>
        <w:spacing w:after="0"/>
      </w:pPr>
      <w:r>
        <w:t>Výrobce</w:t>
      </w:r>
    </w:p>
    <w:p w:rsidR="005618F5" w:rsidRDefault="005618F5" w:rsidP="005618F5">
      <w:pPr>
        <w:spacing w:after="0"/>
      </w:pPr>
      <w:r>
        <w:t xml:space="preserve">IDEXX </w:t>
      </w:r>
      <w:proofErr w:type="spellStart"/>
      <w:r>
        <w:t>Switzerland</w:t>
      </w:r>
      <w:proofErr w:type="spellEnd"/>
      <w:r>
        <w:t xml:space="preserve"> AG</w:t>
      </w:r>
    </w:p>
    <w:p w:rsidR="005618F5" w:rsidRDefault="005618F5" w:rsidP="005618F5">
      <w:pPr>
        <w:spacing w:after="0"/>
      </w:pPr>
    </w:p>
    <w:p w:rsidR="005618F5" w:rsidRDefault="005618F5" w:rsidP="005618F5">
      <w:pPr>
        <w:spacing w:after="0"/>
      </w:pPr>
      <w:proofErr w:type="spellStart"/>
      <w:r>
        <w:t>Stationsstrasse</w:t>
      </w:r>
      <w:proofErr w:type="spellEnd"/>
      <w:r>
        <w:t xml:space="preserve"> 12</w:t>
      </w:r>
    </w:p>
    <w:p w:rsidR="005618F5" w:rsidRDefault="005618F5" w:rsidP="005618F5">
      <w:pPr>
        <w:spacing w:after="0"/>
      </w:pPr>
      <w:r>
        <w:t xml:space="preserve">CH-3097 </w:t>
      </w:r>
      <w:proofErr w:type="spellStart"/>
      <w:r>
        <w:t>Liebefeld</w:t>
      </w:r>
      <w:proofErr w:type="spellEnd"/>
      <w:r>
        <w:t>-Bern</w:t>
      </w:r>
    </w:p>
    <w:p w:rsidR="005618F5" w:rsidRDefault="005618F5" w:rsidP="005618F5">
      <w:pPr>
        <w:spacing w:after="0"/>
      </w:pPr>
      <w:r>
        <w:t>Švýcarsko</w:t>
      </w:r>
    </w:p>
    <w:p w:rsidR="005618F5" w:rsidRDefault="005618F5" w:rsidP="005618F5">
      <w:pPr>
        <w:spacing w:after="0"/>
      </w:pPr>
    </w:p>
    <w:p w:rsidR="005618F5" w:rsidRDefault="005618F5" w:rsidP="005618F5">
      <w:pPr>
        <w:spacing w:after="0"/>
      </w:pPr>
      <w:r>
        <w:t>Zástupce pro EU</w:t>
      </w:r>
    </w:p>
    <w:p w:rsidR="005618F5" w:rsidRDefault="005618F5" w:rsidP="005618F5">
      <w:pPr>
        <w:spacing w:after="0"/>
      </w:pPr>
      <w:r>
        <w:t xml:space="preserve">IDEXX </w:t>
      </w:r>
      <w:proofErr w:type="spellStart"/>
      <w:proofErr w:type="gramStart"/>
      <w:r>
        <w:t>Europe</w:t>
      </w:r>
      <w:proofErr w:type="spellEnd"/>
      <w:r>
        <w:t xml:space="preserve"> B.V.</w:t>
      </w:r>
      <w:proofErr w:type="gramEnd"/>
    </w:p>
    <w:p w:rsidR="005618F5" w:rsidRDefault="005618F5" w:rsidP="005618F5">
      <w:pPr>
        <w:spacing w:after="0"/>
      </w:pPr>
      <w:proofErr w:type="gramStart"/>
      <w:r>
        <w:t>P.O.</w:t>
      </w:r>
      <w:proofErr w:type="gramEnd"/>
      <w:r>
        <w:t xml:space="preserve"> Box 1334</w:t>
      </w:r>
    </w:p>
    <w:p w:rsidR="005618F5" w:rsidRDefault="005618F5" w:rsidP="005618F5">
      <w:pPr>
        <w:spacing w:after="0"/>
      </w:pPr>
      <w:r>
        <w:t xml:space="preserve">2130 EK </w:t>
      </w:r>
      <w:proofErr w:type="spellStart"/>
      <w:r>
        <w:t>Hoofddorp</w:t>
      </w:r>
      <w:proofErr w:type="spellEnd"/>
    </w:p>
    <w:p w:rsidR="005618F5" w:rsidRPr="00B440A5" w:rsidRDefault="005618F5" w:rsidP="005618F5">
      <w:pPr>
        <w:spacing w:after="0"/>
      </w:pPr>
      <w:r>
        <w:t>Nizozemsko</w:t>
      </w:r>
    </w:p>
    <w:sectPr w:rsidR="005618F5" w:rsidRPr="00B4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9"/>
    <w:rsid w:val="00210380"/>
    <w:rsid w:val="002469DB"/>
    <w:rsid w:val="00332308"/>
    <w:rsid w:val="0033579C"/>
    <w:rsid w:val="00384EC1"/>
    <w:rsid w:val="00456F6B"/>
    <w:rsid w:val="004879E6"/>
    <w:rsid w:val="004F60F1"/>
    <w:rsid w:val="004F65E9"/>
    <w:rsid w:val="005618F5"/>
    <w:rsid w:val="005E56D8"/>
    <w:rsid w:val="00745733"/>
    <w:rsid w:val="008017F7"/>
    <w:rsid w:val="00B11A39"/>
    <w:rsid w:val="00B440A5"/>
    <w:rsid w:val="00B87265"/>
    <w:rsid w:val="00D845A1"/>
    <w:rsid w:val="00E41C43"/>
    <w:rsid w:val="00E52182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7F7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4879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4879E6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4879E6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4879E6"/>
    <w:rPr>
      <w:rFonts w:cs="Swiss 72 1 BT"/>
      <w:color w:val="000000"/>
      <w:sz w:val="17"/>
      <w:szCs w:val="17"/>
      <w:u w:val="single"/>
    </w:rPr>
  </w:style>
  <w:style w:type="paragraph" w:customStyle="1" w:styleId="Pa23">
    <w:name w:val="Pa23"/>
    <w:basedOn w:val="Normln"/>
    <w:next w:val="Normln"/>
    <w:uiPriority w:val="99"/>
    <w:rsid w:val="004879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4879E6"/>
    <w:rPr>
      <w:rFonts w:cs="Swiss 72 1 BT"/>
      <w:color w:val="000000"/>
      <w:sz w:val="17"/>
      <w:szCs w:val="17"/>
    </w:rPr>
  </w:style>
  <w:style w:type="character" w:customStyle="1" w:styleId="A13">
    <w:name w:val="A13"/>
    <w:uiPriority w:val="99"/>
    <w:rsid w:val="00B440A5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B440A5"/>
    <w:rPr>
      <w:rFonts w:cs="Swiss 72 1 BT"/>
      <w:strike/>
      <w:color w:val="000000"/>
      <w:sz w:val="17"/>
      <w:szCs w:val="17"/>
    </w:rPr>
  </w:style>
  <w:style w:type="paragraph" w:customStyle="1" w:styleId="Pa24">
    <w:name w:val="Pa24"/>
    <w:basedOn w:val="Normln"/>
    <w:next w:val="Normln"/>
    <w:uiPriority w:val="99"/>
    <w:rsid w:val="00B440A5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2">
    <w:name w:val="A12"/>
    <w:uiPriority w:val="99"/>
    <w:rsid w:val="00B440A5"/>
    <w:rPr>
      <w:rFonts w:cs="Swiss 72 1 BT"/>
      <w:strike/>
      <w:color w:val="000000"/>
      <w:sz w:val="17"/>
      <w:szCs w:val="17"/>
    </w:rPr>
  </w:style>
  <w:style w:type="paragraph" w:customStyle="1" w:styleId="Style8">
    <w:name w:val="Style8"/>
    <w:basedOn w:val="Normln"/>
    <w:rsid w:val="003357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3357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3357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34">
    <w:name w:val="Font Style34"/>
    <w:rsid w:val="0033579C"/>
    <w:rPr>
      <w:rFonts w:ascii="Arial Narrow" w:hAnsi="Arial Narrow" w:cs="Arial Narrow"/>
      <w:b/>
      <w:bCs/>
      <w:color w:val="000000"/>
      <w:sz w:val="18"/>
      <w:szCs w:val="18"/>
      <w:lang w:val="cs-CZ" w:eastAsia="cs-CZ"/>
    </w:rPr>
  </w:style>
  <w:style w:type="character" w:customStyle="1" w:styleId="FontStyle35">
    <w:name w:val="Font Style35"/>
    <w:rsid w:val="0033579C"/>
    <w:rPr>
      <w:rFonts w:ascii="Arial Narrow" w:hAnsi="Arial Narrow" w:cs="Arial Narrow"/>
      <w:color w:val="000000"/>
      <w:sz w:val="14"/>
      <w:szCs w:val="1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7F7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4879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9">
    <w:name w:val="A9"/>
    <w:uiPriority w:val="99"/>
    <w:rsid w:val="004879E6"/>
    <w:rPr>
      <w:rFonts w:cs="Swiss 72 1 BT"/>
      <w:color w:val="000000"/>
      <w:sz w:val="17"/>
      <w:szCs w:val="17"/>
    </w:rPr>
  </w:style>
  <w:style w:type="character" w:customStyle="1" w:styleId="A10">
    <w:name w:val="A10"/>
    <w:uiPriority w:val="99"/>
    <w:rsid w:val="004879E6"/>
    <w:rPr>
      <w:rFonts w:cs="Swiss 72 1 BT"/>
      <w:strike/>
      <w:color w:val="000000"/>
      <w:sz w:val="17"/>
      <w:szCs w:val="17"/>
    </w:rPr>
  </w:style>
  <w:style w:type="character" w:customStyle="1" w:styleId="A11">
    <w:name w:val="A11"/>
    <w:uiPriority w:val="99"/>
    <w:rsid w:val="004879E6"/>
    <w:rPr>
      <w:rFonts w:cs="Swiss 72 1 BT"/>
      <w:color w:val="000000"/>
      <w:sz w:val="17"/>
      <w:szCs w:val="17"/>
      <w:u w:val="single"/>
    </w:rPr>
  </w:style>
  <w:style w:type="paragraph" w:customStyle="1" w:styleId="Pa23">
    <w:name w:val="Pa23"/>
    <w:basedOn w:val="Normln"/>
    <w:next w:val="Normln"/>
    <w:uiPriority w:val="99"/>
    <w:rsid w:val="004879E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6">
    <w:name w:val="A6"/>
    <w:uiPriority w:val="99"/>
    <w:rsid w:val="004879E6"/>
    <w:rPr>
      <w:rFonts w:cs="Swiss 72 1 BT"/>
      <w:color w:val="000000"/>
      <w:sz w:val="17"/>
      <w:szCs w:val="17"/>
    </w:rPr>
  </w:style>
  <w:style w:type="character" w:customStyle="1" w:styleId="A13">
    <w:name w:val="A13"/>
    <w:uiPriority w:val="99"/>
    <w:rsid w:val="00B440A5"/>
    <w:rPr>
      <w:rFonts w:cs="Swiss 72 1 BT"/>
      <w:color w:val="000000"/>
      <w:sz w:val="17"/>
      <w:szCs w:val="17"/>
    </w:rPr>
  </w:style>
  <w:style w:type="character" w:customStyle="1" w:styleId="A14">
    <w:name w:val="A14"/>
    <w:uiPriority w:val="99"/>
    <w:rsid w:val="00B440A5"/>
    <w:rPr>
      <w:rFonts w:cs="Swiss 72 1 BT"/>
      <w:strike/>
      <w:color w:val="000000"/>
      <w:sz w:val="17"/>
      <w:szCs w:val="17"/>
    </w:rPr>
  </w:style>
  <w:style w:type="paragraph" w:customStyle="1" w:styleId="Pa24">
    <w:name w:val="Pa24"/>
    <w:basedOn w:val="Normln"/>
    <w:next w:val="Normln"/>
    <w:uiPriority w:val="99"/>
    <w:rsid w:val="00B440A5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customStyle="1" w:styleId="A12">
    <w:name w:val="A12"/>
    <w:uiPriority w:val="99"/>
    <w:rsid w:val="00B440A5"/>
    <w:rPr>
      <w:rFonts w:cs="Swiss 72 1 BT"/>
      <w:strike/>
      <w:color w:val="000000"/>
      <w:sz w:val="17"/>
      <w:szCs w:val="17"/>
    </w:rPr>
  </w:style>
  <w:style w:type="paragraph" w:customStyle="1" w:styleId="Style8">
    <w:name w:val="Style8"/>
    <w:basedOn w:val="Normln"/>
    <w:rsid w:val="003357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12">
    <w:name w:val="Style12"/>
    <w:basedOn w:val="Normln"/>
    <w:rsid w:val="003357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18">
    <w:name w:val="Style18"/>
    <w:basedOn w:val="Normln"/>
    <w:rsid w:val="003357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34">
    <w:name w:val="Font Style34"/>
    <w:rsid w:val="0033579C"/>
    <w:rPr>
      <w:rFonts w:ascii="Arial Narrow" w:hAnsi="Arial Narrow" w:cs="Arial Narrow"/>
      <w:b/>
      <w:bCs/>
      <w:color w:val="000000"/>
      <w:sz w:val="18"/>
      <w:szCs w:val="18"/>
      <w:lang w:val="cs-CZ" w:eastAsia="cs-CZ"/>
    </w:rPr>
  </w:style>
  <w:style w:type="character" w:customStyle="1" w:styleId="FontStyle35">
    <w:name w:val="Font Style35"/>
    <w:rsid w:val="0033579C"/>
    <w:rPr>
      <w:rFonts w:ascii="Arial Narrow" w:hAnsi="Arial Narrow" w:cs="Arial Narrow"/>
      <w:color w:val="000000"/>
      <w:sz w:val="14"/>
      <w:szCs w:val="1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Formánková Marie</cp:lastModifiedBy>
  <cp:revision>12</cp:revision>
  <dcterms:created xsi:type="dcterms:W3CDTF">2016-07-19T14:41:00Z</dcterms:created>
  <dcterms:modified xsi:type="dcterms:W3CDTF">2016-07-20T09:30:00Z</dcterms:modified>
</cp:coreProperties>
</file>