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C0" w:rsidRPr="002C7F15" w:rsidRDefault="00835B2F" w:rsidP="00A547BA">
      <w:pPr>
        <w:spacing w:line="276" w:lineRule="auto"/>
        <w:outlineLvl w:val="0"/>
        <w:rPr>
          <w:rFonts w:ascii="Times New Roman" w:hAnsi="Times New Roman" w:cs="Times New Roman"/>
          <w:sz w:val="36"/>
          <w:szCs w:val="16"/>
        </w:rPr>
      </w:pPr>
      <w:bookmarkStart w:id="0" w:name="bookmark0"/>
      <w:r w:rsidRPr="002C7F15">
        <w:rPr>
          <w:rFonts w:ascii="Times New Roman" w:hAnsi="Times New Roman" w:cs="Times New Roman"/>
          <w:sz w:val="36"/>
          <w:szCs w:val="36"/>
          <w:lang w:bidi="cs-CZ"/>
        </w:rPr>
        <w:t>Souprava VetMAX™ BVDV 4ALL</w:t>
      </w:r>
      <w:bookmarkEnd w:id="0"/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22"/>
          <w:szCs w:val="16"/>
        </w:rPr>
      </w:pPr>
      <w:bookmarkStart w:id="1" w:name="bookmark1"/>
      <w:r w:rsidRPr="002C7F15">
        <w:rPr>
          <w:rFonts w:ascii="Times New Roman" w:hAnsi="Times New Roman" w:cs="Times New Roman"/>
          <w:sz w:val="22"/>
          <w:szCs w:val="22"/>
          <w:lang w:bidi="cs-CZ"/>
        </w:rPr>
        <w:t>TaqMan® RT-PCR v reálném čase pro detekci viru způsobujícího BVD (typ 1, 2 a 3) a pestivirózu ovcí (BD, typ 1 až 6)</w:t>
      </w:r>
      <w:bookmarkEnd w:id="1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20"/>
          <w:szCs w:val="16"/>
        </w:rPr>
      </w:pPr>
      <w:bookmarkStart w:id="2" w:name="bookmark2"/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t>Katalogové číslo</w:t>
      </w:r>
      <w:r w:rsidRPr="002C7F15">
        <w:rPr>
          <w:rFonts w:ascii="Times New Roman" w:hAnsi="Times New Roman" w:cs="Times New Roman"/>
          <w:sz w:val="20"/>
          <w:szCs w:val="20"/>
          <w:lang w:bidi="cs-CZ"/>
        </w:rPr>
        <w:t xml:space="preserve"> BVD4ALL</w:t>
      </w:r>
      <w:bookmarkEnd w:id="2"/>
    </w:p>
    <w:p w:rsidR="002F69C0" w:rsidRPr="002C7F15" w:rsidRDefault="00835B2F" w:rsidP="00A547BA">
      <w:pPr>
        <w:tabs>
          <w:tab w:val="left" w:pos="1843"/>
        </w:tabs>
        <w:spacing w:line="276" w:lineRule="auto"/>
        <w:outlineLvl w:val="3"/>
        <w:rPr>
          <w:rFonts w:ascii="Times New Roman" w:hAnsi="Times New Roman" w:cs="Times New Roman"/>
          <w:sz w:val="16"/>
          <w:szCs w:val="16"/>
        </w:rPr>
      </w:pPr>
      <w:bookmarkStart w:id="3" w:name="bookmark3"/>
      <w:r w:rsidRPr="002C7F15">
        <w:rPr>
          <w:rFonts w:ascii="Times New Roman" w:hAnsi="Times New Roman" w:cs="Times New Roman"/>
          <w:b/>
          <w:sz w:val="16"/>
          <w:szCs w:val="16"/>
          <w:lang w:bidi="cs-CZ"/>
        </w:rPr>
        <w:t>Publikace č.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MAN0008959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ab/>
      </w:r>
      <w:r w:rsidRPr="002C7F15">
        <w:rPr>
          <w:rFonts w:ascii="Times New Roman" w:hAnsi="Times New Roman" w:cs="Times New Roman"/>
          <w:b/>
          <w:sz w:val="16"/>
          <w:szCs w:val="16"/>
          <w:lang w:bidi="cs-CZ"/>
        </w:rPr>
        <w:t>Rev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>. B.0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2064"/>
        <w:gridCol w:w="3149"/>
        <w:gridCol w:w="3110"/>
      </w:tblGrid>
      <w:tr w:rsidR="002F69C0" w:rsidRPr="002C7F15" w:rsidTr="00DB4392">
        <w:trPr>
          <w:trHeight w:val="31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Technologie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Druhy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Nukleová kyselina izolovaná z matric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Typ testu</w:t>
            </w:r>
          </w:p>
        </w:tc>
      </w:tr>
      <w:tr w:rsidR="002F69C0" w:rsidRPr="002C7F15" w:rsidTr="00DB4392">
        <w:trPr>
          <w:trHeight w:val="109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Real-time RT-PCR (RNA)</w:t>
            </w:r>
          </w:p>
          <w:p w:rsidR="002F69C0" w:rsidRPr="002C7F15" w:rsidRDefault="00835B2F" w:rsidP="00F82BC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4" w:hanging="218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Duplexní test</w:t>
            </w:r>
          </w:p>
          <w:p w:rsidR="002F69C0" w:rsidRPr="002C7F15" w:rsidRDefault="00835B2F" w:rsidP="00F82BC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4" w:hanging="218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Endogenní nebo exogenní (pouze pro sérum) IPC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Skot</w:t>
            </w:r>
          </w:p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Ovce</w:t>
            </w:r>
          </w:p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Kozy</w:t>
            </w:r>
          </w:p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Volně žijící přežvýkavci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Krev</w:t>
            </w:r>
          </w:p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Sérum</w:t>
            </w:r>
          </w:p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Biopsie z uší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Individuální nebo sdružený</w:t>
            </w:r>
          </w:p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(podle typu vzorku a použitého protokolu purifikace)</w:t>
            </w:r>
          </w:p>
        </w:tc>
      </w:tr>
    </w:tbl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0054"/>
      </w:tblGrid>
      <w:tr w:rsidR="002F69C0" w:rsidRPr="002C7F15" w:rsidTr="00336401">
        <w:trPr>
          <w:trHeight w:val="521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9C0" w:rsidRPr="002C7F15" w:rsidRDefault="00F730CD" w:rsidP="00A547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noProof/>
                <w:sz w:val="18"/>
                <w:szCs w:val="18"/>
                <w:lang w:val="en-US" w:bidi="ar-SA"/>
              </w:rPr>
              <w:drawing>
                <wp:inline distT="0" distB="0" distL="0" distR="0" wp14:anchorId="780BEB81" wp14:editId="7C56AFF1">
                  <wp:extent cx="257175" cy="219075"/>
                  <wp:effectExtent l="0" t="0" r="9525" b="9525"/>
                  <wp:docPr id="1" name="Obrázek 1" descr="C:\Users\uzivatel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zivatel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8"/>
                <w:szCs w:val="18"/>
                <w:lang w:bidi="cs-CZ"/>
              </w:rPr>
              <w:t>VAROVÁNÍ!</w:t>
            </w: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 xml:space="preserve"> Přečtěte si bezpečnostní listy (SDS) a dodržujte pokyny k manipulaci. Používejte vhodné ochranné brýle, oděv a rukavice. Bezpečnostní listy (BL) jsou k dispozici na adrese </w:t>
            </w:r>
            <w:r w:rsidRPr="002C7F15">
              <w:rPr>
                <w:rFonts w:ascii="Times New Roman" w:hAnsi="Times New Roman" w:cs="Times New Roman"/>
                <w:b/>
                <w:sz w:val="18"/>
                <w:szCs w:val="18"/>
                <w:lang w:bidi="cs-CZ"/>
              </w:rPr>
              <w:t>thermofisher.com/support.</w:t>
            </w:r>
          </w:p>
        </w:tc>
      </w:tr>
      <w:tr w:rsidR="002F69C0" w:rsidRPr="002C7F15" w:rsidTr="00336401">
        <w:trPr>
          <w:trHeight w:val="79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9C0" w:rsidRPr="002C7F15" w:rsidRDefault="002F69C0" w:rsidP="00A547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9C0" w:rsidRPr="002C7F15" w:rsidRDefault="002F69C0" w:rsidP="00A547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9C0" w:rsidRPr="002C7F15" w:rsidTr="00336401">
        <w:trPr>
          <w:trHeight w:val="56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F730CD" w:rsidP="00A547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noProof/>
                <w:sz w:val="18"/>
                <w:szCs w:val="18"/>
                <w:lang w:val="en-US" w:bidi="ar-SA"/>
              </w:rPr>
              <w:drawing>
                <wp:inline distT="0" distB="0" distL="0" distR="0" wp14:anchorId="24A8A8F6" wp14:editId="7566BB4F">
                  <wp:extent cx="266700" cy="219075"/>
                  <wp:effectExtent l="0" t="0" r="0" b="9525"/>
                  <wp:docPr id="2" name="Obrázek 2" descr="C:\Users\uzivatel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zivatel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8"/>
                <w:szCs w:val="18"/>
                <w:lang w:bidi="cs-CZ"/>
              </w:rPr>
              <w:t>VAROVÁNÍ! POTENCIÁLNÍ BIOLOGICKÉ NEBEZPEČÍ.</w:t>
            </w: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 xml:space="preserve"> Přečtěte si bezpečnostní informace o biologickém nebezpečí na stránce daného výrobku na adrese </w:t>
            </w:r>
            <w:r w:rsidRPr="002C7F15">
              <w:rPr>
                <w:rFonts w:ascii="Times New Roman" w:hAnsi="Times New Roman" w:cs="Times New Roman"/>
                <w:b/>
                <w:sz w:val="18"/>
                <w:szCs w:val="18"/>
                <w:lang w:bidi="cs-CZ"/>
              </w:rPr>
              <w:t>termofisher.com</w:t>
            </w: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>. Používejte vhodné ochranné brýle, oděv a rukavice.</w:t>
            </w:r>
          </w:p>
        </w:tc>
      </w:tr>
    </w:tbl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4" w:name="bookmark4"/>
      <w:r w:rsidRPr="002C7F15">
        <w:rPr>
          <w:rFonts w:ascii="Times New Roman" w:hAnsi="Times New Roman" w:cs="Times New Roman"/>
          <w:b/>
          <w:sz w:val="22"/>
          <w:szCs w:val="22"/>
          <w:lang w:bidi="cs-CZ"/>
        </w:rPr>
        <w:t>Informace o výrobku</w:t>
      </w:r>
      <w:bookmarkEnd w:id="4"/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outlineLvl w:val="1"/>
        <w:rPr>
          <w:rFonts w:ascii="Times New Roman" w:hAnsi="Times New Roman" w:cs="Times New Roman"/>
          <w:b/>
          <w:sz w:val="20"/>
          <w:szCs w:val="16"/>
        </w:rPr>
      </w:pPr>
      <w:bookmarkStart w:id="5" w:name="bookmark5"/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t>Popis výrobku</w:t>
      </w:r>
      <w:bookmarkEnd w:id="5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C7F15">
        <w:rPr>
          <w:rFonts w:ascii="Times New Roman" w:hAnsi="Times New Roman" w:cs="Times New Roman"/>
          <w:b/>
          <w:sz w:val="16"/>
          <w:szCs w:val="16"/>
          <w:lang w:bidi="cs-CZ"/>
        </w:rPr>
        <w:t>Souprava Applied Biosystems™ VetMAX™ BVDV 4ALL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byla vyvinuta pro detekci sekvence z 5'UTR oblasti virového genomu (RNA) virů BVD (Bovine Viral Diarrhea) a BD (Border Disease). Souprava je vhodná pro všechny přežvýkavce: skot, malé přežvýkavce a volně žijící přežvýkavce.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Může být použita k detekci virové RNA extrahované ze </w:t>
      </w:r>
      <w:r w:rsidRPr="002C7F15">
        <w:rPr>
          <w:rFonts w:ascii="Times New Roman" w:hAnsi="Times New Roman" w:cs="Times New Roman"/>
          <w:b/>
          <w:sz w:val="16"/>
          <w:szCs w:val="16"/>
          <w:lang w:bidi="cs-CZ"/>
        </w:rPr>
        <w:t xml:space="preserve">séra, plné krve odebrané do EDTA zkumavek 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a ze vzorků </w:t>
      </w:r>
      <w:r w:rsidRPr="002C7F15">
        <w:rPr>
          <w:rFonts w:ascii="Times New Roman" w:hAnsi="Times New Roman" w:cs="Times New Roman"/>
          <w:b/>
          <w:sz w:val="16"/>
          <w:szCs w:val="16"/>
          <w:lang w:bidi="cs-CZ"/>
        </w:rPr>
        <w:t>ušní biopsie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. V případě vzorků z ušní biopsie lze extrahovat virovou RNA pomocí </w:t>
      </w:r>
      <w:r w:rsidRPr="002C7F15">
        <w:rPr>
          <w:rFonts w:ascii="Times New Roman" w:hAnsi="Times New Roman" w:cs="Times New Roman"/>
          <w:b/>
          <w:sz w:val="16"/>
          <w:szCs w:val="16"/>
          <w:lang w:bidi="cs-CZ"/>
        </w:rPr>
        <w:t>rychlé lyzační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metody [například souprava </w:t>
      </w:r>
      <w:r w:rsidRPr="002C7F15">
        <w:rPr>
          <w:rFonts w:ascii="Times New Roman" w:hAnsi="Times New Roman" w:cs="Times New Roman"/>
          <w:b/>
          <w:sz w:val="16"/>
          <w:szCs w:val="16"/>
          <w:lang w:bidi="cs-CZ"/>
        </w:rPr>
        <w:t>VetMAX™ Ear Notch Fast Lysis Kit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(kat. č. FLK)]. Kompletní protokoly pro extrakci virové RNA z těchto matric jsou k dispozici na vyžádání od Technické podpory.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V závislosti na použitém protokolu izolace virové RNA a na typu vzorku lze soupravu </w:t>
      </w:r>
      <w:r w:rsidRPr="002C7F15">
        <w:rPr>
          <w:rFonts w:ascii="Times New Roman" w:hAnsi="Times New Roman" w:cs="Times New Roman"/>
          <w:b/>
          <w:sz w:val="16"/>
          <w:szCs w:val="16"/>
          <w:lang w:bidi="cs-CZ"/>
        </w:rPr>
        <w:t xml:space="preserve">etMAX™ BVDV 4ALL 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>použít na jednotlivé nebo sdružené vzorky (podle národních, regionálních nebo místních předpisů).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C7F15">
        <w:rPr>
          <w:rFonts w:ascii="Times New Roman" w:hAnsi="Times New Roman" w:cs="Times New Roman"/>
          <w:sz w:val="16"/>
          <w:szCs w:val="16"/>
          <w:lang w:bidi="cs-CZ"/>
        </w:rPr>
        <w:t>Každý vzorek RNA získaný po extrakci nebo rychlé lýze je analyzován v jedné jamce: stejná jamka je použita ke specifické detekci virové RNA virů BVD a BD a k detekci IPC (interní pozitivní kontroly). Pozitivní IPC znamená jak úspěšnou extrakci, tak i nepřítomnost inhibitorů PCR ve vzorku. Cílová struktura IPC je endogenní pro buněčné vzorky (krev a materiál z ucha). Vzorky séra vyžadují přidání exogenního IPC (dodaného se soupravou) před extrakcí virové RNA.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outlineLvl w:val="1"/>
        <w:rPr>
          <w:rFonts w:ascii="Times New Roman" w:hAnsi="Times New Roman" w:cs="Times New Roman"/>
          <w:b/>
          <w:sz w:val="20"/>
          <w:szCs w:val="16"/>
        </w:rPr>
      </w:pPr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t>Obsah soupravy a skladování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Po převzetí musí být celá souprava uložena při teplotě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-30 °C až -10 °C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>. Při prvním použití soupravy postupujte podle doporučení pro skladování, která jsou uvedena pro každou jednotlivou složku v následující tabulce: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5054"/>
        <w:gridCol w:w="1080"/>
        <w:gridCol w:w="1435"/>
        <w:gridCol w:w="1498"/>
      </w:tblGrid>
      <w:tr w:rsidR="002F69C0" w:rsidRPr="002C7F15" w:rsidTr="00A547BA">
        <w:trPr>
          <w:trHeight w:val="326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Popis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7BA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Objem</w:t>
            </w:r>
          </w:p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(100 25 μl reakcí)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Skladování</w:t>
            </w:r>
          </w:p>
        </w:tc>
      </w:tr>
      <w:tr w:rsidR="002F69C0" w:rsidRPr="002C7F15" w:rsidTr="00231FB8">
        <w:trPr>
          <w:trHeight w:val="528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2F69C0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2F69C0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2F69C0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Po obdržení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Po prvním použití</w:t>
            </w:r>
          </w:p>
        </w:tc>
      </w:tr>
      <w:tr w:rsidR="002F69C0" w:rsidRPr="002C7F15" w:rsidTr="00231FB8">
        <w:trPr>
          <w:trHeight w:val="159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3 - Mix BVDV 4ALL</w:t>
            </w:r>
          </w:p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(Zelená zkumavka)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Mix pro TaqMan® RT-PCR. Obsahuje:</w:t>
            </w:r>
          </w:p>
          <w:p w:rsidR="002F69C0" w:rsidRPr="002C7F15" w:rsidRDefault="00835B2F" w:rsidP="000C3E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1" w:hanging="218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Detekční systém pro cílové struktury BVDV: přední (forward) primer a reverzní primer, a dále sondu TaqMan® označenou symbolem 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FAM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™ - 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NFQ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(NFQ = nefluorescenční zhášeč).</w:t>
            </w:r>
          </w:p>
          <w:p w:rsidR="002F69C0" w:rsidRPr="002C7F15" w:rsidRDefault="00835B2F" w:rsidP="000C3E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1" w:hanging="218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Detekční systém pro IPC: přední (forward) a reverzní primery a sondu TaqMan® označenou symbolem 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VIC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™ - 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TAMRA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™.</w:t>
            </w:r>
          </w:p>
          <w:p w:rsidR="002F69C0" w:rsidRPr="002C7F15" w:rsidRDefault="00835B2F" w:rsidP="000C3E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1" w:hanging="218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Pufr, reverzní transkriptázu a PCR enzym.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4 x 500 μl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-30°C až -10°C</w:t>
            </w:r>
          </w:p>
        </w:tc>
      </w:tr>
      <w:tr w:rsidR="002F69C0" w:rsidRPr="002C7F15" w:rsidTr="00A547BA">
        <w:trPr>
          <w:trHeight w:val="68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4c - EPC BVDV 4ALL</w:t>
            </w:r>
          </w:p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(Modrá zkumavka)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Externí pozitivní kontrola:</w:t>
            </w:r>
          </w:p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BVDV pozitivní kontrola. Jedná se o neaktivní biologickou reagencii, která má 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být extrahována nebo lyzována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a poté amplifikována během RT-PCR v reálném čase.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150 μl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-30°C až -10°C</w:t>
            </w:r>
          </w:p>
        </w:tc>
      </w:tr>
      <w:tr w:rsidR="002F69C0" w:rsidRPr="002C7F15" w:rsidTr="00A547BA">
        <w:trPr>
          <w:trHeight w:val="11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5 - IPC BVDV 4ALL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(1)</w:t>
            </w:r>
          </w:p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(Žlutá zkumavka)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Interní pozitivní kontrola (pouze pro sérum):</w:t>
            </w:r>
          </w:p>
          <w:p w:rsidR="002F69C0" w:rsidRPr="002C7F15" w:rsidRDefault="00835B2F" w:rsidP="00A547B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Exogenní interní kontrola, 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která se přidává do lyzačního roztoku použitého k extrakci RNA ze vzorků séra a k pozitivním a negativním extrakčním kontrolám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. Může se také použit pouze jako amplifikační kontrola, pokud je přidána k extrahované RNA.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500 μl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A54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-30°C až -10°C</w:t>
            </w:r>
          </w:p>
        </w:tc>
      </w:tr>
    </w:tbl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(1)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Pro malé extrakční řady se doporučuje připravit alikvoty 5-IPC BVDV 4ALL v minimálním objemu 50 μl, aby se zamezilo více než 3 cyklům zmrazení/rozmrazení.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547BA" w:rsidRPr="002C7F15" w:rsidRDefault="00A547BA" w:rsidP="00A547BA">
      <w:pPr>
        <w:spacing w:line="276" w:lineRule="auto"/>
        <w:outlineLvl w:val="3"/>
        <w:rPr>
          <w:rFonts w:ascii="Times New Roman" w:hAnsi="Times New Roman" w:cs="Times New Roman"/>
          <w:sz w:val="18"/>
          <w:szCs w:val="18"/>
        </w:rPr>
        <w:sectPr w:rsidR="00A547BA" w:rsidRPr="002C7F15" w:rsidSect="00F730CD">
          <w:headerReference w:type="default" r:id="rId10"/>
          <w:type w:val="continuous"/>
          <w:pgSz w:w="11909" w:h="16834"/>
          <w:pgMar w:top="709" w:right="569" w:bottom="709" w:left="567" w:header="0" w:footer="3" w:gutter="0"/>
          <w:cols w:space="720"/>
          <w:noEndnote/>
          <w:docGrid w:linePitch="360"/>
        </w:sectPr>
      </w:pPr>
      <w:bookmarkStart w:id="6" w:name="bookmark6"/>
    </w:p>
    <w:p w:rsidR="002F69C0" w:rsidRPr="002C7F15" w:rsidRDefault="00835B2F" w:rsidP="005E1BA1">
      <w:pPr>
        <w:spacing w:line="276" w:lineRule="auto"/>
        <w:outlineLvl w:val="1"/>
        <w:rPr>
          <w:rFonts w:ascii="Times New Roman" w:hAnsi="Times New Roman" w:cs="Times New Roman"/>
          <w:b/>
          <w:sz w:val="20"/>
          <w:szCs w:val="16"/>
        </w:rPr>
      </w:pPr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lastRenderedPageBreak/>
        <w:t>Extrakční a amplifikační kontroly</w:t>
      </w:r>
      <w:bookmarkEnd w:id="6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Souprava VetMAX ™ BVDV 4ALL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obsahuje 2 kontroly, které umožňují validovat extrakci a amplifikaci virové RNA.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4c - EPC BVDV 4ALL: BVDV positive control (pozitivní kontrola)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Extrahujte nebo lyzujte 4c - EPC BVDV 4ALL současně se vzorky, jak je popsáno v následující tabulce.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3682"/>
        <w:gridCol w:w="3691"/>
      </w:tblGrid>
      <w:tr w:rsidR="002F69C0" w:rsidRPr="002C7F15" w:rsidTr="000E1452">
        <w:trPr>
          <w:trHeight w:val="30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0E14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Extrakční nebo lyzační metoda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0E14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Použijte tento objem 4c - EPC BVDV 4ALL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0E14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Použijte tento eluční objem</w:t>
            </w:r>
          </w:p>
        </w:tc>
      </w:tr>
      <w:tr w:rsidR="002F69C0" w:rsidRPr="002C7F15" w:rsidTr="000E1452">
        <w:trPr>
          <w:trHeight w:val="30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0E1452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Silika kolony nebo magnetické kuličky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0E14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50 μl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0E14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50-80 </w:t>
            </w:r>
            <w:r w:rsidR="000E1452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</w:tr>
      <w:tr w:rsidR="002F69C0" w:rsidRPr="002C7F15" w:rsidTr="000E1452">
        <w:trPr>
          <w:trHeight w:val="31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0E1452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Rychlá lýza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0E14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50 </w:t>
            </w:r>
            <w:r w:rsidR="000E1452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0E14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-</w:t>
            </w:r>
          </w:p>
        </w:tc>
      </w:tr>
    </w:tbl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RNA extrahovanou z 4c - EPC BVDV 4ALL uchovávejte při teplotě nižší než -16 °C. V případě potřeby skladujte v menších alikvotech, aby se zamezilo více než 3 cyklům zmrazení-rozmrazení.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Pozitivní výsledek v rámci specifikovaného rozsahu Ct se používá k validaci extrakce a amplifikace cílové struktury BVDV pomocí RT-PCR v reálném čase.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bookmarkStart w:id="7" w:name="bookmark7"/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 xml:space="preserve">5 - IPC BVDV 4ALL: </w:t>
      </w:r>
      <w:r w:rsidR="005544AE" w:rsidRPr="002C7F15">
        <w:rPr>
          <w:rFonts w:ascii="Times New Roman" w:hAnsi="Times New Roman" w:cs="Times New Roman"/>
          <w:b/>
          <w:sz w:val="18"/>
          <w:szCs w:val="18"/>
        </w:rPr>
        <w:t>exogenous Internal Positive Control</w:t>
      </w:r>
      <w:r w:rsidR="00D55649" w:rsidRPr="002C7F15">
        <w:rPr>
          <w:rFonts w:ascii="Times New Roman" w:hAnsi="Times New Roman" w:cs="Times New Roman"/>
          <w:b/>
          <w:sz w:val="18"/>
          <w:szCs w:val="18"/>
        </w:rPr>
        <w:t xml:space="preserve"> (for serum only)</w:t>
      </w:r>
      <w:r w:rsidR="005544AE" w:rsidRPr="002C7F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55649" w:rsidRPr="002C7F15">
        <w:rPr>
          <w:rFonts w:ascii="Times New Roman" w:hAnsi="Times New Roman" w:cs="Times New Roman"/>
          <w:b/>
          <w:sz w:val="18"/>
          <w:szCs w:val="18"/>
        </w:rPr>
        <w:t>(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exogenní interní pozitivní kontrola</w:t>
      </w:r>
      <w:r w:rsidR="00D55649" w:rsidRPr="002C7F15">
        <w:rPr>
          <w:rFonts w:ascii="Times New Roman" w:hAnsi="Times New Roman" w:cs="Times New Roman"/>
          <w:b/>
          <w:sz w:val="18"/>
          <w:szCs w:val="18"/>
          <w:lang w:bidi="cs-CZ"/>
        </w:rPr>
        <w:t>)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 xml:space="preserve"> (pouze pro sérum)</w:t>
      </w:r>
      <w:bookmarkEnd w:id="7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Vzorky séra vyžadují exogenní zdroj IPC; tato složka se přidává do lyzačního roztoku používaného k extrakci RNA ze vzorků séra, a dále k přípravě pozitivního kontrolního vzorku BVDV a negativního extrakčního kontrolního vzorku (NCS). Cílová struktura IPC je již přítomna v buněčných vzorcích (vzorky krve a ušní biopsie), to znamená, že k těmto vzorkům již není nutné přidávat 5-IPC BVDV 4ALL.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Pro extrakční řady, které zahrnují pouze vzorky séra, přidejte 5 μl 5-IPC BVDV 4ALL do lyzačního pufru během extrakce RNA ze vzorků, pozitivní kontroly BVDV a NCS. Alternativně při použití pouze jako kontrola amplifikace přidejte 5 μl 5-IPC BVDV 4ALL do 50 μl extrahované RNA.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Pro extrakční řady, které neobsahují vzorky séra, připravte lyzační roztok bez 5-IPC BVDV 4ALL pro buněčné vzorky, pozitivní kontrolu BVDV a NCS.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Pro extrakční řady, které obsahují vzorky séra i buněčné vzorky:</w:t>
      </w:r>
    </w:p>
    <w:p w:rsidR="002F69C0" w:rsidRPr="002C7F15" w:rsidRDefault="00835B2F" w:rsidP="00466AB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Přidejte 5 μL 5-IPC BVDV 4ALL do lyzačního pufru pro vzorky séra, pozitivní kontroly BVDV a NCS.</w:t>
      </w:r>
    </w:p>
    <w:p w:rsidR="002F69C0" w:rsidRPr="002C7F15" w:rsidRDefault="00835B2F" w:rsidP="00466AB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Připravte lyzační roztok bez 5-IPC BVDV 4ALL pro buněčné vzorky v extrakčních řadách.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Kritéria pro validaci vzorků nebo kontrol naleznete v hodnotách Ct pro cílové struktury IPC v částech „Validace“ a „Interpretace výsledků“.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Pro konfirmaci správné analýzy doporučujeme zahrnout dvě negativní kontroly: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bookmarkStart w:id="8" w:name="bookmark8"/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NCS: negative extraction control (NCS: negativní extrakční kontrola)</w:t>
      </w:r>
      <w:bookmarkEnd w:id="8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Tato kontrola sestává z reagencií použitých při extrakci bez přidání vzorku (objem vzorku může být nahrazen pufrem použitým při přípravě vzorku nebo vodou bez DNázy/RNázy), které procházejí stejným zpracováním jako vzorky.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Tato kontrola umožňuje validovat nepřítomnost kontaminace během extrakce a reakcí RT-PCR v reálném čase. Kritéria pro validaci nepřítomnosti kontaminace viz hodnoty Ct pro NCS v části „Validace“.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bookmarkStart w:id="9" w:name="bookmark9"/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NC: negative amplification control (</w:t>
      </w:r>
      <w:r w:rsidR="00E93B5A" w:rsidRPr="002C7F15">
        <w:rPr>
          <w:rFonts w:ascii="Times New Roman" w:hAnsi="Times New Roman" w:cs="Times New Roman"/>
          <w:b/>
          <w:sz w:val="18"/>
          <w:szCs w:val="18"/>
          <w:lang w:bidi="cs-CZ"/>
        </w:rPr>
        <w:t>n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egativní amplifikační kontrola)</w:t>
      </w:r>
      <w:bookmarkEnd w:id="9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Jedná se o amplifikační mix deponovaný na destičce během přípravy RT-PCR v reálném čase, s přidáním 5 μl vody bez DNázy/RNázy k úpravě reakce na 25 μl nebo 15 μl v závislosti na typu aplikace (závisí na metodě extrakce virové RNA). U všech matric vzorku tato kontrola potvrzuje nepřítomnost kontaminace během přípravy RT-PCR reakce v reálném čase, pokud je negativní pro všechny cíle (BVDV a IPC).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5E1BA1">
      <w:pPr>
        <w:spacing w:line="276" w:lineRule="auto"/>
        <w:outlineLvl w:val="1"/>
        <w:rPr>
          <w:rFonts w:ascii="Times New Roman" w:hAnsi="Times New Roman" w:cs="Times New Roman"/>
          <w:b/>
          <w:sz w:val="20"/>
          <w:szCs w:val="16"/>
        </w:rPr>
      </w:pPr>
      <w:bookmarkStart w:id="10" w:name="bookmark10"/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t>Požadované materiály, které nejsou součástí dodávky</w:t>
      </w:r>
      <w:bookmarkEnd w:id="10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Pokud není uvedeno jinak, jsou všechny materiály k dispozici na stránce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thermofisher.com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>.</w:t>
      </w:r>
    </w:p>
    <w:p w:rsidR="002F69C0" w:rsidRPr="002C7F15" w:rsidRDefault="00835B2F" w:rsidP="00466AB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Nastavitelné mikropipety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(rozmezí od 1 μl do 1000 μl) s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 xml:space="preserve">filtrovanými 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>špičkami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 xml:space="preserve"> 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>bez DNázy/RNázy.</w:t>
      </w:r>
    </w:p>
    <w:p w:rsidR="002F69C0" w:rsidRPr="002C7F15" w:rsidRDefault="00835B2F" w:rsidP="00466AB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Voda bez DNázy/RNázy</w:t>
      </w:r>
    </w:p>
    <w:p w:rsidR="002F69C0" w:rsidRPr="002C7F15" w:rsidRDefault="00835B2F" w:rsidP="00466AB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1X TE pufr</w:t>
      </w:r>
    </w:p>
    <w:p w:rsidR="002F69C0" w:rsidRPr="002C7F15" w:rsidRDefault="00835B2F" w:rsidP="00466AB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1X PBS pufr</w:t>
      </w:r>
    </w:p>
    <w:p w:rsidR="002F69C0" w:rsidRPr="002C7F15" w:rsidRDefault="00835B2F" w:rsidP="00A547B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 xml:space="preserve">Termocykler pro PCR c reálném čase 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schopný detekovat následující fluorofory: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FAM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™ (emisní maximum: λ515 nm);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VIC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>™ (emisní maximum: λ554 nm); a ROX™ pasivní reference</w:t>
      </w:r>
    </w:p>
    <w:p w:rsidR="002F69C0" w:rsidRPr="002C7F15" w:rsidRDefault="00835B2F" w:rsidP="00466AB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Spotřební materiál potřebné optické kvality kompatibilní s termocyklerem:</w:t>
      </w:r>
    </w:p>
    <w:p w:rsidR="002F69C0" w:rsidRPr="002C7F15" w:rsidRDefault="00835B2F" w:rsidP="00466AB3">
      <w:pPr>
        <w:pStyle w:val="ListParagraph"/>
        <w:numPr>
          <w:ilvl w:val="1"/>
          <w:numId w:val="2"/>
        </w:numPr>
        <w:spacing w:line="276" w:lineRule="auto"/>
        <w:ind w:left="993" w:hanging="284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96-jamkové PCR destičky, PCR stripy (8 nebo 12 jamek), mikrozkumavky nebo kapiláry</w:t>
      </w:r>
    </w:p>
    <w:p w:rsidR="002F69C0" w:rsidRPr="002C7F15" w:rsidRDefault="00835B2F" w:rsidP="00466AB3">
      <w:pPr>
        <w:pStyle w:val="ListParagraph"/>
        <w:numPr>
          <w:ilvl w:val="1"/>
          <w:numId w:val="2"/>
        </w:numPr>
        <w:spacing w:line="276" w:lineRule="auto"/>
        <w:ind w:left="993" w:hanging="284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Filmy nebo kompatibilní uzávěry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1A5D85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r w:rsidRPr="002C7F15">
        <w:rPr>
          <w:rFonts w:ascii="Times New Roman" w:hAnsi="Times New Roman" w:cs="Times New Roman"/>
          <w:b/>
          <w:sz w:val="22"/>
          <w:szCs w:val="22"/>
          <w:lang w:bidi="cs-CZ"/>
        </w:rPr>
        <w:t>Postup analýzy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Reakční objem RT-PCR v reálném čase je 25 μl nebo 15 μl v závislosti na typu aplikace (závisí na použité metodě extrakce virové RNA):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4147"/>
        <w:gridCol w:w="3538"/>
      </w:tblGrid>
      <w:tr w:rsidR="002F69C0" w:rsidRPr="002C7F15" w:rsidTr="001A5D85">
        <w:trPr>
          <w:trHeight w:val="47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1A5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Rekonstituce reakčního mixu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1A5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Standardní aplikace</w:t>
            </w:r>
          </w:p>
          <w:p w:rsidR="002F69C0" w:rsidRPr="002C7F15" w:rsidRDefault="00835B2F" w:rsidP="001A5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(RNA extrahovaná na kolonách nebo magnetickými kuličkami)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1A5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Rychlá aplikace lýzy pro vzorky biopsie ucha</w:t>
            </w:r>
          </w:p>
          <w:p w:rsidR="002F69C0" w:rsidRPr="002C7F15" w:rsidRDefault="00835B2F" w:rsidP="001A5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(RNA extrahovaná rychlou lýzou)</w:t>
            </w:r>
          </w:p>
        </w:tc>
      </w:tr>
      <w:tr w:rsidR="002F69C0" w:rsidRPr="002C7F15" w:rsidTr="001A5D85">
        <w:trPr>
          <w:trHeight w:val="29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6813D2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3 - Mix BVDV 4ALL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8C068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20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8C068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10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μl</w:t>
            </w:r>
          </w:p>
        </w:tc>
      </w:tr>
      <w:tr w:rsidR="002F69C0" w:rsidRPr="002C7F15" w:rsidTr="001A5D85">
        <w:trPr>
          <w:trHeight w:val="29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6813D2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RNA extrahovaná ze vzorků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8C068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5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="008C068B"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8C068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5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="008C068B"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</w:tr>
      <w:tr w:rsidR="002F69C0" w:rsidRPr="002C7F15" w:rsidTr="001A5D85">
        <w:trPr>
          <w:trHeight w:val="30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6813D2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Celkový reakční objem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8C068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25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8C068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15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</w:tr>
    </w:tbl>
    <w:p w:rsidR="001A5D85" w:rsidRPr="002C7F15" w:rsidRDefault="001A5D85">
      <w:pPr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br w:type="page"/>
      </w:r>
    </w:p>
    <w:p w:rsidR="002F69C0" w:rsidRPr="002C7F15" w:rsidRDefault="00835B2F" w:rsidP="000F7550">
      <w:pPr>
        <w:spacing w:line="276" w:lineRule="auto"/>
        <w:outlineLvl w:val="1"/>
        <w:rPr>
          <w:rFonts w:ascii="Times New Roman" w:hAnsi="Times New Roman" w:cs="Times New Roman"/>
          <w:b/>
          <w:sz w:val="20"/>
          <w:szCs w:val="16"/>
        </w:rPr>
      </w:pPr>
      <w:bookmarkStart w:id="11" w:name="bookmark11"/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lastRenderedPageBreak/>
        <w:t>Extrakce virové RNA</w:t>
      </w:r>
      <w:bookmarkEnd w:id="11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RNA musí být izolována ze vzorků pro analýzu RT-PCR v reálném čase.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Před prvním použitím této soupravy připravte pozitivní kontrolní vzorek BVDV extrakcí 4c - EPC BVD4 ALL za použití stejné metody jako u testovaných vzorků. BVDV pozitivní kontrolní vzorek může být použit v následujících RT-PCR analýzách s testovanými vzorky, které byly extrahovány stejným způsobem.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U vzorků séra přidejte 5 μl 5-IPC BVDV 4ALL do lyzačního roztoku použitého pro extrakci RNA ze vzorků, do BVDV pozitivní kontroly a NCS.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POZNÁMKA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: V případě zájmu o informace o metodách extrakce, které jsou kompatibilní a validované se soupravou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VetMAX</w:t>
      </w:r>
      <w:r w:rsidRPr="002C7F15">
        <w:rPr>
          <w:rFonts w:ascii="Times New Roman" w:hAnsi="Times New Roman" w:cs="Times New Roman"/>
          <w:b/>
          <w:sz w:val="18"/>
          <w:szCs w:val="18"/>
          <w:vertAlign w:val="superscript"/>
          <w:lang w:bidi="cs-CZ"/>
        </w:rPr>
        <w:t>™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 xml:space="preserve"> BVDV 4ALL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, jakož i informace o soupravě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VetMAX ™ Ear Notch Fast Lysis Kit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(Kat. č. FLK) kontaktujte technickou podporu.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0F7550">
      <w:pPr>
        <w:spacing w:line="276" w:lineRule="auto"/>
        <w:outlineLvl w:val="1"/>
        <w:rPr>
          <w:rFonts w:ascii="Times New Roman" w:hAnsi="Times New Roman" w:cs="Times New Roman"/>
          <w:b/>
          <w:sz w:val="20"/>
          <w:szCs w:val="16"/>
        </w:rPr>
      </w:pPr>
      <w:bookmarkStart w:id="12" w:name="bookmark12"/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t>Příprava RT-PCR v reálném čase</w:t>
      </w:r>
      <w:bookmarkEnd w:id="12"/>
    </w:p>
    <w:p w:rsidR="002F69C0" w:rsidRPr="002C7F15" w:rsidRDefault="00835B2F" w:rsidP="001E440B">
      <w:pPr>
        <w:pStyle w:val="ListParagraph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Vytvořte plán analýzy pro distribuci mixů a vzorků. Je-li to možné, uchovávejte pozitivní kontrolu BVDV odděleně od ostatních vzorků.</w:t>
      </w:r>
    </w:p>
    <w:p w:rsidR="002F69C0" w:rsidRPr="002C7F15" w:rsidRDefault="00835B2F" w:rsidP="001E440B">
      <w:pPr>
        <w:pStyle w:val="ListParagraph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Rozmrazte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3 - Mix BVDV 4ALL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při teplotě 2 °C až + 8 °C na ledě nebo v chlazeném stojanu.</w:t>
      </w:r>
    </w:p>
    <w:p w:rsidR="002F69C0" w:rsidRPr="002C7F15" w:rsidRDefault="00835B2F" w:rsidP="001E440B">
      <w:pPr>
        <w:pStyle w:val="ListParagraph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Rozmíchejte opatrně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3 - Mix BVDV 4ALL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a poté krátce centrifugujte.</w:t>
      </w:r>
    </w:p>
    <w:p w:rsidR="002F69C0" w:rsidRPr="002C7F15" w:rsidRDefault="00835B2F" w:rsidP="001E440B">
      <w:pPr>
        <w:pStyle w:val="ListParagraph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V závislosti na typu aplikace přidejte </w:t>
      </w:r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20 μl nebo 10 μl 3 - mixu BVDV 4ALL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do každé jamky PCR destičky, do každého PCR stripu nebo do každé kapiláry.</w:t>
      </w:r>
    </w:p>
    <w:p w:rsidR="002F69C0" w:rsidRPr="002C7F15" w:rsidRDefault="00835B2F" w:rsidP="001E440B">
      <w:pPr>
        <w:pStyle w:val="ListParagraph"/>
        <w:numPr>
          <w:ilvl w:val="0"/>
          <w:numId w:val="6"/>
        </w:numPr>
        <w:tabs>
          <w:tab w:val="left" w:leader="underscore" w:pos="10764"/>
        </w:tabs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Přidejte RNA ze vzorků a kontrol do roztoku mixu pro RT-PCR v reálném čase podle následujícího předem nastaveného plánu analýzy: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54"/>
        <w:gridCol w:w="1130"/>
      </w:tblGrid>
      <w:tr w:rsidR="002F69C0" w:rsidRPr="002C7F15" w:rsidTr="00E138CC">
        <w:trPr>
          <w:trHeight w:val="269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Typ analýzy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Objem vzorku</w:t>
            </w:r>
          </w:p>
        </w:tc>
      </w:tr>
      <w:tr w:rsidR="002F69C0" w:rsidRPr="002C7F15" w:rsidTr="00E138CC">
        <w:trPr>
          <w:trHeight w:val="293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Vzorek pro analýzu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RNA extrahovaná ze vzorku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5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</w:tr>
      <w:tr w:rsidR="002F69C0" w:rsidRPr="002C7F15" w:rsidTr="00E138CC">
        <w:trPr>
          <w:trHeight w:val="29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BVDV positive control (pozitivní kontrola)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RNA extracted from 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4c - EPC BVDV 4ALL (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RNA extrahovaná z 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4c - EPC BVDV 4ALL)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5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</w:tr>
      <w:tr w:rsidR="002F69C0" w:rsidRPr="002C7F15" w:rsidTr="00E138CC">
        <w:trPr>
          <w:trHeight w:val="293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Negative extraction control (Negativní extrakční kontrola) (NCS)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Negative extraction control sample (Negativní extrakční kontrolní vzorek)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5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</w:tr>
      <w:tr w:rsidR="002F69C0" w:rsidRPr="002C7F15" w:rsidTr="00E138CC">
        <w:trPr>
          <w:trHeight w:val="302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Negative amplification control </w:t>
            </w:r>
            <w:r w:rsidR="00762149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(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Negativní amplifikační kontrola</w:t>
            </w:r>
            <w:r w:rsidR="00762149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)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(NC)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DNase/RNase-free water (Voda bez DNázy/RNázy)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 xml:space="preserve">5 </w:t>
            </w:r>
            <w:r w:rsidR="008C068B"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μ</w:t>
            </w:r>
            <w:r w:rsidRPr="002C7F15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</w:tr>
    </w:tbl>
    <w:p w:rsidR="002F69C0" w:rsidRPr="002C7F15" w:rsidRDefault="00835B2F" w:rsidP="001E440B">
      <w:pPr>
        <w:pStyle w:val="ListParagraph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Zakryjte PCR destičku, PCR stripy nebo kapiláry adhezivním víčkem destičky nebo vhodnými uzávěry.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0F7550">
      <w:pPr>
        <w:spacing w:line="276" w:lineRule="auto"/>
        <w:outlineLvl w:val="1"/>
        <w:rPr>
          <w:rFonts w:ascii="Times New Roman" w:hAnsi="Times New Roman" w:cs="Times New Roman"/>
          <w:b/>
          <w:sz w:val="20"/>
          <w:szCs w:val="16"/>
        </w:rPr>
      </w:pPr>
      <w:bookmarkStart w:id="13" w:name="bookmark13"/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t>Amplifikace RT-PCR v reálném čas</w:t>
      </w:r>
      <w:bookmarkEnd w:id="13"/>
    </w:p>
    <w:p w:rsidR="002F69C0" w:rsidRPr="002C7F15" w:rsidRDefault="00835B2F" w:rsidP="00CF498D">
      <w:pPr>
        <w:pStyle w:val="ListParagraph"/>
        <w:numPr>
          <w:ilvl w:val="0"/>
          <w:numId w:val="8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Nastavte cyklus RT-PCR v reálném čase podle pokynů výrobce za použití následujících parametrů.</w:t>
      </w:r>
    </w:p>
    <w:p w:rsidR="002F69C0" w:rsidRPr="002C7F15" w:rsidRDefault="00835B2F" w:rsidP="00CF498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Reakční objem: 15 μl (rychlá aplikace lýzy) nebo 25 μl (standardní aplikace)</w:t>
      </w:r>
    </w:p>
    <w:p w:rsidR="002F69C0" w:rsidRPr="002C7F15" w:rsidRDefault="00835B2F" w:rsidP="00CF498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ROX ™ pasivní referenční barvivo: součástí balení 3 - Mix BVDV 4ALL</w:t>
      </w:r>
    </w:p>
    <w:p w:rsidR="002F69C0" w:rsidRPr="002C7F15" w:rsidRDefault="00835B2F" w:rsidP="00CF498D">
      <w:pPr>
        <w:pStyle w:val="ListParagraph"/>
        <w:numPr>
          <w:ilvl w:val="0"/>
          <w:numId w:val="8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Nastavte a přiřaďte barviva reportéru a zhášeče sondy TaqMan</w:t>
      </w:r>
      <w:r w:rsidRPr="002C7F15">
        <w:rPr>
          <w:rFonts w:ascii="Times New Roman" w:hAnsi="Times New Roman" w:cs="Times New Roman"/>
          <w:sz w:val="18"/>
          <w:szCs w:val="18"/>
          <w:vertAlign w:val="superscript"/>
          <w:lang w:bidi="cs-CZ"/>
        </w:rPr>
        <w:t>®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pro každou jamku použitou v analýze: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394"/>
        <w:gridCol w:w="3403"/>
      </w:tblGrid>
      <w:tr w:rsidR="002F69C0" w:rsidRPr="002C7F15" w:rsidTr="00F66B68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Reportér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Quencher</w:t>
            </w:r>
          </w:p>
        </w:tc>
      </w:tr>
      <w:tr w:rsidR="002F69C0" w:rsidRPr="002C7F15" w:rsidTr="00F66B68">
        <w:trPr>
          <w:trHeight w:val="29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BVDV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Barvivo FAM™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NFQ (nefluorescenční zhášeč)</w:t>
            </w:r>
          </w:p>
        </w:tc>
      </w:tr>
      <w:tr w:rsidR="002F69C0" w:rsidRPr="002C7F15" w:rsidTr="00F66B68">
        <w:trPr>
          <w:trHeight w:val="29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IPC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Barvivo VIC™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Barvivo TAMRA™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(1)</w:t>
            </w:r>
          </w:p>
        </w:tc>
      </w:tr>
      <w:tr w:rsidR="002F69C0" w:rsidRPr="002C7F15" w:rsidTr="00F66B68">
        <w:trPr>
          <w:trHeight w:val="346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Pasivní reference: Barvivo ROX™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(2)</w:t>
            </w:r>
          </w:p>
        </w:tc>
      </w:tr>
    </w:tbl>
    <w:p w:rsidR="002F69C0" w:rsidRPr="002C7F15" w:rsidRDefault="00835B2F" w:rsidP="00CF498D">
      <w:pPr>
        <w:spacing w:line="276" w:lineRule="auto"/>
        <w:ind w:left="360" w:hanging="76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(1)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>Fluorofor TAMRA™ musí být nastaven pro analýzu RT-PCR v reálném čase, pokud je termocykler schopen jej detekovat. Neschopnost jiných termocyklerů detekovat tento fluorofor nemá vliv na správnost měření.</w:t>
      </w:r>
    </w:p>
    <w:p w:rsidR="002F69C0" w:rsidRPr="002C7F15" w:rsidRDefault="00835B2F" w:rsidP="00CF498D">
      <w:pPr>
        <w:spacing w:line="276" w:lineRule="auto"/>
        <w:ind w:left="360" w:hanging="76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(2)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Pasivní reference ROX™ musí být nastavena v případě, že se termocykler nenastaví automaticky.</w:t>
      </w:r>
    </w:p>
    <w:p w:rsidR="002F69C0" w:rsidRPr="002C7F15" w:rsidRDefault="00835B2F" w:rsidP="00CF498D">
      <w:pPr>
        <w:pStyle w:val="ListParagraph"/>
        <w:numPr>
          <w:ilvl w:val="0"/>
          <w:numId w:val="8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Vytvořte následující program RT-PCR v reálném čase pro analýzu: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544"/>
        <w:gridCol w:w="2549"/>
        <w:gridCol w:w="2554"/>
      </w:tblGrid>
      <w:tr w:rsidR="002F69C0" w:rsidRPr="002C7F15" w:rsidTr="00F66B68">
        <w:trPr>
          <w:trHeight w:val="33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Program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Opakování kroků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Teplota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Doba trvání</w:t>
            </w:r>
          </w:p>
        </w:tc>
      </w:tr>
      <w:tr w:rsidR="002F69C0" w:rsidRPr="002C7F15" w:rsidTr="00F66B68">
        <w:trPr>
          <w:trHeight w:val="29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Krok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45 °C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10 minut</w:t>
            </w:r>
          </w:p>
        </w:tc>
      </w:tr>
      <w:tr w:rsidR="002F69C0" w:rsidRPr="002C7F15" w:rsidTr="00F66B68">
        <w:trPr>
          <w:trHeight w:val="29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Krok 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10 minut</w:t>
            </w:r>
          </w:p>
        </w:tc>
      </w:tr>
      <w:tr w:rsidR="002F69C0" w:rsidRPr="002C7F15" w:rsidTr="00F66B68">
        <w:trPr>
          <w:trHeight w:val="298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Krok 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45x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15 sekund</w:t>
            </w:r>
          </w:p>
        </w:tc>
      </w:tr>
      <w:tr w:rsidR="002F69C0" w:rsidRPr="002C7F15" w:rsidTr="00F66B68">
        <w:trPr>
          <w:trHeight w:val="302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2F69C0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2F69C0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60 °C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F66B6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 minuta</w:t>
            </w:r>
          </w:p>
        </w:tc>
      </w:tr>
    </w:tbl>
    <w:p w:rsidR="002F69C0" w:rsidRPr="002C7F15" w:rsidRDefault="00835B2F" w:rsidP="00CF498D">
      <w:pPr>
        <w:spacing w:line="276" w:lineRule="auto"/>
        <w:ind w:left="360" w:hanging="76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(1)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Zaznamenejte fluorescenční data během jednominutové fáze o teplotě 60 °C.</w:t>
      </w:r>
    </w:p>
    <w:p w:rsidR="002F69C0" w:rsidRPr="002C7F15" w:rsidRDefault="00835B2F" w:rsidP="00CF498D">
      <w:pPr>
        <w:pStyle w:val="ListParagraph"/>
        <w:numPr>
          <w:ilvl w:val="0"/>
          <w:numId w:val="8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Vložte PCR destičku, PCR stripy nebo kapiláry do termocykleru a spusťte RT-PCR v reálném čase.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14" w:name="bookmark14"/>
      <w:r w:rsidRPr="002C7F15">
        <w:rPr>
          <w:rFonts w:ascii="Times New Roman" w:hAnsi="Times New Roman" w:cs="Times New Roman"/>
          <w:b/>
          <w:sz w:val="22"/>
          <w:szCs w:val="22"/>
          <w:lang w:bidi="cs-CZ"/>
        </w:rPr>
        <w:t>Analýza výsledků</w:t>
      </w:r>
      <w:bookmarkEnd w:id="14"/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0F7550">
      <w:pPr>
        <w:spacing w:line="276" w:lineRule="auto"/>
        <w:outlineLvl w:val="1"/>
        <w:rPr>
          <w:rFonts w:ascii="Times New Roman" w:hAnsi="Times New Roman" w:cs="Times New Roman"/>
          <w:b/>
          <w:sz w:val="20"/>
          <w:szCs w:val="16"/>
        </w:rPr>
      </w:pPr>
      <w:bookmarkStart w:id="15" w:name="bookmark15"/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t>Analýza surových dat</w:t>
      </w:r>
      <w:bookmarkEnd w:id="15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Pro analýzu surových dat postupujte podle doporučení výrobce termocykléru.</w:t>
      </w:r>
    </w:p>
    <w:p w:rsidR="002F69C0" w:rsidRPr="002C7F15" w:rsidRDefault="00835B2F" w:rsidP="00AC2C0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Prahové limity nastavte odděleně pro každý cíl RT-PCR v reálném čase.</w:t>
      </w:r>
    </w:p>
    <w:p w:rsidR="002F69C0" w:rsidRPr="002C7F15" w:rsidRDefault="00835B2F" w:rsidP="00AC2C0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Pro každý detektor interpretujte výsledky podle hodnot Ct vzorku získaných podle doporučení níže.</w:t>
      </w:r>
    </w:p>
    <w:p w:rsidR="00AC2C0F" w:rsidRPr="002C7F15" w:rsidRDefault="00AC2C0F" w:rsidP="00A547BA">
      <w:pPr>
        <w:spacing w:line="276" w:lineRule="auto"/>
        <w:outlineLvl w:val="2"/>
        <w:rPr>
          <w:rFonts w:ascii="Times New Roman" w:hAnsi="Times New Roman" w:cs="Times New Roman"/>
          <w:sz w:val="18"/>
          <w:szCs w:val="18"/>
        </w:rPr>
        <w:sectPr w:rsidR="00AC2C0F" w:rsidRPr="002C7F15" w:rsidSect="00A547BA">
          <w:footerReference w:type="even" r:id="rId11"/>
          <w:footerReference w:type="default" r:id="rId12"/>
          <w:pgSz w:w="11909" w:h="16834"/>
          <w:pgMar w:top="709" w:right="569" w:bottom="709" w:left="567" w:header="0" w:footer="3" w:gutter="0"/>
          <w:cols w:space="720"/>
          <w:noEndnote/>
          <w:docGrid w:linePitch="360"/>
        </w:sectPr>
      </w:pPr>
      <w:bookmarkStart w:id="16" w:name="bookmark16"/>
    </w:p>
    <w:p w:rsidR="002F69C0" w:rsidRPr="002C7F15" w:rsidRDefault="00835B2F" w:rsidP="00A547BA">
      <w:pPr>
        <w:spacing w:line="276" w:lineRule="auto"/>
        <w:outlineLvl w:val="2"/>
        <w:rPr>
          <w:rFonts w:ascii="Times New Roman" w:hAnsi="Times New Roman" w:cs="Times New Roman"/>
          <w:b/>
          <w:sz w:val="20"/>
          <w:szCs w:val="18"/>
        </w:rPr>
      </w:pPr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lastRenderedPageBreak/>
        <w:t>Validace</w:t>
      </w:r>
      <w:bookmarkEnd w:id="16"/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Pro validaci cyklu RT-PCR v reálném čase viz hodnoty C</w:t>
      </w:r>
      <w:r w:rsidRPr="002C7F15">
        <w:rPr>
          <w:rFonts w:ascii="Times New Roman" w:hAnsi="Times New Roman" w:cs="Times New Roman"/>
          <w:sz w:val="18"/>
          <w:szCs w:val="18"/>
          <w:vertAlign w:val="subscript"/>
          <w:lang w:bidi="cs-CZ"/>
        </w:rPr>
        <w:t>t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</w:t>
      </w:r>
      <w:r w:rsidRPr="002C7F15">
        <w:rPr>
          <w:rFonts w:ascii="Times New Roman" w:hAnsi="Times New Roman" w:cs="Times New Roman"/>
          <w:sz w:val="18"/>
          <w:szCs w:val="18"/>
          <w:vertAlign w:val="subscript"/>
          <w:lang w:bidi="cs-CZ"/>
        </w:rPr>
        <w:t>QC</w:t>
      </w:r>
      <w:r w:rsidRPr="002C7F15">
        <w:rPr>
          <w:rFonts w:ascii="Times New Roman" w:hAnsi="Times New Roman" w:cs="Times New Roman"/>
          <w:sz w:val="18"/>
          <w:szCs w:val="18"/>
          <w:lang w:bidi="cs-CZ"/>
        </w:rPr>
        <w:t xml:space="preserve"> uvedené v certifikátu analýzy šarže použité v daném testu. Cyklus je validován, pokud jsou splněna následující kritéria: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2426"/>
        <w:gridCol w:w="2247"/>
        <w:gridCol w:w="2247"/>
        <w:gridCol w:w="1999"/>
      </w:tblGrid>
      <w:tr w:rsidR="003A6680" w:rsidRPr="002C7F15" w:rsidTr="003A6680">
        <w:trPr>
          <w:trHeight w:val="25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Kontrolní reakce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 BVDV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 IPC (barvivo VIC™)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Validace</w:t>
            </w:r>
          </w:p>
        </w:tc>
      </w:tr>
      <w:tr w:rsidR="003A6680" w:rsidRPr="002C7F15" w:rsidTr="003A6680">
        <w:trPr>
          <w:trHeight w:val="258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FAM™)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Bez použití 5 - IPC BVDV 4ALL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bidi="cs-CZ"/>
              </w:rPr>
              <w:t>(1)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S použitím 5 - IPC BVDV 4ALL</w:t>
            </w: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bidi="cs-CZ"/>
              </w:rPr>
              <w:t>(2)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F69C0" w:rsidRPr="002C7F15" w:rsidTr="003A6680">
        <w:trPr>
          <w:trHeight w:val="4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23124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BVDV positive control (pozitivní kontrola)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= 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QC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BVDV</w:t>
            </w:r>
          </w:p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4c - EPC BVDV 4ALL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±3C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(3)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45 nebo 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= 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QC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IPC</w:t>
            </w:r>
          </w:p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5 - IPC BVDV 4ALL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±3 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(5)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RT-PCR validována</w:t>
            </w:r>
          </w:p>
        </w:tc>
      </w:tr>
      <w:tr w:rsidR="002F69C0" w:rsidRPr="002C7F15" w:rsidTr="003A6680">
        <w:trPr>
          <w:trHeight w:val="4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23124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NCS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= 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QC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IPC</w:t>
            </w:r>
          </w:p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5 - IPC BVDV 4ALL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±3C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(5)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Validováno pro extrakci</w:t>
            </w:r>
          </w:p>
        </w:tc>
      </w:tr>
      <w:tr w:rsidR="002F69C0" w:rsidRPr="002C7F15" w:rsidTr="003A6680">
        <w:trPr>
          <w:trHeight w:val="30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23124A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NC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Validováno pro PCR reagencie</w:t>
            </w:r>
          </w:p>
        </w:tc>
      </w:tr>
    </w:tbl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(1)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Pro extrakční řady, které neobsahují vzorky séra.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(2)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Pro extrakční řady, které obsahují pouze vzorky séra nebo směs séra a buněčných vzorků.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(3)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Viz hodnoty uvedené pro metodu extrakce použitou v části 2.1 „EPC“ certifikátu analýzy.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(4)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Hodnota IPC pozitivní kontroly BVDV se nepoužije k validaci testu v případě buněčných vzorků.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(5)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Viz hodnoty uvedené v části 2.2 „IPC“ certifikátu analýzy. Interpretace výsledků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r w:rsidRPr="002C7F15">
        <w:rPr>
          <w:rFonts w:ascii="Times New Roman" w:hAnsi="Times New Roman" w:cs="Times New Roman"/>
          <w:b/>
          <w:sz w:val="20"/>
          <w:szCs w:val="20"/>
          <w:lang w:bidi="cs-CZ"/>
        </w:rPr>
        <w:t>Interpretace výsledků</w:t>
      </w: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7F15">
        <w:rPr>
          <w:rFonts w:ascii="Times New Roman" w:hAnsi="Times New Roman" w:cs="Times New Roman"/>
          <w:sz w:val="18"/>
          <w:szCs w:val="18"/>
          <w:lang w:bidi="cs-CZ"/>
        </w:rPr>
        <w:t>Pro každý analyzovaný vzorek interpretujte výsledky podle následujících tabulek.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2"/>
        <w:gridCol w:w="3576"/>
        <w:gridCol w:w="3582"/>
      </w:tblGrid>
      <w:tr w:rsidR="002F69C0" w:rsidRPr="002C7F15" w:rsidTr="003A6680">
        <w:trPr>
          <w:trHeight w:val="4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 BVDV</w:t>
            </w:r>
          </w:p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FAM™)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68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 IPC</w:t>
            </w:r>
          </w:p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VIC™)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2F69C0" w:rsidRPr="002C7F15" w:rsidTr="003A6680">
        <w:trPr>
          <w:trHeight w:val="2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CE0CAF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45 nebo 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BVDV detekován</w:t>
            </w:r>
          </w:p>
        </w:tc>
      </w:tr>
      <w:tr w:rsidR="002F69C0" w:rsidRPr="002C7F15" w:rsidTr="003A6680">
        <w:trPr>
          <w:trHeight w:val="2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CE0CAF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BVDV nebyl detekován</w:t>
            </w:r>
          </w:p>
        </w:tc>
      </w:tr>
      <w:tr w:rsidR="002F69C0" w:rsidRPr="002C7F15" w:rsidTr="003A6680">
        <w:trPr>
          <w:trHeight w:val="3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CE0CAF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9C0" w:rsidRPr="002C7F15" w:rsidRDefault="003A6680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C0" w:rsidRPr="002C7F15" w:rsidRDefault="00835B2F" w:rsidP="003A668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C7F15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Neplatné výsledky</w:t>
            </w:r>
            <w:r w:rsidRPr="002C7F15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(1)</w:t>
            </w:r>
          </w:p>
        </w:tc>
      </w:tr>
    </w:tbl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2C7F15">
        <w:rPr>
          <w:rFonts w:ascii="Times New Roman" w:hAnsi="Times New Roman" w:cs="Times New Roman"/>
          <w:sz w:val="16"/>
          <w:szCs w:val="16"/>
          <w:vertAlign w:val="superscript"/>
          <w:lang w:bidi="cs-CZ"/>
        </w:rPr>
        <w:t>(1)</w:t>
      </w:r>
      <w:r w:rsidRPr="002C7F15">
        <w:rPr>
          <w:rFonts w:ascii="Times New Roman" w:hAnsi="Times New Roman" w:cs="Times New Roman"/>
          <w:sz w:val="16"/>
          <w:szCs w:val="16"/>
          <w:lang w:bidi="cs-CZ"/>
        </w:rPr>
        <w:t xml:space="preserve"> Výsledek je neplatný z důvodu nevyhovujícího výsledku IPC.</w:t>
      </w:r>
    </w:p>
    <w:p w:rsidR="002F69C0" w:rsidRPr="002C7F15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F69C0" w:rsidRPr="002C7F15" w:rsidRDefault="00835B2F" w:rsidP="00A547BA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bookmarkStart w:id="17" w:name="bookmark17"/>
      <w:r w:rsidRPr="002C7F15">
        <w:rPr>
          <w:rFonts w:ascii="Times New Roman" w:hAnsi="Times New Roman" w:cs="Times New Roman"/>
          <w:b/>
          <w:sz w:val="18"/>
          <w:szCs w:val="18"/>
          <w:lang w:bidi="cs-CZ"/>
        </w:rPr>
        <w:t>Jak zacházet se vzorky s neplatnými výsledky</w:t>
      </w:r>
      <w:bookmarkEnd w:id="17"/>
    </w:p>
    <w:p w:rsidR="002F69C0" w:rsidRPr="002C7F15" w:rsidRDefault="00835B2F" w:rsidP="00CE0CAF">
      <w:pPr>
        <w:pStyle w:val="ListParagraph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 w:cs="Times New Roman"/>
          <w:sz w:val="15"/>
          <w:szCs w:val="15"/>
        </w:rPr>
      </w:pPr>
      <w:r w:rsidRPr="002C7F15">
        <w:rPr>
          <w:rFonts w:ascii="Times New Roman" w:hAnsi="Times New Roman" w:cs="Times New Roman"/>
          <w:sz w:val="15"/>
          <w:szCs w:val="15"/>
          <w:lang w:bidi="cs-CZ"/>
        </w:rPr>
        <w:t>Nařeďte RNA v poměru 1:10 v 1X TE pufru.</w:t>
      </w:r>
    </w:p>
    <w:p w:rsidR="002F69C0" w:rsidRPr="002C7F15" w:rsidRDefault="00835B2F" w:rsidP="00CE0CAF">
      <w:pPr>
        <w:pStyle w:val="ListParagraph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 w:cs="Times New Roman"/>
          <w:sz w:val="15"/>
          <w:szCs w:val="15"/>
        </w:rPr>
      </w:pPr>
      <w:r w:rsidRPr="002C7F15">
        <w:rPr>
          <w:rFonts w:ascii="Times New Roman" w:hAnsi="Times New Roman" w:cs="Times New Roman"/>
          <w:sz w:val="15"/>
          <w:szCs w:val="15"/>
          <w:lang w:bidi="cs-CZ"/>
        </w:rPr>
        <w:t>Proveďte RT-PCR analýzu na 5 μl naředěného vzorku.</w:t>
      </w:r>
    </w:p>
    <w:p w:rsidR="002F69C0" w:rsidRPr="002C7F15" w:rsidRDefault="00835B2F" w:rsidP="00CE0CAF">
      <w:pPr>
        <w:pStyle w:val="ListParagraph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 w:cs="Times New Roman"/>
          <w:sz w:val="15"/>
          <w:szCs w:val="15"/>
        </w:rPr>
      </w:pPr>
      <w:r w:rsidRPr="002C7F15">
        <w:rPr>
          <w:rFonts w:ascii="Times New Roman" w:hAnsi="Times New Roman" w:cs="Times New Roman"/>
          <w:sz w:val="15"/>
          <w:szCs w:val="15"/>
          <w:lang w:bidi="cs-CZ"/>
        </w:rPr>
        <w:t>Pokud je zředěná RNA pozitivní nebo negativní na BVDV s vyhovujícím výsledkem IPC, získaný výsledek je platný.</w:t>
      </w:r>
    </w:p>
    <w:p w:rsidR="002F69C0" w:rsidRPr="002C7F15" w:rsidRDefault="00835B2F" w:rsidP="00CE0CAF">
      <w:pPr>
        <w:pStyle w:val="ListParagraph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 w:cs="Times New Roman"/>
          <w:sz w:val="15"/>
          <w:szCs w:val="15"/>
        </w:rPr>
      </w:pPr>
      <w:r w:rsidRPr="002C7F15">
        <w:rPr>
          <w:rFonts w:ascii="Times New Roman" w:hAnsi="Times New Roman" w:cs="Times New Roman"/>
          <w:sz w:val="15"/>
          <w:szCs w:val="15"/>
          <w:lang w:bidi="cs-CZ"/>
        </w:rPr>
        <w:t>Pokud je zředěná RNA negativní na BVDV a současně je nevyhovující výsledek IPC, je získaný výsledek neplatný. V tomto případě postupujte následovně:</w:t>
      </w:r>
    </w:p>
    <w:p w:rsidR="002F69C0" w:rsidRPr="002C7F15" w:rsidRDefault="00835B2F" w:rsidP="00CE0CAF">
      <w:pPr>
        <w:pStyle w:val="ListParagraph"/>
        <w:numPr>
          <w:ilvl w:val="0"/>
          <w:numId w:val="13"/>
        </w:numPr>
        <w:spacing w:line="276" w:lineRule="auto"/>
        <w:ind w:left="1134" w:hanging="425"/>
        <w:rPr>
          <w:rFonts w:ascii="Times New Roman" w:hAnsi="Times New Roman" w:cs="Times New Roman"/>
          <w:sz w:val="15"/>
          <w:szCs w:val="15"/>
        </w:rPr>
      </w:pPr>
      <w:r w:rsidRPr="002C7F15">
        <w:rPr>
          <w:rFonts w:ascii="Times New Roman" w:hAnsi="Times New Roman" w:cs="Times New Roman"/>
          <w:sz w:val="15"/>
          <w:szCs w:val="15"/>
          <w:lang w:bidi="cs-CZ"/>
        </w:rPr>
        <w:t>U každého vzorku z biopsie ucha opakujte extrakci RNA a RT-PCR buď na novém vzorku z ucha, nebo na jiné matrici vzorku ze stejného zvířete, pokud tak povolují národní, regionální nebo místní předpisy.</w:t>
      </w:r>
    </w:p>
    <w:p w:rsidR="002F69C0" w:rsidRPr="002C7F15" w:rsidRDefault="00835B2F" w:rsidP="00CE0CAF">
      <w:pPr>
        <w:pStyle w:val="ListParagraph"/>
        <w:numPr>
          <w:ilvl w:val="0"/>
          <w:numId w:val="13"/>
        </w:numPr>
        <w:spacing w:line="276" w:lineRule="auto"/>
        <w:ind w:left="1134" w:hanging="425"/>
        <w:rPr>
          <w:rFonts w:ascii="Times New Roman" w:hAnsi="Times New Roman" w:cs="Times New Roman"/>
          <w:sz w:val="15"/>
          <w:szCs w:val="15"/>
        </w:rPr>
      </w:pPr>
      <w:r w:rsidRPr="002C7F15">
        <w:rPr>
          <w:rFonts w:ascii="Times New Roman" w:hAnsi="Times New Roman" w:cs="Times New Roman"/>
          <w:sz w:val="15"/>
          <w:szCs w:val="15"/>
          <w:lang w:bidi="cs-CZ"/>
        </w:rPr>
        <w:t>U ostatních matric vzorku opakujte extrakci RNA za použití stejného vzorku zředěného 1:10 v 1X PBS pufru a proveďte RT-PCR. Pokud je výsledek stále neplatný, opakujte extrakci RNA a RT-PCR na novém vzorku.</w:t>
      </w:r>
    </w:p>
    <w:p w:rsidR="002F69C0" w:rsidRDefault="002F69C0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B5382A" w:rsidRPr="002C7F15" w:rsidRDefault="00B5382A" w:rsidP="00A547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bookmarkStart w:id="18" w:name="_GoBack"/>
      <w:bookmarkEnd w:id="18"/>
    </w:p>
    <w:p w:rsidR="002F69C0" w:rsidRPr="002C7F15" w:rsidRDefault="00835B2F" w:rsidP="00A547BA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8"/>
        </w:rPr>
      </w:pPr>
      <w:bookmarkStart w:id="19" w:name="bookmark18"/>
      <w:r w:rsidRPr="002C7F15">
        <w:rPr>
          <w:rFonts w:ascii="Times New Roman" w:hAnsi="Times New Roman" w:cs="Times New Roman"/>
          <w:b/>
          <w:sz w:val="22"/>
          <w:szCs w:val="22"/>
          <w:lang w:bidi="cs-CZ"/>
        </w:rPr>
        <w:t>Dokumentace a podpora</w:t>
      </w:r>
      <w:bookmarkEnd w:id="1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7"/>
        <w:gridCol w:w="425"/>
        <w:gridCol w:w="4568"/>
      </w:tblGrid>
      <w:tr w:rsidR="00B5382A" w:rsidRPr="002C7F15" w:rsidTr="00B5382A">
        <w:trPr>
          <w:trHeight w:val="477"/>
        </w:trPr>
        <w:tc>
          <w:tcPr>
            <w:tcW w:w="5267" w:type="dxa"/>
            <w:vMerge w:val="restart"/>
            <w:shd w:val="clear" w:color="auto" w:fill="FFFFFF"/>
          </w:tcPr>
          <w:p w:rsidR="00B5382A" w:rsidRPr="002C7F15" w:rsidRDefault="00B5382A" w:rsidP="00CE0C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C7F15">
              <w:rPr>
                <w:rFonts w:ascii="Times New Roman" w:hAnsi="Times New Roman" w:cs="Times New Roman"/>
                <w:b/>
                <w:sz w:val="20"/>
                <w:szCs w:val="20"/>
                <w:lang w:bidi="cs-CZ"/>
              </w:rPr>
              <w:t>Zákaznická a technická podpora</w:t>
            </w:r>
          </w:p>
          <w:p w:rsidR="00B5382A" w:rsidRPr="002C7F15" w:rsidRDefault="00B5382A" w:rsidP="00CE0C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 xml:space="preserve">Technická podpora: návštěva </w:t>
            </w:r>
            <w:r w:rsidRPr="002C7F15">
              <w:rPr>
                <w:rFonts w:ascii="Times New Roman" w:hAnsi="Times New Roman" w:cs="Times New Roman"/>
                <w:b/>
                <w:sz w:val="18"/>
                <w:szCs w:val="18"/>
                <w:lang w:bidi="cs-CZ"/>
              </w:rPr>
              <w:t>thermofisher.com/askaquestion</w:t>
            </w: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 xml:space="preserve"> Navštivte </w:t>
            </w:r>
            <w:r w:rsidRPr="002C7F15">
              <w:rPr>
                <w:rFonts w:ascii="Times New Roman" w:hAnsi="Times New Roman" w:cs="Times New Roman"/>
                <w:b/>
                <w:sz w:val="18"/>
                <w:szCs w:val="18"/>
                <w:lang w:bidi="cs-CZ"/>
              </w:rPr>
              <w:t xml:space="preserve">thermofisher.com/support </w:t>
            </w: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>pro nejnovější služby a podporu, včetně:</w:t>
            </w:r>
          </w:p>
          <w:p w:rsidR="00B5382A" w:rsidRPr="002C7F15" w:rsidRDefault="00B5382A" w:rsidP="00CE0CA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57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>Mezinárodní kontaktní telefonní čísla</w:t>
            </w:r>
          </w:p>
          <w:p w:rsidR="00B5382A" w:rsidRPr="002C7F15" w:rsidRDefault="00B5382A" w:rsidP="00CE0CA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57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>Objednávková a webová podpora</w:t>
            </w:r>
          </w:p>
          <w:p w:rsidR="00B5382A" w:rsidRPr="002C7F15" w:rsidRDefault="00B5382A" w:rsidP="00CE0CA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57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>Uživatelské příručky, manuály a protokoly</w:t>
            </w:r>
          </w:p>
          <w:p w:rsidR="00B5382A" w:rsidRPr="002C7F15" w:rsidRDefault="00B5382A" w:rsidP="00CE0CA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57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>Osvědčení o analýze</w:t>
            </w:r>
          </w:p>
          <w:p w:rsidR="00B5382A" w:rsidRPr="002C7F15" w:rsidRDefault="00B5382A" w:rsidP="00CE0CAF">
            <w:pPr>
              <w:pStyle w:val="ListParagraph"/>
              <w:numPr>
                <w:ilvl w:val="0"/>
                <w:numId w:val="10"/>
              </w:numPr>
              <w:tabs>
                <w:tab w:val="left" w:pos="645"/>
              </w:tabs>
              <w:spacing w:line="276" w:lineRule="auto"/>
              <w:ind w:left="557"/>
              <w:rPr>
                <w:rFonts w:ascii="Times New Roman" w:hAnsi="Times New Roman" w:cs="Times New Roman"/>
                <w:sz w:val="18"/>
                <w:szCs w:val="18"/>
              </w:rPr>
            </w:pPr>
            <w:r w:rsidRPr="002C7F15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>Bezpečnostní listy (BL; označované též zkratkou MSDS) POZNÁMKA: Pokud chcete získat bezpečnostní listy pro chemické látky jiných výrobců, kontaktujte výrobce.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382A" w:rsidRPr="002C7F15" w:rsidRDefault="00B5382A" w:rsidP="00603BE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/>
          </w:tcPr>
          <w:p w:rsidR="00B5382A" w:rsidRPr="002C7F15" w:rsidRDefault="00B5382A" w:rsidP="00603BE4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5382A" w:rsidRPr="002C7F15" w:rsidTr="00B5382A">
        <w:trPr>
          <w:trHeight w:val="1189"/>
        </w:trPr>
        <w:tc>
          <w:tcPr>
            <w:tcW w:w="5267" w:type="dxa"/>
            <w:vMerge/>
            <w:shd w:val="clear" w:color="auto" w:fill="FFFFFF"/>
          </w:tcPr>
          <w:p w:rsidR="00B5382A" w:rsidRPr="002C7F15" w:rsidRDefault="00B5382A" w:rsidP="00CE0CA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5382A" w:rsidRPr="002C7F15" w:rsidRDefault="00B5382A" w:rsidP="00603BE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/>
          </w:tcPr>
          <w:p w:rsidR="00B5382A" w:rsidRPr="002C7F15" w:rsidRDefault="00B5382A" w:rsidP="00603BE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69C0" w:rsidRPr="002C7F15" w:rsidRDefault="002F69C0" w:rsidP="00CE0CAF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2F69C0" w:rsidRPr="002C7F15" w:rsidSect="00A547BA">
      <w:footerReference w:type="even" r:id="rId13"/>
      <w:pgSz w:w="11909" w:h="16834"/>
      <w:pgMar w:top="709" w:right="569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3D" w:rsidRDefault="0024033D">
      <w:r>
        <w:separator/>
      </w:r>
    </w:p>
  </w:endnote>
  <w:endnote w:type="continuationSeparator" w:id="0">
    <w:p w:rsidR="0024033D" w:rsidRDefault="0024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3"/>
      <w:gridCol w:w="10502"/>
    </w:tblGrid>
    <w:tr w:rsidR="000E1452" w:rsidRPr="00E138CC" w:rsidTr="004D7F98">
      <w:trPr>
        <w:trHeight w:val="230"/>
      </w:trPr>
      <w:tc>
        <w:tcPr>
          <w:tcW w:w="293" w:type="dxa"/>
          <w:shd w:val="clear" w:color="auto" w:fill="FFFFFF"/>
          <w:vAlign w:val="bottom"/>
        </w:tcPr>
        <w:p w:rsidR="000E1452" w:rsidRPr="00E138CC" w:rsidRDefault="000E1452" w:rsidP="004D7F98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  <w:r w:rsidRPr="00E138CC">
            <w:rPr>
              <w:rFonts w:ascii="Arial" w:hAnsi="Arial" w:cs="Arial"/>
              <w:sz w:val="18"/>
              <w:szCs w:val="18"/>
              <w:lang w:bidi="cs-CZ"/>
            </w:rPr>
            <w:t>2</w:t>
          </w:r>
        </w:p>
      </w:tc>
      <w:tc>
        <w:tcPr>
          <w:tcW w:w="10502" w:type="dxa"/>
          <w:shd w:val="clear" w:color="auto" w:fill="FFFFFF"/>
        </w:tcPr>
        <w:p w:rsidR="000E1452" w:rsidRPr="00E138CC" w:rsidRDefault="000E1452" w:rsidP="000E1452">
          <w:pPr>
            <w:spacing w:line="276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138CC">
            <w:rPr>
              <w:rFonts w:ascii="Arial" w:hAnsi="Arial" w:cs="Arial"/>
              <w:i/>
              <w:sz w:val="18"/>
              <w:szCs w:val="18"/>
              <w:lang w:bidi="cs-CZ"/>
            </w:rPr>
            <w:t>Návod k použití soupravy VetMAX™ BVDV 4ALL</w:t>
          </w:r>
        </w:p>
      </w:tc>
    </w:tr>
  </w:tbl>
  <w:p w:rsidR="000E1452" w:rsidRPr="00E138CC" w:rsidRDefault="000E1452">
    <w:pPr>
      <w:pStyle w:val="Footer"/>
      <w:rPr>
        <w:rFonts w:ascii="Arial" w:hAnsi="Arial" w:cs="Arial"/>
      </w:rPr>
    </w:pPr>
  </w:p>
  <w:p w:rsidR="000E1452" w:rsidRPr="00E138CC" w:rsidRDefault="000E1452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488"/>
      <w:gridCol w:w="317"/>
    </w:tblGrid>
    <w:tr w:rsidR="0095357E" w:rsidRPr="00E138CC" w:rsidTr="004D7F98">
      <w:trPr>
        <w:trHeight w:val="230"/>
      </w:trPr>
      <w:tc>
        <w:tcPr>
          <w:tcW w:w="10488" w:type="dxa"/>
          <w:shd w:val="clear" w:color="auto" w:fill="FFFFFF"/>
        </w:tcPr>
        <w:p w:rsidR="0095357E" w:rsidRPr="00E138CC" w:rsidRDefault="0095357E" w:rsidP="004D7F98">
          <w:pPr>
            <w:spacing w:line="276" w:lineRule="auto"/>
            <w:rPr>
              <w:rFonts w:ascii="Arial" w:hAnsi="Arial" w:cs="Arial"/>
              <w:i/>
              <w:sz w:val="18"/>
              <w:szCs w:val="18"/>
            </w:rPr>
          </w:pPr>
          <w:r w:rsidRPr="00E138CC">
            <w:rPr>
              <w:rFonts w:ascii="Arial" w:hAnsi="Arial" w:cs="Arial"/>
              <w:i/>
              <w:sz w:val="18"/>
              <w:szCs w:val="18"/>
              <w:lang w:bidi="cs-CZ"/>
            </w:rPr>
            <w:t>Návod k použití soupravy VetMAX™ BVDV 4ALL</w:t>
          </w:r>
        </w:p>
      </w:tc>
      <w:tc>
        <w:tcPr>
          <w:tcW w:w="317" w:type="dxa"/>
          <w:shd w:val="clear" w:color="auto" w:fill="FFFFFF"/>
        </w:tcPr>
        <w:p w:rsidR="0095357E" w:rsidRPr="00E138CC" w:rsidRDefault="0095357E" w:rsidP="004D7F98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  <w:r w:rsidRPr="00E138CC">
            <w:rPr>
              <w:rFonts w:ascii="Arial" w:hAnsi="Arial" w:cs="Arial"/>
              <w:sz w:val="18"/>
              <w:szCs w:val="18"/>
              <w:lang w:bidi="cs-CZ"/>
            </w:rPr>
            <w:t>3</w:t>
          </w:r>
        </w:p>
      </w:tc>
    </w:tr>
  </w:tbl>
  <w:p w:rsidR="0095357E" w:rsidRPr="00E138CC" w:rsidRDefault="0095357E">
    <w:pPr>
      <w:pStyle w:val="Footer"/>
      <w:rPr>
        <w:rFonts w:ascii="Arial" w:hAnsi="Arial" w:cs="Arial"/>
      </w:rPr>
    </w:pPr>
  </w:p>
  <w:p w:rsidR="0095357E" w:rsidRPr="00E138CC" w:rsidRDefault="0095357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42"/>
      <w:gridCol w:w="1657"/>
    </w:tblGrid>
    <w:tr w:rsidR="00603BE4" w:rsidRPr="00E138CC" w:rsidTr="004D7F98">
      <w:trPr>
        <w:trHeight w:val="262"/>
      </w:trPr>
      <w:tc>
        <w:tcPr>
          <w:tcW w:w="9142" w:type="dxa"/>
          <w:shd w:val="clear" w:color="auto" w:fill="FFFFFF"/>
          <w:vAlign w:val="center"/>
        </w:tcPr>
        <w:p w:rsidR="00603BE4" w:rsidRPr="00E138CC" w:rsidRDefault="00603BE4" w:rsidP="004D7F98">
          <w:pPr>
            <w:spacing w:line="276" w:lineRule="auto"/>
            <w:rPr>
              <w:rFonts w:ascii="Arial" w:hAnsi="Arial" w:cs="Arial"/>
              <w:b/>
              <w:sz w:val="18"/>
              <w:szCs w:val="16"/>
            </w:rPr>
          </w:pPr>
        </w:p>
      </w:tc>
      <w:tc>
        <w:tcPr>
          <w:tcW w:w="1657" w:type="dxa"/>
          <w:vMerge w:val="restart"/>
          <w:shd w:val="clear" w:color="auto" w:fill="FFFFFF"/>
          <w:vAlign w:val="center"/>
        </w:tcPr>
        <w:p w:rsidR="00603BE4" w:rsidRPr="00E138CC" w:rsidRDefault="00603BE4" w:rsidP="004D7F98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</w:p>
      </w:tc>
    </w:tr>
    <w:tr w:rsidR="00603BE4" w:rsidRPr="00E138CC" w:rsidTr="004D7F98">
      <w:trPr>
        <w:trHeight w:val="227"/>
      </w:trPr>
      <w:tc>
        <w:tcPr>
          <w:tcW w:w="9142" w:type="dxa"/>
          <w:shd w:val="clear" w:color="auto" w:fill="FFFFFF"/>
          <w:vAlign w:val="center"/>
        </w:tcPr>
        <w:p w:rsidR="00603BE4" w:rsidRPr="00E138CC" w:rsidRDefault="00603BE4" w:rsidP="004D7F98">
          <w:pPr>
            <w:spacing w:line="276" w:lineRule="auto"/>
            <w:rPr>
              <w:rFonts w:ascii="Arial" w:hAnsi="Arial" w:cs="Arial"/>
              <w:b/>
              <w:sz w:val="18"/>
              <w:szCs w:val="16"/>
            </w:rPr>
          </w:pPr>
        </w:p>
      </w:tc>
      <w:tc>
        <w:tcPr>
          <w:tcW w:w="1657" w:type="dxa"/>
          <w:vMerge/>
          <w:shd w:val="clear" w:color="auto" w:fill="FFFFFF"/>
          <w:vAlign w:val="center"/>
        </w:tcPr>
        <w:p w:rsidR="00603BE4" w:rsidRPr="00E138CC" w:rsidRDefault="00603BE4" w:rsidP="004D7F98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</w:p>
      </w:tc>
    </w:tr>
    <w:tr w:rsidR="00603BE4" w:rsidRPr="00E138CC" w:rsidTr="004D7F98">
      <w:trPr>
        <w:trHeight w:val="188"/>
      </w:trPr>
      <w:tc>
        <w:tcPr>
          <w:tcW w:w="9142" w:type="dxa"/>
          <w:shd w:val="clear" w:color="auto" w:fill="FFFFFF"/>
          <w:vAlign w:val="center"/>
        </w:tcPr>
        <w:p w:rsidR="00603BE4" w:rsidRPr="00E138CC" w:rsidRDefault="00603BE4" w:rsidP="00603BE4">
          <w:pPr>
            <w:spacing w:line="27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57" w:type="dxa"/>
          <w:vMerge/>
          <w:shd w:val="clear" w:color="auto" w:fill="FFFFFF"/>
          <w:vAlign w:val="center"/>
        </w:tcPr>
        <w:p w:rsidR="00603BE4" w:rsidRPr="00E138CC" w:rsidRDefault="00603BE4" w:rsidP="004D7F98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</w:p>
      </w:tc>
    </w:tr>
  </w:tbl>
  <w:p w:rsidR="00603BE4" w:rsidRPr="00E138CC" w:rsidRDefault="00603BE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3D" w:rsidRDefault="0024033D"/>
  </w:footnote>
  <w:footnote w:type="continuationSeparator" w:id="0">
    <w:p w:rsidR="0024033D" w:rsidRDefault="002403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01" w:rsidRPr="00E138CC" w:rsidRDefault="00336401">
    <w:pPr>
      <w:pStyle w:val="Header"/>
      <w:rPr>
        <w:rFonts w:ascii="Arial" w:hAnsi="Arial" w:cs="Arial"/>
      </w:rPr>
    </w:pPr>
  </w:p>
  <w:p w:rsidR="0083133C" w:rsidRPr="0083133C" w:rsidRDefault="0083133C" w:rsidP="0083133C">
    <w:pPr>
      <w:pStyle w:val="Header"/>
      <w:jc w:val="center"/>
      <w:rPr>
        <w:rFonts w:ascii="Arial" w:hAnsi="Arial" w:cs="Arial"/>
        <w:color w:val="FF0000"/>
        <w:sz w:val="20"/>
        <w:szCs w:val="20"/>
      </w:rPr>
    </w:pPr>
  </w:p>
  <w:p w:rsidR="00336401" w:rsidRPr="00E138CC" w:rsidRDefault="0033640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5CDF"/>
    <w:multiLevelType w:val="hybridMultilevel"/>
    <w:tmpl w:val="266C8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711D"/>
    <w:multiLevelType w:val="hybridMultilevel"/>
    <w:tmpl w:val="4C4A0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7363"/>
    <w:multiLevelType w:val="hybridMultilevel"/>
    <w:tmpl w:val="538E03B4"/>
    <w:lvl w:ilvl="0" w:tplc="B63A81E2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51E08528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4057"/>
    <w:multiLevelType w:val="hybridMultilevel"/>
    <w:tmpl w:val="17EE4542"/>
    <w:lvl w:ilvl="0" w:tplc="B63A81E2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3164"/>
    <w:multiLevelType w:val="hybridMultilevel"/>
    <w:tmpl w:val="CEAAEB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5179"/>
    <w:multiLevelType w:val="hybridMultilevel"/>
    <w:tmpl w:val="CCB4A9D8"/>
    <w:lvl w:ilvl="0" w:tplc="A3C653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7A53"/>
    <w:multiLevelType w:val="hybridMultilevel"/>
    <w:tmpl w:val="D6004992"/>
    <w:lvl w:ilvl="0" w:tplc="1298C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54B"/>
    <w:multiLevelType w:val="hybridMultilevel"/>
    <w:tmpl w:val="FC3AD138"/>
    <w:lvl w:ilvl="0" w:tplc="644AC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7A8E"/>
    <w:multiLevelType w:val="hybridMultilevel"/>
    <w:tmpl w:val="793A015A"/>
    <w:lvl w:ilvl="0" w:tplc="23AAB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0CC5"/>
    <w:multiLevelType w:val="hybridMultilevel"/>
    <w:tmpl w:val="4D32CE66"/>
    <w:lvl w:ilvl="0" w:tplc="B63A81E2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E0C0C"/>
    <w:multiLevelType w:val="hybridMultilevel"/>
    <w:tmpl w:val="B25AD542"/>
    <w:lvl w:ilvl="0" w:tplc="B63A81E2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45AE9"/>
    <w:multiLevelType w:val="hybridMultilevel"/>
    <w:tmpl w:val="BD7E080A"/>
    <w:lvl w:ilvl="0" w:tplc="B63A81E2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26E06"/>
    <w:multiLevelType w:val="hybridMultilevel"/>
    <w:tmpl w:val="CBAE4736"/>
    <w:lvl w:ilvl="0" w:tplc="644AC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0"/>
    <w:rsid w:val="00007333"/>
    <w:rsid w:val="00007CA5"/>
    <w:rsid w:val="000324D6"/>
    <w:rsid w:val="000B30CE"/>
    <w:rsid w:val="000C3E62"/>
    <w:rsid w:val="000E1452"/>
    <w:rsid w:val="000F7550"/>
    <w:rsid w:val="001A5D85"/>
    <w:rsid w:val="001E440B"/>
    <w:rsid w:val="0023124A"/>
    <w:rsid w:val="00231FB8"/>
    <w:rsid w:val="002328A0"/>
    <w:rsid w:val="0024033D"/>
    <w:rsid w:val="002C7F15"/>
    <w:rsid w:val="002F69C0"/>
    <w:rsid w:val="00331745"/>
    <w:rsid w:val="00336401"/>
    <w:rsid w:val="003A6680"/>
    <w:rsid w:val="00426616"/>
    <w:rsid w:val="00466AB3"/>
    <w:rsid w:val="004F3221"/>
    <w:rsid w:val="00523995"/>
    <w:rsid w:val="005544AE"/>
    <w:rsid w:val="0058361C"/>
    <w:rsid w:val="005E1BA1"/>
    <w:rsid w:val="00603BE4"/>
    <w:rsid w:val="006813D2"/>
    <w:rsid w:val="0072515F"/>
    <w:rsid w:val="00740C00"/>
    <w:rsid w:val="00762149"/>
    <w:rsid w:val="0083133C"/>
    <w:rsid w:val="00835B2F"/>
    <w:rsid w:val="008C068B"/>
    <w:rsid w:val="0095357E"/>
    <w:rsid w:val="00A06B1D"/>
    <w:rsid w:val="00A15D8B"/>
    <w:rsid w:val="00A547BA"/>
    <w:rsid w:val="00A64064"/>
    <w:rsid w:val="00AC2C0F"/>
    <w:rsid w:val="00B247CA"/>
    <w:rsid w:val="00B5382A"/>
    <w:rsid w:val="00B85BCA"/>
    <w:rsid w:val="00CE0CAF"/>
    <w:rsid w:val="00CF498D"/>
    <w:rsid w:val="00D55649"/>
    <w:rsid w:val="00DB4392"/>
    <w:rsid w:val="00E138CC"/>
    <w:rsid w:val="00E655C8"/>
    <w:rsid w:val="00E93B5A"/>
    <w:rsid w:val="00F66B68"/>
    <w:rsid w:val="00F730CD"/>
    <w:rsid w:val="00F82BCF"/>
    <w:rsid w:val="00FE2228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D5E37-0ECE-4673-800F-AA6B9E85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0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0C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30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0C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CD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63F3-0B4F-478C-AE6F-F4189432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2131</Words>
  <Characters>12149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VetMAX™ BTV NS3 All Genotypes Kit Instructions for Use (EN) (MAN0008222 Rev.B)</vt:lpstr>
      <vt:lpstr>VetMAX™ BTV NS3 All Genotypes Kit Instructions for Use (EN) (MAN0008222 Rev.B)</vt:lpstr>
    </vt:vector>
  </TitlesOfParts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VetMAX™ BTV NS3 All Genotypes Kit Instructions for Use (EN) (MAN0008222 Rev.B)</dc:title>
  <dc:subject>VetMAX™ BTV NS3 All Genotypes Kit (BTVNS3)</dc:subject>
  <dc:creator>uzivatel</dc:creator>
  <cp:lastModifiedBy>Fałkowska-Podstawka, Magda</cp:lastModifiedBy>
  <cp:revision>2</cp:revision>
  <dcterms:created xsi:type="dcterms:W3CDTF">2019-08-16T09:44:00Z</dcterms:created>
  <dcterms:modified xsi:type="dcterms:W3CDTF">2019-08-16T09:44:00Z</dcterms:modified>
</cp:coreProperties>
</file>