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12" w:rsidRDefault="008A7312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45pt;margin-top:63pt;width:351pt;height:23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">
            <v:textbox>
              <w:txbxContent>
                <w:p w:rsidR="008A7312" w:rsidRDefault="008A7312" w:rsidP="00C80F1D">
                  <w:pPr>
                    <w:spacing w:after="0" w:line="360" w:lineRule="atLeast"/>
                    <w:outlineLvl w:val="0"/>
                    <w:rPr>
                      <w:rFonts w:ascii="futura" w:hAnsi="futura"/>
                      <w:b/>
                      <w:i/>
                      <w:iCs/>
                      <w:color w:val="1B3067"/>
                      <w:kern w:val="36"/>
                      <w:sz w:val="32"/>
                      <w:szCs w:val="32"/>
                      <w:lang w:eastAsia="cs-CZ"/>
                    </w:rPr>
                  </w:pPr>
                </w:p>
                <w:p w:rsidR="008A7312" w:rsidRPr="00C80F1D" w:rsidRDefault="008A7312" w:rsidP="00C80F1D">
                  <w:pPr>
                    <w:spacing w:after="0" w:line="360" w:lineRule="atLeast"/>
                    <w:outlineLvl w:val="0"/>
                    <w:rPr>
                      <w:rFonts w:ascii="futura" w:hAnsi="futura"/>
                      <w:b/>
                      <w:color w:val="1B3067"/>
                      <w:kern w:val="36"/>
                      <w:sz w:val="32"/>
                      <w:szCs w:val="32"/>
                      <w:lang w:eastAsia="cs-CZ"/>
                    </w:rPr>
                  </w:pPr>
                  <w:r w:rsidRPr="00C80F1D">
                    <w:rPr>
                      <w:rFonts w:ascii="futura" w:hAnsi="futura"/>
                      <w:b/>
                      <w:i/>
                      <w:iCs/>
                      <w:color w:val="1B3067"/>
                      <w:kern w:val="36"/>
                      <w:sz w:val="32"/>
                      <w:szCs w:val="32"/>
                      <w:lang w:eastAsia="cs-CZ"/>
                    </w:rPr>
                    <w:t>virotype</w:t>
                  </w:r>
                  <w:r w:rsidRPr="00C80F1D">
                    <w:rPr>
                      <w:rFonts w:ascii="futura" w:hAnsi="futura"/>
                      <w:b/>
                      <w:color w:val="1B3067"/>
                      <w:kern w:val="36"/>
                      <w:sz w:val="32"/>
                      <w:szCs w:val="32"/>
                      <w:lang w:eastAsia="cs-CZ"/>
                    </w:rPr>
                    <w:t> BVDV RT-PCR Kit</w:t>
                  </w:r>
                </w:p>
                <w:p w:rsidR="008A7312" w:rsidRPr="00C80F1D" w:rsidRDefault="008A7312" w:rsidP="00C80F1D">
                  <w:pPr>
                    <w:spacing w:after="0" w:line="360" w:lineRule="atLeast"/>
                    <w:outlineLvl w:val="0"/>
                    <w:rPr>
                      <w:rFonts w:ascii="futura" w:hAnsi="futura"/>
                      <w:color w:val="1B3067"/>
                      <w:kern w:val="36"/>
                      <w:lang w:eastAsia="cs-CZ"/>
                    </w:rPr>
                  </w:pPr>
                  <w:r>
                    <w:rPr>
                      <w:rFonts w:ascii="futura" w:hAnsi="futura"/>
                      <w:color w:val="1B3067"/>
                      <w:kern w:val="36"/>
                      <w:lang w:eastAsia="cs-CZ"/>
                    </w:rPr>
                    <w:t>S</w:t>
                  </w:r>
                  <w:r w:rsidRPr="00C80F1D">
                    <w:rPr>
                      <w:rFonts w:ascii="futura" w:hAnsi="futura"/>
                      <w:color w:val="1B3067"/>
                      <w:kern w:val="36"/>
                      <w:lang w:eastAsia="cs-CZ"/>
                    </w:rPr>
                    <w:t xml:space="preserve">ouprava pro stanovení RNA BVDV1 a BVDV2 u skotu </w:t>
                  </w:r>
                </w:p>
                <w:p w:rsidR="008A7312" w:rsidRDefault="008A7312" w:rsidP="00C80F1D"/>
                <w:p w:rsidR="008A7312" w:rsidRDefault="008A7312" w:rsidP="00C80F1D">
                  <w:r>
                    <w:t>Kat.č.:  280373 nebo  280375 nebo 280377</w:t>
                  </w:r>
                </w:p>
                <w:p w:rsidR="008A7312" w:rsidRDefault="008A7312" w:rsidP="00C80F1D">
                  <w:r>
                    <w:t>Balení: 24 nebo 96 nebo 480 reakcí</w:t>
                  </w:r>
                </w:p>
                <w:p w:rsidR="008A7312" w:rsidRDefault="008A7312" w:rsidP="00C80F1D">
                  <w:r>
                    <w:t>Uchovávejte při    -20st.C !</w:t>
                  </w:r>
                </w:p>
                <w:p w:rsidR="008A7312" w:rsidRDefault="008A7312" w:rsidP="00C80F1D">
                  <w:r>
                    <w:t>Výrobce: LDL – Labour Diagnostik GmbH, Německo</w:t>
                  </w:r>
                </w:p>
                <w:p w:rsidR="008A7312" w:rsidRDefault="008A7312" w:rsidP="00C80F1D">
                  <w:r>
                    <w:t>Držitel rozhodnutí o schválení : DYNEX TECHNOLOGIES, spol. s r.o., ČR</w:t>
                  </w:r>
                </w:p>
                <w:p w:rsidR="008A7312" w:rsidRDefault="008A7312" w:rsidP="00C80F1D">
                  <w:r>
                    <w:t>Číslo schválení: 011-14/C</w:t>
                  </w:r>
                </w:p>
                <w:p w:rsidR="008A7312" w:rsidRDefault="008A7312" w:rsidP="00C80F1D"/>
                <w:p w:rsidR="008A7312" w:rsidRDefault="008A7312" w:rsidP="00C80F1D"/>
                <w:p w:rsidR="008A7312" w:rsidRDefault="008A7312" w:rsidP="00C80F1D"/>
                <w:p w:rsidR="008A7312" w:rsidRDefault="008A7312" w:rsidP="00C80F1D"/>
                <w:p w:rsidR="008A7312" w:rsidRDefault="008A7312" w:rsidP="00C80F1D"/>
                <w:p w:rsidR="008A7312" w:rsidRDefault="008A7312"/>
              </w:txbxContent>
            </v:textbox>
          </v:shape>
        </w:pict>
      </w:r>
    </w:p>
    <w:sectPr w:rsidR="008A7312" w:rsidSect="004E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F1D"/>
    <w:rsid w:val="004E73C4"/>
    <w:rsid w:val="007C387F"/>
    <w:rsid w:val="008A7312"/>
    <w:rsid w:val="00C80F1D"/>
    <w:rsid w:val="00C908E9"/>
    <w:rsid w:val="00F1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C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0F1D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DefaultParagraphFont"/>
    <w:uiPriority w:val="99"/>
    <w:rsid w:val="00C80F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rkordiovsky</dc:creator>
  <cp:keywords/>
  <dc:description/>
  <cp:lastModifiedBy>formankova</cp:lastModifiedBy>
  <cp:revision>2</cp:revision>
  <dcterms:created xsi:type="dcterms:W3CDTF">2014-01-23T13:49:00Z</dcterms:created>
  <dcterms:modified xsi:type="dcterms:W3CDTF">2014-01-28T13:28:00Z</dcterms:modified>
</cp:coreProperties>
</file>