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C4" w:rsidRPr="0055390E" w:rsidRDefault="000517C4" w:rsidP="0055390E">
      <w:pPr>
        <w:spacing w:line="360" w:lineRule="auto"/>
        <w:jc w:val="center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PŘÍBALOVÁ INFORMACE</w:t>
      </w:r>
    </w:p>
    <w:p w:rsidR="000517C4" w:rsidRPr="0055390E" w:rsidRDefault="001E2E11" w:rsidP="0055390E">
      <w:pPr>
        <w:spacing w:line="360" w:lineRule="auto"/>
        <w:jc w:val="center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ROXACIN 100 mg/ml injekční roztok</w:t>
      </w:r>
    </w:p>
    <w:p w:rsidR="00EB1C7C" w:rsidRPr="0055390E" w:rsidRDefault="00EB1C7C" w:rsidP="0055390E">
      <w:pPr>
        <w:pStyle w:val="Zhlav"/>
        <w:tabs>
          <w:tab w:val="clear" w:pos="4252"/>
          <w:tab w:val="clear" w:pos="8504"/>
        </w:tabs>
        <w:spacing w:line="360" w:lineRule="auto"/>
        <w:jc w:val="center"/>
        <w:rPr>
          <w:lang w:val="cs-CZ"/>
        </w:rPr>
      </w:pPr>
      <w:r w:rsidRPr="0055390E">
        <w:rPr>
          <w:lang w:val="cs-CZ"/>
        </w:rPr>
        <w:t>Přípravek s indikačním omezením</w:t>
      </w:r>
    </w:p>
    <w:p w:rsidR="00EB1C7C" w:rsidRPr="0055390E" w:rsidRDefault="00EB1C7C" w:rsidP="0055390E">
      <w:pPr>
        <w:spacing w:line="360" w:lineRule="auto"/>
        <w:jc w:val="center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</w:p>
    <w:p w:rsidR="00BE4A90" w:rsidRDefault="000517C4" w:rsidP="00BE4A90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caps/>
          <w:sz w:val="24"/>
          <w:lang w:val="cs-CZ"/>
        </w:rPr>
        <w:t>Laboratorios Calier</w:t>
      </w:r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proofErr w:type="gramStart"/>
      <w:r w:rsidRPr="0055390E">
        <w:rPr>
          <w:rFonts w:ascii="Times New Roman" w:hAnsi="Times New Roman" w:cs="Times New Roman"/>
          <w:sz w:val="24"/>
          <w:lang w:val="cs-CZ"/>
        </w:rPr>
        <w:t>S.A.</w:t>
      </w:r>
      <w:proofErr w:type="gramEnd"/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BE4A90" w:rsidRDefault="000517C4" w:rsidP="00BE4A90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C/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Barcelones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>, 26 (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Pla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del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Ramassa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>)</w:t>
      </w:r>
    </w:p>
    <w:p w:rsidR="00BE4A90" w:rsidRDefault="00BE4A90" w:rsidP="00BE4A90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Les</w:t>
      </w:r>
      <w:r w:rsidR="000517C4" w:rsidRPr="00BE4A90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="000517C4" w:rsidRPr="00BE4A90">
        <w:rPr>
          <w:rFonts w:ascii="Times New Roman" w:hAnsi="Times New Roman" w:cs="Times New Roman"/>
          <w:sz w:val="24"/>
          <w:lang w:val="cs-CZ"/>
        </w:rPr>
        <w:t>Franqueses</w:t>
      </w:r>
      <w:proofErr w:type="spellEnd"/>
      <w:r w:rsidR="000517C4" w:rsidRPr="00BE4A90">
        <w:rPr>
          <w:rFonts w:ascii="Times New Roman" w:hAnsi="Times New Roman" w:cs="Times New Roman"/>
          <w:sz w:val="24"/>
          <w:lang w:val="cs-CZ"/>
        </w:rPr>
        <w:t xml:space="preserve">  </w:t>
      </w:r>
      <w:proofErr w:type="spellStart"/>
      <w:r w:rsidR="000517C4" w:rsidRPr="00BE4A90">
        <w:rPr>
          <w:rFonts w:ascii="Times New Roman" w:hAnsi="Times New Roman" w:cs="Times New Roman"/>
          <w:sz w:val="24"/>
          <w:lang w:val="cs-CZ"/>
        </w:rPr>
        <w:t>del</w:t>
      </w:r>
      <w:proofErr w:type="spellEnd"/>
      <w:r w:rsidR="000517C4" w:rsidRPr="00BE4A90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="000517C4" w:rsidRPr="00BE4A90">
        <w:rPr>
          <w:rFonts w:ascii="Times New Roman" w:hAnsi="Times New Roman" w:cs="Times New Roman"/>
          <w:sz w:val="24"/>
          <w:lang w:val="cs-CZ"/>
        </w:rPr>
        <w:t>Valles</w:t>
      </w:r>
      <w:proofErr w:type="spellEnd"/>
      <w:r>
        <w:rPr>
          <w:rFonts w:ascii="Times New Roman" w:hAnsi="Times New Roman" w:cs="Times New Roman"/>
          <w:sz w:val="24"/>
          <w:lang w:val="cs-CZ"/>
        </w:rPr>
        <w:t>, Barcelona</w:t>
      </w:r>
    </w:p>
    <w:p w:rsidR="000517C4" w:rsidRPr="0055390E" w:rsidRDefault="000517C4" w:rsidP="00BE4A90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Špan</w:t>
      </w:r>
      <w:r w:rsidR="00BE4A90">
        <w:rPr>
          <w:rFonts w:ascii="Times New Roman" w:hAnsi="Times New Roman" w:cs="Times New Roman"/>
          <w:sz w:val="24"/>
          <w:lang w:val="cs-CZ"/>
        </w:rPr>
        <w:t>ě</w:t>
      </w:r>
      <w:r w:rsidRPr="0055390E">
        <w:rPr>
          <w:rFonts w:ascii="Times New Roman" w:hAnsi="Times New Roman" w:cs="Times New Roman"/>
          <w:sz w:val="24"/>
          <w:lang w:val="cs-CZ"/>
        </w:rPr>
        <w:t>lsko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2.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NÁZEV VETERINÁRNÍHO LÉČIVÉHO PŘÍPRAVKU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ROXACIN 100 mg/ml injekční roztok</w:t>
      </w:r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Enrofloxacinum</w:t>
      </w:r>
      <w:proofErr w:type="spellEnd"/>
    </w:p>
    <w:p w:rsidR="00EB1C7C" w:rsidRPr="0055390E" w:rsidRDefault="00EB1C7C" w:rsidP="0055390E">
      <w:pPr>
        <w:pStyle w:val="Zhlav"/>
        <w:tabs>
          <w:tab w:val="clear" w:pos="4252"/>
          <w:tab w:val="clear" w:pos="8504"/>
        </w:tabs>
        <w:spacing w:line="360" w:lineRule="auto"/>
        <w:rPr>
          <w:lang w:val="cs-CZ"/>
        </w:rPr>
      </w:pPr>
      <w:r w:rsidRPr="0055390E">
        <w:rPr>
          <w:lang w:val="cs-CZ"/>
        </w:rPr>
        <w:t>Přípravek s indikačním omezením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3.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OBSAH LÉČIVÝCH A OSTATNÍCH LÁTEK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</w:p>
    <w:p w:rsidR="001E2E11" w:rsidRPr="0055390E" w:rsidRDefault="001E2E11" w:rsidP="0055390E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1 ml čirého, slabě nažloutlého injekčního roztoku obsahuje:</w:t>
      </w:r>
    </w:p>
    <w:p w:rsidR="001E2E11" w:rsidRPr="0055390E" w:rsidRDefault="001E2E11" w:rsidP="0055390E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Léčivá látka</w:t>
      </w:r>
    </w:p>
    <w:p w:rsidR="001E2E11" w:rsidRPr="0055390E" w:rsidRDefault="001E2E11" w:rsidP="0055390E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Enrofloxacinum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ab/>
      </w:r>
      <w:smartTag w:uri="urn:schemas-microsoft-com:office:smarttags" w:element="metricconverter">
        <w:smartTagPr>
          <w:attr w:name="ProductID" w:val="100 m"/>
        </w:smartTagPr>
        <w:r w:rsidRPr="0055390E">
          <w:rPr>
            <w:rFonts w:ascii="Times New Roman" w:hAnsi="Times New Roman" w:cs="Times New Roman"/>
            <w:sz w:val="24"/>
            <w:lang w:val="cs-CZ"/>
          </w:rPr>
          <w:t>100 m</w:t>
        </w:r>
      </w:smartTag>
      <w:r w:rsidRPr="0055390E">
        <w:rPr>
          <w:rFonts w:ascii="Times New Roman" w:hAnsi="Times New Roman" w:cs="Times New Roman"/>
          <w:sz w:val="24"/>
          <w:lang w:val="cs-CZ"/>
        </w:rPr>
        <w:t>g</w:t>
      </w:r>
    </w:p>
    <w:p w:rsidR="001E2E11" w:rsidRPr="0055390E" w:rsidRDefault="001E2E11" w:rsidP="0055390E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Pomocné látky</w:t>
      </w:r>
    </w:p>
    <w:p w:rsidR="001E2E11" w:rsidRPr="0055390E" w:rsidRDefault="001E2E11" w:rsidP="0055390E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Benzylalkohol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r w:rsidRPr="0055390E">
        <w:rPr>
          <w:rFonts w:ascii="Times New Roman" w:hAnsi="Times New Roman" w:cs="Times New Roman"/>
          <w:sz w:val="24"/>
          <w:lang w:val="cs-CZ"/>
        </w:rPr>
        <w:tab/>
        <w:t>7,8 mg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4.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INDIKACE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EB1C7C" w:rsidRPr="0055390E" w:rsidRDefault="00EB1C7C" w:rsidP="0055390E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bCs/>
          <w:sz w:val="24"/>
          <w:lang w:val="cs-CZ"/>
        </w:rPr>
        <w:t>Prasata:</w:t>
      </w:r>
      <w:r w:rsidRPr="0055390E">
        <w:rPr>
          <w:rFonts w:ascii="Times New Roman" w:hAnsi="Times New Roman" w:cs="Times New Roman"/>
          <w:sz w:val="24"/>
          <w:lang w:val="cs-CZ"/>
        </w:rPr>
        <w:t xml:space="preserve">  Bakteriální enteritida, kolibacilóza a MMA syndrom.</w:t>
      </w:r>
    </w:p>
    <w:p w:rsidR="0055390E" w:rsidRPr="0055390E" w:rsidRDefault="00EB1C7C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cs-CZ"/>
        </w:rPr>
      </w:pPr>
      <w:r w:rsidRPr="0055390E">
        <w:rPr>
          <w:rFonts w:ascii="Times New Roman" w:hAnsi="Times New Roman" w:cs="Times New Roman"/>
          <w:b/>
          <w:bCs/>
          <w:sz w:val="24"/>
          <w:lang w:val="cs-CZ"/>
        </w:rPr>
        <w:t>Telata:</w:t>
      </w:r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r w:rsidR="0055390E" w:rsidRPr="0055390E">
        <w:rPr>
          <w:rFonts w:ascii="Times New Roman" w:hAnsi="Times New Roman" w:cs="Times New Roman"/>
          <w:sz w:val="24"/>
          <w:lang w:val="cs-CZ"/>
        </w:rPr>
        <w:t>Bakteriální onemocnění respiratorního a trávicího traktu (</w:t>
      </w:r>
      <w:proofErr w:type="spellStart"/>
      <w:r w:rsidR="0055390E" w:rsidRPr="0055390E">
        <w:rPr>
          <w:rFonts w:ascii="Times New Roman" w:hAnsi="Times New Roman" w:cs="Times New Roman"/>
          <w:sz w:val="24"/>
          <w:lang w:val="cs-CZ"/>
        </w:rPr>
        <w:t>pasteurelóza</w:t>
      </w:r>
      <w:proofErr w:type="spellEnd"/>
      <w:r w:rsidR="0055390E" w:rsidRPr="0055390E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55390E" w:rsidRPr="0055390E">
        <w:rPr>
          <w:rFonts w:ascii="Times New Roman" w:hAnsi="Times New Roman" w:cs="Times New Roman"/>
          <w:sz w:val="24"/>
          <w:lang w:val="cs-CZ"/>
        </w:rPr>
        <w:t>mykoplasmóza</w:t>
      </w:r>
      <w:proofErr w:type="spellEnd"/>
      <w:r w:rsidR="0055390E" w:rsidRPr="0055390E">
        <w:rPr>
          <w:rFonts w:ascii="Times New Roman" w:hAnsi="Times New Roman" w:cs="Times New Roman"/>
          <w:sz w:val="24"/>
          <w:lang w:val="cs-CZ"/>
        </w:rPr>
        <w:t xml:space="preserve">, kolibacilóza, </w:t>
      </w:r>
      <w:proofErr w:type="spellStart"/>
      <w:r w:rsidR="0055390E" w:rsidRPr="0055390E">
        <w:rPr>
          <w:rFonts w:ascii="Times New Roman" w:hAnsi="Times New Roman" w:cs="Times New Roman"/>
          <w:sz w:val="24"/>
          <w:lang w:val="cs-CZ"/>
        </w:rPr>
        <w:t>koliseptikémie</w:t>
      </w:r>
      <w:proofErr w:type="spellEnd"/>
      <w:r w:rsidR="0055390E" w:rsidRPr="0055390E">
        <w:rPr>
          <w:rFonts w:ascii="Times New Roman" w:hAnsi="Times New Roman" w:cs="Times New Roman"/>
          <w:sz w:val="24"/>
          <w:lang w:val="cs-CZ"/>
        </w:rPr>
        <w:t>), včetně sekundárních bakteriálních infekcí.</w:t>
      </w:r>
    </w:p>
    <w:p w:rsidR="000517C4" w:rsidRPr="0055390E" w:rsidRDefault="000517C4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lastRenderedPageBreak/>
        <w:t xml:space="preserve">5. 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KONTRAINDIKACE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EB1C7C" w:rsidRPr="0055390E" w:rsidRDefault="00EB1C7C" w:rsidP="0055390E">
      <w:pPr>
        <w:pStyle w:val="Zkladntextodsazen"/>
        <w:tabs>
          <w:tab w:val="clear" w:pos="0"/>
        </w:tabs>
        <w:spacing w:line="360" w:lineRule="auto"/>
        <w:rPr>
          <w:rFonts w:ascii="Times New Roman" w:hAnsi="Times New Roman" w:cs="Times New Roman"/>
          <w:spacing w:val="-2"/>
          <w:sz w:val="24"/>
          <w:lang w:val="cs-CZ"/>
        </w:rPr>
      </w:pPr>
      <w:r w:rsidRPr="0055390E">
        <w:rPr>
          <w:rFonts w:ascii="Times New Roman" w:hAnsi="Times New Roman" w:cs="Times New Roman"/>
          <w:spacing w:val="-2"/>
          <w:sz w:val="24"/>
          <w:lang w:val="cs-CZ"/>
        </w:rPr>
        <w:t>Nepodávejte zvířatům:</w:t>
      </w:r>
    </w:p>
    <w:p w:rsidR="00EB1C7C" w:rsidRPr="0055390E" w:rsidRDefault="00EB1C7C" w:rsidP="0055390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v případě alergických kožních reakcí</w:t>
      </w:r>
    </w:p>
    <w:p w:rsidR="00EB1C7C" w:rsidRPr="0055390E" w:rsidRDefault="00EB1C7C" w:rsidP="0055390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v pří</w:t>
      </w:r>
      <w:r w:rsidR="0055390E" w:rsidRPr="0055390E">
        <w:rPr>
          <w:rFonts w:ascii="Times New Roman" w:hAnsi="Times New Roman" w:cs="Times New Roman"/>
          <w:sz w:val="24"/>
          <w:lang w:val="cs-CZ"/>
        </w:rPr>
        <w:t xml:space="preserve">padě známých rezistencí na </w:t>
      </w:r>
      <w:proofErr w:type="spellStart"/>
      <w:r w:rsidR="0055390E" w:rsidRPr="0055390E">
        <w:rPr>
          <w:rFonts w:ascii="Times New Roman" w:hAnsi="Times New Roman" w:cs="Times New Roman"/>
          <w:sz w:val="24"/>
          <w:lang w:val="cs-CZ"/>
        </w:rPr>
        <w:t>chino</w:t>
      </w:r>
      <w:r w:rsidRPr="0055390E">
        <w:rPr>
          <w:rFonts w:ascii="Times New Roman" w:hAnsi="Times New Roman" w:cs="Times New Roman"/>
          <w:sz w:val="24"/>
          <w:lang w:val="cs-CZ"/>
        </w:rPr>
        <w:t>lony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EB1C7C" w:rsidRPr="0055390E" w:rsidRDefault="00EB1C7C" w:rsidP="0055390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březím samicím</w:t>
      </w:r>
    </w:p>
    <w:p w:rsidR="00EB1C7C" w:rsidRPr="0055390E" w:rsidRDefault="00EB1C7C" w:rsidP="0055390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s narušenou chrupavčitou tkáni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6.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NEŽÁDOUCÍ ÚČINKY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V místě injekčního podání se mohou občas objevit tkáňové změny.</w:t>
      </w:r>
    </w:p>
    <w:p w:rsidR="0055390E" w:rsidRPr="0055390E" w:rsidRDefault="0055390E" w:rsidP="0055390E">
      <w:pPr>
        <w:pStyle w:val="Zkladntextodsazen"/>
        <w:spacing w:line="360" w:lineRule="auto"/>
        <w:ind w:hanging="11"/>
        <w:rPr>
          <w:rFonts w:ascii="Times New Roman" w:hAnsi="Times New Roman" w:cs="Times New Roman"/>
          <w:spacing w:val="-2"/>
          <w:sz w:val="24"/>
          <w:lang w:val="cs-CZ"/>
        </w:rPr>
      </w:pPr>
      <w:proofErr w:type="spellStart"/>
      <w:r w:rsidRPr="0055390E">
        <w:rPr>
          <w:rFonts w:ascii="Times New Roman" w:hAnsi="Times New Roman" w:cs="Times New Roman"/>
          <w:spacing w:val="-2"/>
          <w:sz w:val="24"/>
          <w:lang w:val="cs-CZ"/>
        </w:rPr>
        <w:t>Fotosenzitivita</w:t>
      </w:r>
      <w:proofErr w:type="spellEnd"/>
      <w:r w:rsidRPr="0055390E">
        <w:rPr>
          <w:rFonts w:ascii="Times New Roman" w:hAnsi="Times New Roman" w:cs="Times New Roman"/>
          <w:spacing w:val="-2"/>
          <w:sz w:val="24"/>
          <w:lang w:val="cs-CZ"/>
        </w:rPr>
        <w:t xml:space="preserve"> a vznik alergií doprovázených artralgií. Přerušte podávání a zaveďte symptomatickou léčbu.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7.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CÍLOVÝ DRUH ZVÍŘAT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Prasata a telata skotu.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8.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DÁVKOVÁNÍ PRO KAŽDÝ DRUH, CESTA(Y) A ZPŮSOB PODÁNÍ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EB1C7C" w:rsidRPr="0055390E" w:rsidRDefault="00EB1C7C" w:rsidP="0055390E">
      <w:pPr>
        <w:pStyle w:val="Zkladntextodsazen"/>
        <w:tabs>
          <w:tab w:val="clear" w:pos="0"/>
        </w:tabs>
        <w:spacing w:line="360" w:lineRule="auto"/>
        <w:ind w:hanging="11"/>
        <w:rPr>
          <w:rFonts w:ascii="Times New Roman" w:hAnsi="Times New Roman" w:cs="Times New Roman"/>
          <w:spacing w:val="-2"/>
          <w:sz w:val="24"/>
          <w:lang w:val="cs-CZ"/>
        </w:rPr>
      </w:pPr>
      <w:r w:rsidRPr="0055390E">
        <w:rPr>
          <w:rFonts w:ascii="Times New Roman" w:hAnsi="Times New Roman" w:cs="Times New Roman"/>
          <w:spacing w:val="-2"/>
          <w:sz w:val="24"/>
          <w:lang w:val="cs-CZ"/>
        </w:rPr>
        <w:t>Intramuskulární podání:</w:t>
      </w:r>
    </w:p>
    <w:p w:rsidR="000517C4" w:rsidRPr="0055390E" w:rsidRDefault="000517C4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EB1C7C" w:rsidRPr="0055390E" w:rsidRDefault="00EB1C7C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bCs/>
          <w:sz w:val="24"/>
          <w:lang w:val="cs-CZ"/>
        </w:rPr>
        <w:t>Prasata:</w:t>
      </w:r>
      <w:r w:rsidRPr="0055390E">
        <w:rPr>
          <w:rFonts w:ascii="Times New Roman" w:hAnsi="Times New Roman" w:cs="Times New Roman"/>
          <w:sz w:val="24"/>
          <w:lang w:val="cs-CZ"/>
        </w:rPr>
        <w:t xml:space="preserve"> 25 mg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enrofloxacinu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/ tj. 0,25 ml ROXACIN 100 mg/ml injekční roztok / </w:t>
      </w:r>
      <w:smartTag w:uri="urn:schemas-microsoft-com:office:smarttags" w:element="metricconverter">
        <w:smartTagPr>
          <w:attr w:name="ProductID" w:val="10 kg"/>
        </w:smartTagPr>
        <w:r w:rsidRPr="0055390E">
          <w:rPr>
            <w:rFonts w:ascii="Times New Roman" w:hAnsi="Times New Roman" w:cs="Times New Roman"/>
            <w:sz w:val="24"/>
            <w:lang w:val="cs-CZ"/>
          </w:rPr>
          <w:t>10 kg</w:t>
        </w:r>
      </w:smartTag>
      <w:r w:rsidRPr="0055390E">
        <w:rPr>
          <w:rFonts w:ascii="Times New Roman" w:hAnsi="Times New Roman" w:cs="Times New Roman"/>
          <w:sz w:val="24"/>
          <w:lang w:val="cs-CZ"/>
        </w:rPr>
        <w:t xml:space="preserve"> ž. hm. / den po dobu 3-5 dní </w:t>
      </w:r>
    </w:p>
    <w:p w:rsidR="00EB1C7C" w:rsidRDefault="00EB1C7C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bCs/>
          <w:sz w:val="24"/>
          <w:lang w:val="cs-CZ"/>
        </w:rPr>
        <w:t>Telata:</w:t>
      </w:r>
      <w:r w:rsidRPr="0055390E">
        <w:rPr>
          <w:rFonts w:ascii="Times New Roman" w:hAnsi="Times New Roman" w:cs="Times New Roman"/>
          <w:sz w:val="24"/>
          <w:lang w:val="cs-CZ"/>
        </w:rPr>
        <w:t xml:space="preserve"> 25 mg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enrofloxacinu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/ tj. 0,25 ml ROXACIN 100 mg/ml injekční roztok / </w:t>
      </w:r>
      <w:smartTag w:uri="urn:schemas-microsoft-com:office:smarttags" w:element="metricconverter">
        <w:smartTagPr>
          <w:attr w:name="ProductID" w:val="10 kg"/>
        </w:smartTagPr>
        <w:r w:rsidRPr="0055390E">
          <w:rPr>
            <w:rFonts w:ascii="Times New Roman" w:hAnsi="Times New Roman" w:cs="Times New Roman"/>
            <w:sz w:val="24"/>
            <w:lang w:val="cs-CZ"/>
          </w:rPr>
          <w:t>10 kg</w:t>
        </w:r>
      </w:smartTag>
      <w:r w:rsidRPr="0055390E">
        <w:rPr>
          <w:rFonts w:ascii="Times New Roman" w:hAnsi="Times New Roman" w:cs="Times New Roman"/>
          <w:sz w:val="24"/>
          <w:lang w:val="cs-CZ"/>
        </w:rPr>
        <w:t xml:space="preserve"> ž. hm. / den po dobu 3 - 5 dní </w:t>
      </w:r>
    </w:p>
    <w:p w:rsidR="006E7A70" w:rsidRDefault="006E7A70" w:rsidP="0055390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6E7A70" w:rsidRPr="00E35096" w:rsidRDefault="006E7A70" w:rsidP="006E7A70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lang w:val="cs-CZ"/>
        </w:rPr>
      </w:pPr>
      <w:r>
        <w:rPr>
          <w:rFonts w:ascii="Times New Roman" w:hAnsi="Times New Roman" w:cs="Times New Roman"/>
          <w:b w:val="0"/>
          <w:bCs w:val="0"/>
          <w:lang w:val="cs-CZ"/>
        </w:rPr>
        <w:t>Zátku lze propíchnout max. 10krát.</w:t>
      </w:r>
    </w:p>
    <w:p w:rsidR="00EB1C7C" w:rsidRPr="0055390E" w:rsidRDefault="00EB1C7C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9.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POKYNY PRO SPRÁVNÉ PODÁNÍ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EB1C7C" w:rsidRPr="0055390E" w:rsidRDefault="00EB1C7C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Aby bylo zajištěno správné dávkování (včetně prevence podání nedostatečné dávky) je třeba určit s maximální možnou přesností živou hmotnost zvířete.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lastRenderedPageBreak/>
        <w:t>10.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 xml:space="preserve">OCHRANNÁ LHŮTA 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iCs/>
          <w:sz w:val="24"/>
          <w:lang w:val="cs-CZ"/>
        </w:rPr>
      </w:pPr>
    </w:p>
    <w:p w:rsidR="004B1A6A" w:rsidRPr="0055390E" w:rsidRDefault="004B1A6A" w:rsidP="0055390E">
      <w:pPr>
        <w:tabs>
          <w:tab w:val="left" w:pos="-720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Maso telat: 14 dnů</w:t>
      </w:r>
    </w:p>
    <w:p w:rsidR="004B1A6A" w:rsidRPr="0055390E" w:rsidRDefault="004B1A6A" w:rsidP="0055390E">
      <w:pPr>
        <w:tabs>
          <w:tab w:val="left" w:pos="-720"/>
        </w:tabs>
        <w:suppressAutoHyphens/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Maso prasat: 11 dnů.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iCs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iCs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11.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ZVLÁŠTNÍ OPATŘENÍ PRO UCHOVÁVÁNÍ</w:t>
      </w:r>
    </w:p>
    <w:p w:rsidR="00930C96" w:rsidRPr="0055390E" w:rsidRDefault="00930C96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Uchovávat mimo dosah dětí</w:t>
      </w:r>
    </w:p>
    <w:p w:rsidR="00930C96" w:rsidRPr="0055390E" w:rsidRDefault="00930C96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Uchováve</w:t>
      </w:r>
      <w:r w:rsidR="00EF11C6">
        <w:rPr>
          <w:rFonts w:ascii="Times New Roman" w:hAnsi="Times New Roman" w:cs="Times New Roman"/>
          <w:sz w:val="24"/>
          <w:lang w:val="cs-CZ"/>
        </w:rPr>
        <w:t>j</w:t>
      </w:r>
      <w:bookmarkStart w:id="0" w:name="_GoBack"/>
      <w:bookmarkEnd w:id="0"/>
      <w:r w:rsidRPr="0055390E">
        <w:rPr>
          <w:rFonts w:ascii="Times New Roman" w:hAnsi="Times New Roman" w:cs="Times New Roman"/>
          <w:sz w:val="24"/>
          <w:lang w:val="cs-CZ"/>
        </w:rPr>
        <w:t xml:space="preserve">te při teplotě do </w:t>
      </w:r>
      <w:smartTag w:uri="urn:schemas-microsoft-com:office:smarttags" w:element="metricconverter">
        <w:smartTagPr>
          <w:attr w:name="ProductID" w:val="25 ﾰC"/>
        </w:smartTagPr>
        <w:r w:rsidRPr="0055390E">
          <w:rPr>
            <w:rFonts w:ascii="Times New Roman" w:hAnsi="Times New Roman" w:cs="Times New Roman"/>
            <w:sz w:val="24"/>
            <w:lang w:val="cs-CZ"/>
          </w:rPr>
          <w:t>25 °C</w:t>
        </w:r>
      </w:smartTag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Chraňte před světlem</w:t>
      </w:r>
    </w:p>
    <w:p w:rsidR="00930C96" w:rsidRPr="0055390E" w:rsidRDefault="00930C96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Nepoužívejte po uplynutí doby použitelnosti uvedené na obalu.</w:t>
      </w:r>
    </w:p>
    <w:p w:rsidR="001E2E11" w:rsidRPr="0055390E" w:rsidRDefault="001E2E11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Doba použitelnosti po prvním otevření obalu: 28 dní</w:t>
      </w:r>
    </w:p>
    <w:p w:rsidR="000517C4" w:rsidRPr="0055390E" w:rsidRDefault="000517C4" w:rsidP="0055390E">
      <w:pPr>
        <w:spacing w:line="360" w:lineRule="auto"/>
        <w:ind w:right="-318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12.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ZVLÁŠTNÍ UPOZORNĚNÍ</w:t>
      </w:r>
    </w:p>
    <w:p w:rsidR="00F16463" w:rsidRPr="0055390E" w:rsidRDefault="00F16463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Při použití přípravku je nutno vzít v úvahu oficiální a místní pravidla antibiotické politiky. 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Doporučuje se ponechat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fluorochinolony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na léčbu klinických stavů, které měly slabou odezvu,</w:t>
      </w:r>
      <w:r w:rsidR="00EB1C7C" w:rsidRPr="0055390E">
        <w:rPr>
          <w:rFonts w:ascii="Times New Roman" w:hAnsi="Times New Roman" w:cs="Times New Roman"/>
          <w:sz w:val="24"/>
          <w:lang w:val="cs-CZ"/>
        </w:rPr>
        <w:t xml:space="preserve"> </w:t>
      </w:r>
      <w:r w:rsidRPr="0055390E">
        <w:rPr>
          <w:rFonts w:ascii="Times New Roman" w:hAnsi="Times New Roman" w:cs="Times New Roman"/>
          <w:sz w:val="24"/>
          <w:lang w:val="cs-CZ"/>
        </w:rPr>
        <w:t>nebo se očekává slabá odezva na ostatní skupiny antibiotik.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Použití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fluorochinolonů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by mělo být, pokud je to možné, založeno na výsledku testu citlivosti. 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fluorochinolony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a snížit účinnost terapie ostatními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chinolony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z důvodu možné zkřížené rezistence.   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 w:rsidDel="000517C4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9210CB" w:rsidRPr="0055390E" w:rsidRDefault="009210CB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Přípravek je alkalický roztok. Zabraňte kontaktu přípravku s pokožkou a očima. V případě zasažení pokožky nebo očí opláchněte exponovanou část ihned po expozici proudem pitné vody. </w:t>
      </w:r>
    </w:p>
    <w:p w:rsidR="009210CB" w:rsidRPr="0055390E" w:rsidRDefault="009210CB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lastRenderedPageBreak/>
        <w:t xml:space="preserve">Předcházejte náhodnému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samopodání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injekce. Chraňte jehlu až do okamžiku podání přípravku. V případě náhodného sebepoškození injekčně aplikovaným přípravkem, vyhledejte lékařskou pomoc a ukažte příbalovou informaci nebo etiketu praktickému lékaři.</w:t>
      </w:r>
    </w:p>
    <w:p w:rsidR="009210CB" w:rsidRPr="0055390E" w:rsidRDefault="009210CB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Lidé se známou přecitlivělostí na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fluorochinolony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by se měli vyhnout kontaktu s veterinárním léčivým přípravkem.</w:t>
      </w:r>
    </w:p>
    <w:p w:rsidR="009210CB" w:rsidRPr="0055390E" w:rsidRDefault="009210CB" w:rsidP="005539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V průběhu aplikace přípravku nekuřte, nejezte a nepijte.</w:t>
      </w:r>
    </w:p>
    <w:p w:rsidR="001E2E11" w:rsidRPr="0055390E" w:rsidRDefault="001E2E11" w:rsidP="005539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p w:rsidR="001E2E11" w:rsidRPr="0055390E" w:rsidRDefault="001E2E11" w:rsidP="0055390E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>Nemísit s jiným veterinárním léčivým přípravkem v jedné injekční stříkačce.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13.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ZVLÁŠTNÍ OPATŘENÍ PRO ZNEŠKODŇOVÁNÍ NEPOUŽITÝCH PŘÍPRAVKŮ NEBO ODPADU, POKUD JE JICH TŘEBA</w:t>
      </w:r>
    </w:p>
    <w:p w:rsidR="000517C4" w:rsidRPr="0055390E" w:rsidRDefault="000517C4" w:rsidP="0055390E">
      <w:pPr>
        <w:spacing w:line="360" w:lineRule="auto"/>
        <w:ind w:right="-318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9210CB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Všechen nepoužitý veterinární léčivý přípravek nebo odpad, který pochází z tohoto přípravku, musí být likvidován podle místních právních předpisů. </w:t>
      </w:r>
      <w:r w:rsidR="000517C4" w:rsidRPr="0055390E">
        <w:rPr>
          <w:rFonts w:ascii="Times New Roman" w:hAnsi="Times New Roman" w:cs="Times New Roman"/>
          <w:sz w:val="24"/>
          <w:lang w:val="cs-CZ"/>
        </w:rPr>
        <w:t>Léčivé přípravky se nesmí likvidovat prostřednictvím odpadní vody či domovního odpadu.</w:t>
      </w:r>
      <w:r w:rsidR="000517C4" w:rsidRPr="0055390E">
        <w:rPr>
          <w:rFonts w:ascii="Times New Roman" w:hAnsi="Times New Roman" w:cs="Times New Roman"/>
          <w:b/>
          <w:sz w:val="24"/>
          <w:lang w:val="cs-CZ"/>
        </w:rPr>
        <w:t xml:space="preserve"> </w:t>
      </w: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14.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DATUM POSLEDNÍ REVIZE PŘÍBALOVÉ INFORMACE</w:t>
      </w:r>
    </w:p>
    <w:p w:rsidR="000517C4" w:rsidRPr="0055390E" w:rsidRDefault="006E7A70" w:rsidP="0055390E">
      <w:pPr>
        <w:spacing w:line="360" w:lineRule="auto"/>
        <w:ind w:right="-318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Červenec 2021</w:t>
      </w:r>
    </w:p>
    <w:p w:rsidR="000517C4" w:rsidRPr="0055390E" w:rsidRDefault="000517C4" w:rsidP="0055390E">
      <w:pPr>
        <w:spacing w:line="360" w:lineRule="auto"/>
        <w:ind w:right="-318"/>
        <w:rPr>
          <w:rFonts w:ascii="Times New Roman" w:hAnsi="Times New Roman" w:cs="Times New Roman"/>
          <w:sz w:val="24"/>
          <w:lang w:val="cs-CZ"/>
        </w:rPr>
      </w:pPr>
    </w:p>
    <w:p w:rsidR="000517C4" w:rsidRPr="0055390E" w:rsidRDefault="000517C4" w:rsidP="0055390E">
      <w:pPr>
        <w:spacing w:line="360" w:lineRule="auto"/>
        <w:rPr>
          <w:rFonts w:ascii="Times New Roman" w:hAnsi="Times New Roman" w:cs="Times New Roman"/>
          <w:b/>
          <w:sz w:val="24"/>
          <w:lang w:val="cs-CZ"/>
        </w:rPr>
      </w:pPr>
      <w:r w:rsidRPr="0055390E">
        <w:rPr>
          <w:rFonts w:ascii="Times New Roman" w:hAnsi="Times New Roman" w:cs="Times New Roman"/>
          <w:b/>
          <w:sz w:val="24"/>
          <w:lang w:val="cs-CZ"/>
        </w:rPr>
        <w:t>15.</w:t>
      </w:r>
      <w:r w:rsidRPr="0055390E">
        <w:rPr>
          <w:rFonts w:ascii="Times New Roman" w:hAnsi="Times New Roman" w:cs="Times New Roman"/>
          <w:b/>
          <w:sz w:val="24"/>
          <w:lang w:val="cs-CZ"/>
        </w:rPr>
        <w:tab/>
        <w:t>DALŠÍ INFORMACE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55390E" w:rsidRPr="0055390E" w:rsidRDefault="0055390E" w:rsidP="00553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lang w:val="cs-CZ"/>
        </w:rPr>
      </w:pPr>
      <w:r w:rsidRPr="0055390E">
        <w:rPr>
          <w:rFonts w:ascii="Times New Roman" w:hAnsi="Times New Roman" w:cs="Times New Roman"/>
          <w:sz w:val="24"/>
          <w:lang w:val="cs-CZ"/>
        </w:rPr>
        <w:t xml:space="preserve">Nepodávejte současně s tetracykliny vzhledem k možným antagonistickým účinkům, se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sulphametoxazolem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a </w:t>
      </w:r>
      <w:proofErr w:type="spellStart"/>
      <w:r w:rsidRPr="0055390E">
        <w:rPr>
          <w:rFonts w:ascii="Times New Roman" w:hAnsi="Times New Roman" w:cs="Times New Roman"/>
          <w:sz w:val="24"/>
          <w:lang w:val="cs-CZ"/>
        </w:rPr>
        <w:t>trimetoprimem</w:t>
      </w:r>
      <w:proofErr w:type="spellEnd"/>
      <w:r w:rsidRPr="0055390E">
        <w:rPr>
          <w:rFonts w:ascii="Times New Roman" w:hAnsi="Times New Roman" w:cs="Times New Roman"/>
          <w:sz w:val="24"/>
          <w:lang w:val="cs-CZ"/>
        </w:rPr>
        <w:t xml:space="preserve"> z toxických důvodů, </w:t>
      </w:r>
      <w:r w:rsidRPr="0055390E">
        <w:rPr>
          <w:rFonts w:ascii="Times New Roman" w:hAnsi="Times New Roman" w:cs="Times New Roman"/>
          <w:bCs/>
          <w:sz w:val="24"/>
          <w:lang w:val="cs-CZ"/>
        </w:rPr>
        <w:t xml:space="preserve">nebo s bivalentními  kovy(Mg) a </w:t>
      </w:r>
      <w:proofErr w:type="spellStart"/>
      <w:r w:rsidRPr="0055390E">
        <w:rPr>
          <w:rFonts w:ascii="Times New Roman" w:hAnsi="Times New Roman" w:cs="Times New Roman"/>
          <w:bCs/>
          <w:sz w:val="24"/>
          <w:lang w:val="cs-CZ"/>
        </w:rPr>
        <w:t>trivalentní</w:t>
      </w:r>
      <w:proofErr w:type="spellEnd"/>
      <w:r w:rsidRPr="0055390E">
        <w:rPr>
          <w:rFonts w:ascii="Times New Roman" w:hAnsi="Times New Roman" w:cs="Times New Roman"/>
          <w:bCs/>
          <w:sz w:val="24"/>
          <w:lang w:val="cs-CZ"/>
        </w:rPr>
        <w:t xml:space="preserve"> kovy (Al) z farmakokinetických důvodů - snížení absorpce. </w:t>
      </w:r>
    </w:p>
    <w:p w:rsidR="0055390E" w:rsidRPr="0055390E" w:rsidRDefault="0055390E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Nepodávejte současně s nesteroidními antiflogistiky.</w:t>
      </w:r>
    </w:p>
    <w:p w:rsidR="0055390E" w:rsidRPr="0055390E" w:rsidRDefault="0055390E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</w:p>
    <w:p w:rsidR="0055390E" w:rsidRDefault="0055390E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proofErr w:type="spellStart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Enrofloxacin</w:t>
      </w:r>
      <w:proofErr w:type="spellEnd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 xml:space="preserve"> se váže na plasmatické bílkoviny a nesmí být podáván společně s aspirinem, </w:t>
      </w:r>
      <w:proofErr w:type="spellStart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hydrokortisony</w:t>
      </w:r>
      <w:proofErr w:type="spellEnd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 xml:space="preserve">, </w:t>
      </w:r>
      <w:proofErr w:type="spellStart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phenylbutazonem</w:t>
      </w:r>
      <w:proofErr w:type="spellEnd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 xml:space="preserve">, </w:t>
      </w:r>
      <w:proofErr w:type="spellStart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>sulphonamidy</w:t>
      </w:r>
      <w:proofErr w:type="spellEnd"/>
      <w:r w:rsidRPr="0055390E">
        <w:rPr>
          <w:rFonts w:ascii="Times New Roman" w:hAnsi="Times New Roman" w:cs="Times New Roman"/>
          <w:b w:val="0"/>
          <w:bCs w:val="0"/>
          <w:sz w:val="24"/>
          <w:lang w:val="cs-CZ"/>
        </w:rPr>
        <w:t xml:space="preserve"> s ohledem na  jejich silnější vazbu na plasmatické bílkoviny. </w:t>
      </w:r>
    </w:p>
    <w:p w:rsidR="006E7A70" w:rsidRDefault="006E7A70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</w:p>
    <w:p w:rsidR="006E7A70" w:rsidRDefault="006E7A70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lang w:val="cs-CZ"/>
        </w:rPr>
        <w:t>Velikosti balení:</w:t>
      </w:r>
    </w:p>
    <w:p w:rsidR="006E7A70" w:rsidRDefault="006E7A70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lang w:val="cs-CZ"/>
        </w:rPr>
        <w:t>1x injekční lahvička o objemu 100 ml v papírové skládačce</w:t>
      </w:r>
    </w:p>
    <w:p w:rsidR="006E7A70" w:rsidRDefault="006E7A70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lang w:val="cs-CZ"/>
        </w:rPr>
        <w:t>1x injekční lahvička o objemu 250 ml v papírové skládačce</w:t>
      </w:r>
    </w:p>
    <w:p w:rsidR="006E7A70" w:rsidRPr="0055390E" w:rsidRDefault="006E7A70" w:rsidP="0055390E">
      <w:pPr>
        <w:pStyle w:val="Zkladntext"/>
        <w:spacing w:line="360" w:lineRule="auto"/>
        <w:rPr>
          <w:rFonts w:ascii="Times New Roman" w:hAnsi="Times New Roman" w:cs="Times New Roman"/>
          <w:b w:val="0"/>
          <w:bCs w:val="0"/>
          <w:sz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lang w:val="cs-CZ"/>
        </w:rPr>
        <w:lastRenderedPageBreak/>
        <w:t xml:space="preserve">Na trhu nemusí být všechny velikosti balení. </w:t>
      </w:r>
    </w:p>
    <w:p w:rsidR="000517C4" w:rsidRPr="0055390E" w:rsidRDefault="000517C4" w:rsidP="0055390E">
      <w:pPr>
        <w:spacing w:line="360" w:lineRule="auto"/>
        <w:jc w:val="both"/>
        <w:rPr>
          <w:rFonts w:ascii="Times New Roman" w:hAnsi="Times New Roman" w:cs="Times New Roman"/>
          <w:sz w:val="24"/>
          <w:lang w:val="cs-CZ"/>
        </w:rPr>
      </w:pPr>
    </w:p>
    <w:sectPr w:rsidR="000517C4" w:rsidRPr="00553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CE7"/>
    <w:multiLevelType w:val="multilevel"/>
    <w:tmpl w:val="C16610D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34"/>
  </w:num>
  <w:num w:numId="7">
    <w:abstractNumId w:val="12"/>
  </w:num>
  <w:num w:numId="8">
    <w:abstractNumId w:val="22"/>
  </w:num>
  <w:num w:numId="9">
    <w:abstractNumId w:val="21"/>
  </w:num>
  <w:num w:numId="10">
    <w:abstractNumId w:val="7"/>
  </w:num>
  <w:num w:numId="11">
    <w:abstractNumId w:val="32"/>
  </w:num>
  <w:num w:numId="12">
    <w:abstractNumId w:val="33"/>
  </w:num>
  <w:num w:numId="13">
    <w:abstractNumId w:val="17"/>
  </w:num>
  <w:num w:numId="14">
    <w:abstractNumId w:val="14"/>
  </w:num>
  <w:num w:numId="15">
    <w:abstractNumId w:val="3"/>
  </w:num>
  <w:num w:numId="16">
    <w:abstractNumId w:val="31"/>
  </w:num>
  <w:num w:numId="17">
    <w:abstractNumId w:val="19"/>
  </w:num>
  <w:num w:numId="18">
    <w:abstractNumId w:val="36"/>
  </w:num>
  <w:num w:numId="19">
    <w:abstractNumId w:val="8"/>
  </w:num>
  <w:num w:numId="20">
    <w:abstractNumId w:val="2"/>
  </w:num>
  <w:num w:numId="21">
    <w:abstractNumId w:val="18"/>
  </w:num>
  <w:num w:numId="22">
    <w:abstractNumId w:val="4"/>
  </w:num>
  <w:num w:numId="23">
    <w:abstractNumId w:val="6"/>
  </w:num>
  <w:num w:numId="24">
    <w:abstractNumId w:val="25"/>
  </w:num>
  <w:num w:numId="25">
    <w:abstractNumId w:val="11"/>
  </w:num>
  <w:num w:numId="26">
    <w:abstractNumId w:val="30"/>
  </w:num>
  <w:num w:numId="27">
    <w:abstractNumId w:val="24"/>
  </w:num>
  <w:num w:numId="28">
    <w:abstractNumId w:val="13"/>
  </w:num>
  <w:num w:numId="29">
    <w:abstractNumId w:val="10"/>
  </w:num>
  <w:num w:numId="30">
    <w:abstractNumId w:val="20"/>
  </w:num>
  <w:num w:numId="31">
    <w:abstractNumId w:val="23"/>
  </w:num>
  <w:num w:numId="32">
    <w:abstractNumId w:val="15"/>
  </w:num>
  <w:num w:numId="33">
    <w:abstractNumId w:val="9"/>
  </w:num>
  <w:num w:numId="34">
    <w:abstractNumId w:val="28"/>
  </w:num>
  <w:num w:numId="35">
    <w:abstractNumId w:val="29"/>
  </w:num>
  <w:num w:numId="36">
    <w:abstractNumId w:val="27"/>
  </w:num>
  <w:num w:numId="37">
    <w:abstractNumId w:val="16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4"/>
    <w:rsid w:val="000517C4"/>
    <w:rsid w:val="001756CC"/>
    <w:rsid w:val="001E2E11"/>
    <w:rsid w:val="004B1A6A"/>
    <w:rsid w:val="0055390E"/>
    <w:rsid w:val="00642AE7"/>
    <w:rsid w:val="006E7A70"/>
    <w:rsid w:val="009210CB"/>
    <w:rsid w:val="00930C96"/>
    <w:rsid w:val="00BE4A90"/>
    <w:rsid w:val="00D45582"/>
    <w:rsid w:val="00EB1C7C"/>
    <w:rsid w:val="00EF11C6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4"/>
      <w:lang w:val="es-ES" w:eastAsia="es-E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tabs>
        <w:tab w:val="left" w:pos="-720"/>
        <w:tab w:val="left" w:pos="0"/>
      </w:tabs>
      <w:suppressAutoHyphens/>
      <w:jc w:val="both"/>
    </w:pPr>
    <w:rPr>
      <w:snapToGrid w:val="0"/>
      <w:lang w:val="en-GB"/>
    </w:rPr>
  </w:style>
  <w:style w:type="paragraph" w:styleId="Zkladntext">
    <w:name w:val="Body Text"/>
    <w:basedOn w:val="Normln"/>
    <w:pPr>
      <w:tabs>
        <w:tab w:val="left" w:pos="-720"/>
      </w:tabs>
      <w:suppressAutoHyphens/>
      <w:jc w:val="both"/>
    </w:pPr>
    <w:rPr>
      <w:b/>
      <w:bCs/>
      <w:snapToGrid w:val="0"/>
      <w:lang w:val="en-GB"/>
    </w:rPr>
  </w:style>
  <w:style w:type="paragraph" w:customStyle="1" w:styleId="Bullet">
    <w:name w:val="Bullet"/>
    <w:basedOn w:val="Normln"/>
    <w:pPr>
      <w:numPr>
        <w:numId w:val="3"/>
      </w:numPr>
    </w:pPr>
    <w:rPr>
      <w:szCs w:val="20"/>
      <w:lang w:val="cs-CZ" w:eastAsia="en-US"/>
    </w:rPr>
  </w:style>
  <w:style w:type="paragraph" w:customStyle="1" w:styleId="AHeader1">
    <w:name w:val="AHeader 1"/>
    <w:basedOn w:val="Normln"/>
    <w:pPr>
      <w:numPr>
        <w:numId w:val="33"/>
      </w:numPr>
      <w:spacing w:after="120"/>
    </w:pPr>
    <w:rPr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2">
    <w:name w:val="Body Text 2"/>
    <w:basedOn w:val="Normln"/>
    <w:rPr>
      <w:lang w:val="cs-CZ"/>
    </w:rPr>
  </w:style>
  <w:style w:type="paragraph" w:styleId="Zkladntext3">
    <w:name w:val="Body Text 3"/>
    <w:basedOn w:val="Normln"/>
    <w:pPr>
      <w:jc w:val="both"/>
    </w:pPr>
    <w:rPr>
      <w:b/>
      <w:bCs/>
      <w:color w:val="FF000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lang w:val="en-GB"/>
    </w:rPr>
  </w:style>
  <w:style w:type="paragraph" w:styleId="Textbubliny">
    <w:name w:val="Balloon Text"/>
    <w:basedOn w:val="Normln"/>
    <w:semiHidden/>
    <w:rsid w:val="001E2E1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B1C7C"/>
    <w:pPr>
      <w:tabs>
        <w:tab w:val="center" w:pos="4252"/>
        <w:tab w:val="right" w:pos="8504"/>
      </w:tabs>
    </w:pPr>
    <w:rPr>
      <w:rFonts w:ascii="Times New Roman" w:hAnsi="Times New Roman" w:cs="Times New Roman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4"/>
      <w:lang w:val="es-ES" w:eastAsia="es-E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tabs>
        <w:tab w:val="left" w:pos="-720"/>
        <w:tab w:val="left" w:pos="0"/>
      </w:tabs>
      <w:suppressAutoHyphens/>
      <w:jc w:val="both"/>
    </w:pPr>
    <w:rPr>
      <w:snapToGrid w:val="0"/>
      <w:lang w:val="en-GB"/>
    </w:rPr>
  </w:style>
  <w:style w:type="paragraph" w:styleId="Zkladntext">
    <w:name w:val="Body Text"/>
    <w:basedOn w:val="Normln"/>
    <w:pPr>
      <w:tabs>
        <w:tab w:val="left" w:pos="-720"/>
      </w:tabs>
      <w:suppressAutoHyphens/>
      <w:jc w:val="both"/>
    </w:pPr>
    <w:rPr>
      <w:b/>
      <w:bCs/>
      <w:snapToGrid w:val="0"/>
      <w:lang w:val="en-GB"/>
    </w:rPr>
  </w:style>
  <w:style w:type="paragraph" w:customStyle="1" w:styleId="Bullet">
    <w:name w:val="Bullet"/>
    <w:basedOn w:val="Normln"/>
    <w:pPr>
      <w:numPr>
        <w:numId w:val="3"/>
      </w:numPr>
    </w:pPr>
    <w:rPr>
      <w:szCs w:val="20"/>
      <w:lang w:val="cs-CZ" w:eastAsia="en-US"/>
    </w:rPr>
  </w:style>
  <w:style w:type="paragraph" w:customStyle="1" w:styleId="AHeader1">
    <w:name w:val="AHeader 1"/>
    <w:basedOn w:val="Normln"/>
    <w:pPr>
      <w:numPr>
        <w:numId w:val="33"/>
      </w:numPr>
      <w:spacing w:after="120"/>
    </w:pPr>
    <w:rPr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2">
    <w:name w:val="Body Text 2"/>
    <w:basedOn w:val="Normln"/>
    <w:rPr>
      <w:lang w:val="cs-CZ"/>
    </w:rPr>
  </w:style>
  <w:style w:type="paragraph" w:styleId="Zkladntext3">
    <w:name w:val="Body Text 3"/>
    <w:basedOn w:val="Normln"/>
    <w:pPr>
      <w:jc w:val="both"/>
    </w:pPr>
    <w:rPr>
      <w:b/>
      <w:bCs/>
      <w:color w:val="FF0000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lang w:val="en-GB"/>
    </w:rPr>
  </w:style>
  <w:style w:type="paragraph" w:styleId="Textbubliny">
    <w:name w:val="Balloon Text"/>
    <w:basedOn w:val="Normln"/>
    <w:semiHidden/>
    <w:rsid w:val="001E2E1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B1C7C"/>
    <w:pPr>
      <w:tabs>
        <w:tab w:val="center" w:pos="4252"/>
        <w:tab w:val="right" w:pos="8504"/>
      </w:tabs>
    </w:pPr>
    <w:rPr>
      <w:rFonts w:ascii="Times New Roman" w:hAnsi="Times New Roman" w:cs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ÚSKVBL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X.Mercader</dc:creator>
  <cp:lastModifiedBy>Šťastná Hana</cp:lastModifiedBy>
  <cp:revision>5</cp:revision>
  <cp:lastPrinted>2021-07-22T11:55:00Z</cp:lastPrinted>
  <dcterms:created xsi:type="dcterms:W3CDTF">2021-07-14T09:06:00Z</dcterms:created>
  <dcterms:modified xsi:type="dcterms:W3CDTF">2021-07-22T11:55:00Z</dcterms:modified>
</cp:coreProperties>
</file>