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09A7B" w14:textId="77777777" w:rsidR="00525410" w:rsidRDefault="00525410" w:rsidP="00726466">
      <w:pPr>
        <w:rPr>
          <w:rFonts w:ascii="Calibri" w:hAnsi="Calibri"/>
          <w:b/>
          <w:sz w:val="32"/>
          <w:szCs w:val="32"/>
        </w:rPr>
      </w:pPr>
    </w:p>
    <w:p w14:paraId="169B6DAB" w14:textId="77777777" w:rsidR="00D44E3D" w:rsidRDefault="00D44E3D" w:rsidP="00726466">
      <w:pPr>
        <w:rPr>
          <w:rFonts w:ascii="Calibri" w:hAnsi="Calibri"/>
          <w:b/>
          <w:sz w:val="32"/>
          <w:szCs w:val="32"/>
        </w:rPr>
      </w:pPr>
    </w:p>
    <w:p w14:paraId="098D461E" w14:textId="77777777" w:rsidR="004634DE" w:rsidRDefault="004634DE" w:rsidP="00726466">
      <w:pPr>
        <w:rPr>
          <w:rFonts w:ascii="Calibri" w:hAnsi="Calibri"/>
          <w:b/>
          <w:sz w:val="32"/>
          <w:szCs w:val="32"/>
        </w:rPr>
      </w:pPr>
    </w:p>
    <w:p w14:paraId="60033E0B" w14:textId="77777777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  <w:sz w:val="28"/>
          <w:szCs w:val="28"/>
        </w:rPr>
      </w:pPr>
    </w:p>
    <w:p w14:paraId="2179DEF3" w14:textId="77777777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  <w:sz w:val="24"/>
          <w:szCs w:val="24"/>
        </w:rPr>
      </w:pPr>
    </w:p>
    <w:p w14:paraId="5B6AC9BF" w14:textId="72B5672F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ÚSKVBL/UST </w:t>
      </w:r>
      <w:r w:rsidR="00397D52">
        <w:rPr>
          <w:rFonts w:ascii="Calibri" w:hAnsi="Calibri"/>
          <w:b/>
          <w:bCs/>
          <w:sz w:val="28"/>
          <w:szCs w:val="28"/>
        </w:rPr>
        <w:t>–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397D52">
        <w:rPr>
          <w:rFonts w:ascii="Calibri" w:hAnsi="Calibri"/>
          <w:b/>
          <w:bCs/>
          <w:sz w:val="28"/>
          <w:szCs w:val="28"/>
        </w:rPr>
        <w:t>1</w:t>
      </w:r>
      <w:r>
        <w:rPr>
          <w:rFonts w:ascii="Calibri" w:hAnsi="Calibri"/>
          <w:b/>
          <w:bCs/>
          <w:sz w:val="28"/>
          <w:szCs w:val="28"/>
        </w:rPr>
        <w:t>/202</w:t>
      </w:r>
      <w:r w:rsidR="00205B48">
        <w:rPr>
          <w:rFonts w:ascii="Calibri" w:hAnsi="Calibri"/>
          <w:b/>
          <w:bCs/>
          <w:sz w:val="28"/>
          <w:szCs w:val="28"/>
        </w:rPr>
        <w:t>1</w:t>
      </w:r>
      <w:r>
        <w:rPr>
          <w:rFonts w:ascii="Calibri" w:hAnsi="Calibri"/>
          <w:b/>
          <w:bCs/>
          <w:sz w:val="28"/>
          <w:szCs w:val="28"/>
        </w:rPr>
        <w:t>/</w:t>
      </w:r>
      <w:proofErr w:type="spellStart"/>
      <w:r w:rsidR="00E45C58">
        <w:rPr>
          <w:rFonts w:ascii="Calibri" w:hAnsi="Calibri"/>
          <w:b/>
          <w:bCs/>
          <w:sz w:val="28"/>
          <w:szCs w:val="28"/>
        </w:rPr>
        <w:t>Rev</w:t>
      </w:r>
      <w:proofErr w:type="spellEnd"/>
      <w:r w:rsidR="00E45C58">
        <w:rPr>
          <w:rFonts w:ascii="Calibri" w:hAnsi="Calibri"/>
          <w:b/>
          <w:bCs/>
          <w:sz w:val="28"/>
          <w:szCs w:val="28"/>
        </w:rPr>
        <w:t>. 1</w:t>
      </w:r>
    </w:p>
    <w:p w14:paraId="2ACA8A71" w14:textId="77777777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372DD3AA" w14:textId="77777777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Pokyn Ústavu pro státní kontrolu veterinárních biopreparátů a léčiv</w:t>
      </w:r>
    </w:p>
    <w:p w14:paraId="741DE697" w14:textId="77777777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3A2413C9" w14:textId="634F8CE6" w:rsidR="00525410" w:rsidRDefault="008E3CA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Použití </w:t>
      </w:r>
      <w:r w:rsidR="001B364E">
        <w:rPr>
          <w:rFonts w:ascii="Calibri" w:hAnsi="Calibri"/>
          <w:b/>
          <w:bCs/>
          <w:sz w:val="28"/>
          <w:szCs w:val="28"/>
        </w:rPr>
        <w:t>rostlin</w:t>
      </w:r>
      <w:r w:rsidR="00EA168E">
        <w:rPr>
          <w:rFonts w:ascii="Calibri" w:hAnsi="Calibri"/>
          <w:b/>
          <w:bCs/>
          <w:sz w:val="28"/>
          <w:szCs w:val="28"/>
        </w:rPr>
        <w:t xml:space="preserve"> konopí</w:t>
      </w:r>
      <w:r w:rsidR="001B364E">
        <w:rPr>
          <w:rFonts w:ascii="Calibri" w:hAnsi="Calibri"/>
          <w:b/>
          <w:bCs/>
          <w:sz w:val="28"/>
          <w:szCs w:val="28"/>
        </w:rPr>
        <w:t xml:space="preserve"> a </w:t>
      </w:r>
      <w:proofErr w:type="spellStart"/>
      <w:r w:rsidR="00A05090">
        <w:rPr>
          <w:rFonts w:ascii="Calibri" w:hAnsi="Calibri"/>
          <w:b/>
          <w:bCs/>
          <w:sz w:val="28"/>
          <w:szCs w:val="28"/>
        </w:rPr>
        <w:t>kanabidiolu</w:t>
      </w:r>
      <w:proofErr w:type="spellEnd"/>
      <w:r w:rsidR="001B364E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ve veterinárních přípravcích</w:t>
      </w:r>
    </w:p>
    <w:p w14:paraId="1517D346" w14:textId="77777777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4E10E252" w14:textId="6E463999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Datum vydání: </w:t>
      </w:r>
      <w:proofErr w:type="gramStart"/>
      <w:r w:rsidR="007E59B7">
        <w:rPr>
          <w:rFonts w:ascii="Calibri" w:hAnsi="Calibri"/>
          <w:b/>
          <w:bCs/>
          <w:sz w:val="28"/>
          <w:szCs w:val="28"/>
        </w:rPr>
        <w:t>18.</w:t>
      </w:r>
      <w:r w:rsidR="00E45C58">
        <w:rPr>
          <w:rFonts w:ascii="Calibri" w:hAnsi="Calibri"/>
          <w:b/>
          <w:bCs/>
          <w:sz w:val="28"/>
          <w:szCs w:val="28"/>
        </w:rPr>
        <w:t>03</w:t>
      </w:r>
      <w:r w:rsidR="007E59B7">
        <w:rPr>
          <w:rFonts w:ascii="Calibri" w:hAnsi="Calibri"/>
          <w:b/>
          <w:bCs/>
          <w:sz w:val="28"/>
          <w:szCs w:val="28"/>
        </w:rPr>
        <w:t>.202</w:t>
      </w:r>
      <w:r w:rsidR="00E45C58">
        <w:rPr>
          <w:rFonts w:ascii="Calibri" w:hAnsi="Calibri"/>
          <w:b/>
          <w:bCs/>
          <w:sz w:val="28"/>
          <w:szCs w:val="28"/>
        </w:rPr>
        <w:t>1</w:t>
      </w:r>
      <w:proofErr w:type="gramEnd"/>
    </w:p>
    <w:p w14:paraId="78C73EF9" w14:textId="3DAFD86C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Platnost </w:t>
      </w:r>
      <w:proofErr w:type="gramStart"/>
      <w:r>
        <w:rPr>
          <w:rFonts w:ascii="Calibri" w:hAnsi="Calibri"/>
          <w:b/>
          <w:bCs/>
          <w:sz w:val="28"/>
          <w:szCs w:val="28"/>
        </w:rPr>
        <w:t>od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: </w:t>
      </w:r>
      <w:proofErr w:type="gramStart"/>
      <w:r w:rsidR="00363DA0">
        <w:rPr>
          <w:rFonts w:ascii="Calibri" w:hAnsi="Calibri"/>
          <w:b/>
          <w:bCs/>
          <w:sz w:val="28"/>
          <w:szCs w:val="28"/>
        </w:rPr>
        <w:t>1</w:t>
      </w:r>
      <w:r w:rsidR="00937FA9">
        <w:rPr>
          <w:rFonts w:ascii="Calibri" w:hAnsi="Calibri"/>
          <w:b/>
          <w:bCs/>
          <w:sz w:val="28"/>
          <w:szCs w:val="28"/>
        </w:rPr>
        <w:t>9</w:t>
      </w:r>
      <w:r w:rsidR="00363DA0">
        <w:rPr>
          <w:rFonts w:ascii="Calibri" w:hAnsi="Calibri"/>
          <w:b/>
          <w:bCs/>
          <w:sz w:val="28"/>
          <w:szCs w:val="28"/>
        </w:rPr>
        <w:t>.3.</w:t>
      </w:r>
      <w:r>
        <w:rPr>
          <w:rFonts w:ascii="Calibri" w:hAnsi="Calibri"/>
          <w:b/>
          <w:bCs/>
          <w:sz w:val="28"/>
          <w:szCs w:val="28"/>
        </w:rPr>
        <w:t>202</w:t>
      </w:r>
      <w:r w:rsidR="00397D52">
        <w:rPr>
          <w:rFonts w:ascii="Calibri" w:hAnsi="Calibri"/>
          <w:b/>
          <w:bCs/>
          <w:sz w:val="28"/>
          <w:szCs w:val="28"/>
        </w:rPr>
        <w:t>1</w:t>
      </w:r>
      <w:proofErr w:type="gramEnd"/>
    </w:p>
    <w:p w14:paraId="401A336C" w14:textId="14EF646F" w:rsidR="00E45C58" w:rsidRPr="003C27C1" w:rsidRDefault="00E45C58" w:rsidP="00E45C58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3C27C1">
        <w:rPr>
          <w:rFonts w:ascii="Calibri" w:hAnsi="Calibri"/>
          <w:b/>
          <w:bCs/>
          <w:sz w:val="28"/>
        </w:rPr>
        <w:t>Doplňuje:</w:t>
      </w:r>
      <w:r w:rsidRPr="003C27C1">
        <w:rPr>
          <w:rFonts w:ascii="Calibri" w:hAnsi="Calibri"/>
          <w:bCs/>
          <w:sz w:val="28"/>
          <w:szCs w:val="28"/>
        </w:rPr>
        <w:t xml:space="preserve"> </w:t>
      </w:r>
      <w:r w:rsidRPr="003C27C1">
        <w:rPr>
          <w:rFonts w:ascii="Calibri" w:hAnsi="Calibri"/>
          <w:b/>
          <w:bCs/>
          <w:sz w:val="28"/>
          <w:szCs w:val="28"/>
        </w:rPr>
        <w:t>Pokyn ÚSKVBL/</w:t>
      </w:r>
      <w:r w:rsidR="009267ED">
        <w:rPr>
          <w:rFonts w:ascii="Calibri" w:hAnsi="Calibri"/>
          <w:b/>
          <w:bCs/>
          <w:sz w:val="28"/>
          <w:szCs w:val="28"/>
        </w:rPr>
        <w:t>UST - 1/2021</w:t>
      </w:r>
    </w:p>
    <w:p w14:paraId="23D63F51" w14:textId="77777777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6D47DB64" w14:textId="77777777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  <w:sz w:val="24"/>
          <w:szCs w:val="24"/>
        </w:rPr>
      </w:pPr>
    </w:p>
    <w:p w14:paraId="78B88AC7" w14:textId="77777777" w:rsidR="00525410" w:rsidRDefault="00525410" w:rsidP="00726466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</w:rPr>
      </w:pPr>
    </w:p>
    <w:p w14:paraId="5AB0F372" w14:textId="77777777" w:rsidR="00525410" w:rsidRDefault="00525410" w:rsidP="00726466">
      <w:pPr>
        <w:rPr>
          <w:rFonts w:ascii="Calibri" w:hAnsi="Calibri"/>
        </w:rPr>
      </w:pPr>
    </w:p>
    <w:p w14:paraId="51783FB1" w14:textId="77777777" w:rsidR="00525410" w:rsidRDefault="00525410" w:rsidP="00726466">
      <w:pPr>
        <w:rPr>
          <w:rFonts w:ascii="Calibri" w:hAnsi="Calibri"/>
        </w:rPr>
      </w:pPr>
    </w:p>
    <w:p w14:paraId="3B0B8C6B" w14:textId="77777777" w:rsidR="00525410" w:rsidRDefault="00525410" w:rsidP="00726466">
      <w:pPr>
        <w:adjustRightInd w:val="0"/>
        <w:rPr>
          <w:rFonts w:ascii="Calibri" w:hAnsi="Calibri"/>
          <w:szCs w:val="22"/>
        </w:rPr>
      </w:pPr>
    </w:p>
    <w:p w14:paraId="4516C142" w14:textId="77777777" w:rsidR="00525410" w:rsidRDefault="00525410" w:rsidP="00726466">
      <w:pPr>
        <w:adjustRightInd w:val="0"/>
        <w:rPr>
          <w:rFonts w:ascii="Calibri" w:hAnsi="Calibri"/>
          <w:szCs w:val="22"/>
        </w:rPr>
      </w:pPr>
    </w:p>
    <w:p w14:paraId="1500D965" w14:textId="2D5DC8DE" w:rsidR="00525410" w:rsidRDefault="00525410" w:rsidP="00726466">
      <w:pPr>
        <w:tabs>
          <w:tab w:val="left" w:pos="6804"/>
        </w:tabs>
        <w:adjustRightInd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 Brně dne </w:t>
      </w:r>
      <w:proofErr w:type="gramStart"/>
      <w:r w:rsidR="00B80E86">
        <w:rPr>
          <w:rFonts w:ascii="Calibri" w:hAnsi="Calibri"/>
          <w:szCs w:val="22"/>
        </w:rPr>
        <w:t>18.</w:t>
      </w:r>
      <w:r w:rsidR="00B70D40">
        <w:rPr>
          <w:rFonts w:ascii="Calibri" w:hAnsi="Calibri"/>
          <w:szCs w:val="22"/>
        </w:rPr>
        <w:t>3</w:t>
      </w:r>
      <w:r w:rsidR="005C44D6">
        <w:rPr>
          <w:rFonts w:ascii="Calibri" w:hAnsi="Calibri"/>
          <w:szCs w:val="22"/>
        </w:rPr>
        <w:t>.202</w:t>
      </w:r>
      <w:r w:rsidR="00B70D40">
        <w:rPr>
          <w:rFonts w:ascii="Calibri" w:hAnsi="Calibri"/>
          <w:szCs w:val="22"/>
        </w:rPr>
        <w:t>1</w:t>
      </w:r>
      <w:proofErr w:type="gramEnd"/>
      <w:r>
        <w:rPr>
          <w:rFonts w:ascii="Calibri" w:hAnsi="Calibri"/>
          <w:szCs w:val="22"/>
        </w:rPr>
        <w:tab/>
        <w:t xml:space="preserve">MVDr. Jiří Bureš, </w:t>
      </w:r>
    </w:p>
    <w:p w14:paraId="5CA0B80E" w14:textId="77777777" w:rsidR="00525410" w:rsidRDefault="00525410" w:rsidP="00726466">
      <w:pPr>
        <w:tabs>
          <w:tab w:val="left" w:pos="6804"/>
        </w:tabs>
        <w:adjustRightInd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Ředitel ÚSKVBL</w:t>
      </w:r>
    </w:p>
    <w:p w14:paraId="3502531A" w14:textId="4E09B4C3" w:rsidR="005C44D6" w:rsidRDefault="005C44D6" w:rsidP="00726466">
      <w:pPr>
        <w:rPr>
          <w:rFonts w:cstheme="minorHAnsi"/>
        </w:rPr>
      </w:pPr>
    </w:p>
    <w:p w14:paraId="7008249C" w14:textId="77777777" w:rsidR="005C44D6" w:rsidRPr="005C44D6" w:rsidRDefault="005C44D6" w:rsidP="00726466">
      <w:pPr>
        <w:rPr>
          <w:rFonts w:cstheme="minorHAnsi"/>
        </w:rPr>
      </w:pPr>
    </w:p>
    <w:p w14:paraId="3189938A" w14:textId="77777777" w:rsidR="005C44D6" w:rsidRPr="005C44D6" w:rsidRDefault="005C44D6" w:rsidP="00726466">
      <w:pPr>
        <w:rPr>
          <w:rFonts w:cstheme="minorHAnsi"/>
        </w:rPr>
      </w:pPr>
    </w:p>
    <w:p w14:paraId="0FC168BC" w14:textId="77777777" w:rsidR="005C44D6" w:rsidRPr="005C44D6" w:rsidRDefault="005C44D6" w:rsidP="00726466">
      <w:pPr>
        <w:rPr>
          <w:rFonts w:cstheme="minorHAnsi"/>
        </w:rPr>
      </w:pPr>
    </w:p>
    <w:sdt>
      <w:sdtPr>
        <w:rPr>
          <w:rFonts w:asciiTheme="minorHAnsi" w:eastAsia="Times New Roman" w:hAnsiTheme="minorHAnsi" w:cs="Times New Roman"/>
          <w:color w:val="auto"/>
          <w:sz w:val="22"/>
          <w:szCs w:val="20"/>
        </w:rPr>
        <w:id w:val="6681379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6FA6CC" w14:textId="5C9D26E1" w:rsidR="00192736" w:rsidRPr="00192736" w:rsidRDefault="00192736" w:rsidP="004906AD">
          <w:pPr>
            <w:pStyle w:val="Nadpisobsahu"/>
            <w:spacing w:before="120"/>
            <w:jc w:val="both"/>
            <w:rPr>
              <w:rFonts w:asciiTheme="minorHAnsi" w:hAnsiTheme="minorHAnsi" w:cstheme="minorHAnsi"/>
              <w:color w:val="auto"/>
              <w:sz w:val="28"/>
              <w:szCs w:val="28"/>
            </w:rPr>
          </w:pPr>
          <w:r w:rsidRPr="00192736">
            <w:rPr>
              <w:rFonts w:asciiTheme="minorHAnsi" w:hAnsiTheme="minorHAnsi" w:cstheme="minorHAnsi"/>
              <w:color w:val="auto"/>
              <w:sz w:val="28"/>
              <w:szCs w:val="28"/>
            </w:rPr>
            <w:t>Obsah</w:t>
          </w:r>
        </w:p>
        <w:p w14:paraId="5509DEF3" w14:textId="77777777" w:rsidR="007173B5" w:rsidRDefault="00192736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853308" w:history="1">
            <w:r w:rsidR="007173B5" w:rsidRPr="00645770">
              <w:rPr>
                <w:rStyle w:val="Hypertextovodkaz"/>
                <w:noProof/>
              </w:rPr>
              <w:t>1.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Úvod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_Toc63853308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3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76BAE82A" w14:textId="77777777" w:rsidR="007173B5" w:rsidRDefault="007A4899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hyperlink w:anchor="_Toc63853309" w:history="1">
            <w:r w:rsidR="007173B5" w:rsidRPr="00645770">
              <w:rPr>
                <w:rStyle w:val="Hypertextovodkaz"/>
                <w:noProof/>
              </w:rPr>
              <w:t>2.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Cíle a rozsah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_Toc63853309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3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7B6995EE" w14:textId="77777777" w:rsidR="007173B5" w:rsidRDefault="007A4899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hyperlink w:anchor="_Toc63853310" w:history="1">
            <w:r w:rsidR="007173B5" w:rsidRPr="00645770">
              <w:rPr>
                <w:rStyle w:val="Hypertextovodkaz"/>
                <w:noProof/>
              </w:rPr>
              <w:t>3.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Související právní předpisy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_Toc63853310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3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1CA9C346" w14:textId="77777777" w:rsidR="007173B5" w:rsidRDefault="007A4899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hyperlink w:anchor="_Toc63853311" w:history="1">
            <w:r w:rsidR="007173B5" w:rsidRPr="00645770">
              <w:rPr>
                <w:rStyle w:val="Hypertextovodkaz"/>
                <w:noProof/>
              </w:rPr>
              <w:t>4.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Právní výklad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_Toc63853311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4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37B518FD" w14:textId="77777777" w:rsidR="007173B5" w:rsidRDefault="007A4899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hyperlink w:anchor="_Toc63853312" w:history="1">
            <w:r w:rsidR="007173B5" w:rsidRPr="00645770">
              <w:rPr>
                <w:rStyle w:val="Hypertextovodkaz"/>
                <w:noProof/>
              </w:rPr>
              <w:t>5.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Státní orgány pro nakládání s rostlinami konopí a tzv. konopnými produkty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_Toc63853312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5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398C8378" w14:textId="77777777" w:rsidR="007173B5" w:rsidRDefault="007A4899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hyperlink w:anchor="_Toc63853313" w:history="1">
            <w:r w:rsidR="007173B5" w:rsidRPr="00645770">
              <w:rPr>
                <w:rStyle w:val="Hypertextovodkaz"/>
                <w:noProof/>
              </w:rPr>
              <w:t>6.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Zacházení s CBD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_Toc63853313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6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5E9C591A" w14:textId="77777777" w:rsidR="007173B5" w:rsidRDefault="007A4899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hyperlink w:anchor="_Toc63853314" w:history="1">
            <w:r w:rsidR="007173B5" w:rsidRPr="00645770">
              <w:rPr>
                <w:rStyle w:val="Hypertextovodkaz"/>
                <w:noProof/>
              </w:rPr>
              <w:t>7.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Podrobné informace a požadavky na látku kanabidiol (CBD) u veterinárních přípravků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_Toc63853314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7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2F13115D" w14:textId="77777777" w:rsidR="007173B5" w:rsidRDefault="007A4899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hyperlink w:anchor="_Toc63853315" w:history="1">
            <w:r w:rsidR="007173B5" w:rsidRPr="00645770">
              <w:rPr>
                <w:rStyle w:val="Hypertextovodkaz"/>
                <w:noProof/>
              </w:rPr>
              <w:t>8.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Podrobné informace a požadavky na veterinární přípravky s obsahem CBD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_Toc63853315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7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098DEB3D" w14:textId="77777777" w:rsidR="007173B5" w:rsidRDefault="007A4899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hyperlink w:anchor="_Toc63853316" w:history="1">
            <w:r w:rsidR="007173B5" w:rsidRPr="00645770">
              <w:rPr>
                <w:rStyle w:val="Hypertextovodkaz"/>
                <w:noProof/>
              </w:rPr>
              <w:t>9.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Zhodnocení bezpečnosti látky CBD a přípravků s obsahem této látky pro perorální podání u zvířat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_Toc63853316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9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24863D75" w14:textId="77777777" w:rsidR="007173B5" w:rsidRDefault="007A4899">
          <w:pPr>
            <w:pStyle w:val="Obsah1"/>
            <w:tabs>
              <w:tab w:val="left" w:pos="660"/>
              <w:tab w:val="right" w:leader="dot" w:pos="9060"/>
            </w:tabs>
            <w:rPr>
              <w:rFonts w:eastAsiaTheme="minorEastAsia" w:cstheme="minorBidi"/>
              <w:noProof/>
              <w:szCs w:val="22"/>
            </w:rPr>
          </w:pPr>
          <w:hyperlink w:anchor="_Toc63853317" w:history="1">
            <w:r w:rsidR="007173B5" w:rsidRPr="00645770">
              <w:rPr>
                <w:rStyle w:val="Hypertextovodkaz"/>
                <w:noProof/>
              </w:rPr>
              <w:t>10.</w:t>
            </w:r>
            <w:r w:rsidR="007173B5">
              <w:rPr>
                <w:rFonts w:eastAsiaTheme="minorEastAsia" w:cstheme="minorBidi"/>
                <w:noProof/>
                <w:szCs w:val="22"/>
              </w:rPr>
              <w:tab/>
            </w:r>
            <w:r w:rsidR="007173B5" w:rsidRPr="00645770">
              <w:rPr>
                <w:rStyle w:val="Hypertextovodkaz"/>
                <w:noProof/>
              </w:rPr>
              <w:t>Další zdroje informací týkající se problematiky konopné rostliny a jejího využití nejen ve veterinární oblasti</w:t>
            </w:r>
            <w:r w:rsidR="007173B5">
              <w:rPr>
                <w:noProof/>
                <w:webHidden/>
              </w:rPr>
              <w:tab/>
            </w:r>
            <w:r w:rsidR="007173B5">
              <w:rPr>
                <w:noProof/>
                <w:webHidden/>
              </w:rPr>
              <w:fldChar w:fldCharType="begin"/>
            </w:r>
            <w:r w:rsidR="007173B5">
              <w:rPr>
                <w:noProof/>
                <w:webHidden/>
              </w:rPr>
              <w:instrText xml:space="preserve"> PAGEREF _Toc63853317 \h </w:instrText>
            </w:r>
            <w:r w:rsidR="007173B5">
              <w:rPr>
                <w:noProof/>
                <w:webHidden/>
              </w:rPr>
            </w:r>
            <w:r w:rsidR="007173B5">
              <w:rPr>
                <w:noProof/>
                <w:webHidden/>
              </w:rPr>
              <w:fldChar w:fldCharType="separate"/>
            </w:r>
            <w:r w:rsidR="007173B5">
              <w:rPr>
                <w:noProof/>
                <w:webHidden/>
              </w:rPr>
              <w:t>10</w:t>
            </w:r>
            <w:r w:rsidR="007173B5">
              <w:rPr>
                <w:noProof/>
                <w:webHidden/>
              </w:rPr>
              <w:fldChar w:fldCharType="end"/>
            </w:r>
          </w:hyperlink>
        </w:p>
        <w:p w14:paraId="045E9F0E" w14:textId="7ECB698C" w:rsidR="00192736" w:rsidRDefault="00192736" w:rsidP="004906AD">
          <w:r>
            <w:rPr>
              <w:b/>
              <w:bCs/>
            </w:rPr>
            <w:fldChar w:fldCharType="end"/>
          </w:r>
        </w:p>
      </w:sdtContent>
    </w:sdt>
    <w:p w14:paraId="2E6013C8" w14:textId="77777777" w:rsidR="005C44D6" w:rsidRDefault="005C44D6" w:rsidP="004906AD">
      <w:pPr>
        <w:rPr>
          <w:rFonts w:cstheme="minorHAnsi"/>
        </w:rPr>
      </w:pPr>
    </w:p>
    <w:p w14:paraId="36E3BA8C" w14:textId="77777777" w:rsidR="005C44D6" w:rsidRDefault="005C44D6" w:rsidP="004906AD">
      <w:pPr>
        <w:rPr>
          <w:rFonts w:cstheme="minorHAnsi"/>
        </w:rPr>
      </w:pPr>
    </w:p>
    <w:p w14:paraId="59784CFF" w14:textId="77777777" w:rsidR="005C44D6" w:rsidRDefault="005C44D6" w:rsidP="004906AD">
      <w:pPr>
        <w:rPr>
          <w:rFonts w:cstheme="minorHAnsi"/>
        </w:rPr>
      </w:pPr>
    </w:p>
    <w:p w14:paraId="5F489B80" w14:textId="0EC468D1" w:rsidR="00CA4665" w:rsidRDefault="00DB1DF9" w:rsidP="004906AD">
      <w:pPr>
        <w:tabs>
          <w:tab w:val="left" w:pos="8085"/>
        </w:tabs>
        <w:rPr>
          <w:rFonts w:cstheme="minorHAnsi"/>
        </w:rPr>
      </w:pPr>
      <w:r>
        <w:rPr>
          <w:rFonts w:cstheme="minorHAnsi"/>
        </w:rPr>
        <w:tab/>
      </w:r>
    </w:p>
    <w:p w14:paraId="7F827814" w14:textId="77777777" w:rsidR="00CA4665" w:rsidRDefault="00CA4665" w:rsidP="004906AD">
      <w:pPr>
        <w:rPr>
          <w:rFonts w:cstheme="minorHAnsi"/>
        </w:rPr>
      </w:pPr>
    </w:p>
    <w:p w14:paraId="4B459DC3" w14:textId="77777777" w:rsidR="00CA4665" w:rsidRDefault="00CA4665" w:rsidP="004906AD">
      <w:pPr>
        <w:rPr>
          <w:rFonts w:cstheme="minorHAnsi"/>
        </w:rPr>
      </w:pPr>
    </w:p>
    <w:p w14:paraId="0BBB85D3" w14:textId="77777777" w:rsidR="00192736" w:rsidRDefault="00192736" w:rsidP="004906AD">
      <w:pPr>
        <w:rPr>
          <w:rFonts w:cstheme="minorHAnsi"/>
        </w:rPr>
      </w:pPr>
    </w:p>
    <w:p w14:paraId="3409A3BB" w14:textId="77777777" w:rsidR="00192736" w:rsidRDefault="00192736" w:rsidP="004906AD">
      <w:pPr>
        <w:rPr>
          <w:rFonts w:cstheme="minorHAnsi"/>
        </w:rPr>
      </w:pPr>
    </w:p>
    <w:p w14:paraId="70DAF99F" w14:textId="77777777" w:rsidR="00192736" w:rsidRDefault="00192736" w:rsidP="004906AD">
      <w:pPr>
        <w:rPr>
          <w:rFonts w:cstheme="minorHAnsi"/>
        </w:rPr>
      </w:pPr>
    </w:p>
    <w:p w14:paraId="1BA74DE9" w14:textId="77777777" w:rsidR="00192736" w:rsidRDefault="00192736" w:rsidP="004906AD">
      <w:pPr>
        <w:rPr>
          <w:rFonts w:cstheme="minorHAnsi"/>
        </w:rPr>
      </w:pPr>
    </w:p>
    <w:p w14:paraId="7C64B4F0" w14:textId="77777777" w:rsidR="00192736" w:rsidRDefault="00192736" w:rsidP="004906AD">
      <w:pPr>
        <w:rPr>
          <w:rFonts w:cstheme="minorHAnsi"/>
        </w:rPr>
      </w:pPr>
    </w:p>
    <w:p w14:paraId="3E7E5E76" w14:textId="77777777" w:rsidR="00192736" w:rsidRDefault="00192736" w:rsidP="004906AD">
      <w:pPr>
        <w:rPr>
          <w:rFonts w:cstheme="minorHAnsi"/>
        </w:rPr>
      </w:pPr>
    </w:p>
    <w:p w14:paraId="10FAB7B3" w14:textId="77777777" w:rsidR="00192736" w:rsidRDefault="00192736" w:rsidP="004906AD">
      <w:pPr>
        <w:rPr>
          <w:rFonts w:cstheme="minorHAnsi"/>
        </w:rPr>
      </w:pPr>
    </w:p>
    <w:p w14:paraId="7D6617E7" w14:textId="77777777" w:rsidR="00192736" w:rsidRDefault="00192736" w:rsidP="004906AD">
      <w:pPr>
        <w:rPr>
          <w:rFonts w:cstheme="minorHAnsi"/>
        </w:rPr>
      </w:pPr>
    </w:p>
    <w:p w14:paraId="50AFFCDE" w14:textId="77777777" w:rsidR="00192736" w:rsidRDefault="00192736" w:rsidP="004906AD">
      <w:pPr>
        <w:rPr>
          <w:rFonts w:cstheme="minorHAnsi"/>
        </w:rPr>
      </w:pPr>
    </w:p>
    <w:p w14:paraId="0A84A58C" w14:textId="77777777" w:rsidR="00192736" w:rsidRDefault="00192736" w:rsidP="004906AD">
      <w:pPr>
        <w:rPr>
          <w:rFonts w:cstheme="minorHAnsi"/>
        </w:rPr>
      </w:pPr>
    </w:p>
    <w:p w14:paraId="3FF8653C" w14:textId="77777777" w:rsidR="00192736" w:rsidRDefault="00192736" w:rsidP="004906AD">
      <w:pPr>
        <w:rPr>
          <w:rFonts w:cstheme="minorHAnsi"/>
        </w:rPr>
      </w:pPr>
    </w:p>
    <w:p w14:paraId="27E44366" w14:textId="77777777" w:rsidR="00192736" w:rsidRDefault="00192736" w:rsidP="004906AD">
      <w:pPr>
        <w:rPr>
          <w:rFonts w:cstheme="minorHAnsi"/>
        </w:rPr>
      </w:pPr>
    </w:p>
    <w:p w14:paraId="4D7A7A0F" w14:textId="6AF01518" w:rsidR="00CA4665" w:rsidRDefault="00CA4665" w:rsidP="004906AD">
      <w:pPr>
        <w:pStyle w:val="Nadpis1"/>
        <w:numPr>
          <w:ilvl w:val="0"/>
          <w:numId w:val="1"/>
        </w:numPr>
        <w:spacing w:before="120"/>
      </w:pPr>
      <w:bookmarkStart w:id="0" w:name="_Toc42794100"/>
      <w:bookmarkStart w:id="1" w:name="_Toc42794339"/>
      <w:bookmarkStart w:id="2" w:name="_Toc63853308"/>
      <w:r>
        <w:t>Úvod</w:t>
      </w:r>
      <w:bookmarkEnd w:id="0"/>
      <w:bookmarkEnd w:id="1"/>
      <w:bookmarkEnd w:id="2"/>
    </w:p>
    <w:p w14:paraId="078DEDFF" w14:textId="145B036B" w:rsidR="00CA4665" w:rsidRDefault="00883ED0" w:rsidP="004906AD">
      <w:r>
        <w:t>Tento pokyn</w:t>
      </w:r>
      <w:r w:rsidR="00055BDD">
        <w:t xml:space="preserve"> </w:t>
      </w:r>
      <w:r w:rsidR="005024EC">
        <w:t>upřesňuje informace</w:t>
      </w:r>
      <w:r w:rsidR="00055BDD">
        <w:t xml:space="preserve"> pro výrobce a žadatele o schválení veterinárních přípravků s</w:t>
      </w:r>
      <w:r w:rsidR="00397D52">
        <w:t> </w:t>
      </w:r>
      <w:r w:rsidR="00055BDD">
        <w:t>obsahem</w:t>
      </w:r>
      <w:r w:rsidR="00397D52">
        <w:t xml:space="preserve"> konopné rostliny, jejich částí a </w:t>
      </w:r>
      <w:proofErr w:type="spellStart"/>
      <w:r w:rsidR="00055BDD">
        <w:t>kanabidiol</w:t>
      </w:r>
      <w:r w:rsidR="00677954">
        <w:t>u</w:t>
      </w:r>
      <w:proofErr w:type="spellEnd"/>
      <w:r w:rsidR="00677954">
        <w:t xml:space="preserve"> (</w:t>
      </w:r>
      <w:r w:rsidR="00B80E86">
        <w:t xml:space="preserve">dále </w:t>
      </w:r>
      <w:proofErr w:type="gramStart"/>
      <w:r w:rsidR="00B80E86">
        <w:t>jen</w:t>
      </w:r>
      <w:r w:rsidR="007635DB">
        <w:t xml:space="preserve"> </w:t>
      </w:r>
      <w:r w:rsidR="00B80E86">
        <w:t>,,</w:t>
      </w:r>
      <w:r w:rsidR="00055BDD">
        <w:t>CBD</w:t>
      </w:r>
      <w:proofErr w:type="gramEnd"/>
      <w:r w:rsidR="00B80E86">
        <w:t>“</w:t>
      </w:r>
      <w:r w:rsidR="00055BDD">
        <w:t xml:space="preserve">). </w:t>
      </w:r>
    </w:p>
    <w:p w14:paraId="22E02C59" w14:textId="52B4EF76" w:rsidR="00055BDD" w:rsidRDefault="00055BDD" w:rsidP="004906AD">
      <w:r>
        <w:t xml:space="preserve">Vzhledem ke skutečnosti, že se látka </w:t>
      </w:r>
      <w:proofErr w:type="spellStart"/>
      <w:r w:rsidR="0078193A">
        <w:t>kanabidiol</w:t>
      </w:r>
      <w:proofErr w:type="spellEnd"/>
      <w:r w:rsidR="0078193A">
        <w:t xml:space="preserve"> </w:t>
      </w:r>
      <w:r>
        <w:t xml:space="preserve">získává z rostliny rodu </w:t>
      </w:r>
      <w:r w:rsidR="0078193A">
        <w:t>konopí (</w:t>
      </w:r>
      <w:proofErr w:type="spellStart"/>
      <w:r w:rsidRPr="00720B1B">
        <w:rPr>
          <w:i/>
        </w:rPr>
        <w:t>Cannabis</w:t>
      </w:r>
      <w:proofErr w:type="spellEnd"/>
      <w:r w:rsidR="0078193A">
        <w:t>)</w:t>
      </w:r>
      <w:r>
        <w:t xml:space="preserve">, </w:t>
      </w:r>
      <w:r w:rsidR="00E56F59">
        <w:t>mají na</w:t>
      </w:r>
      <w:r w:rsidR="004906AD">
        <w:t> </w:t>
      </w:r>
      <w:r w:rsidR="00E56F59">
        <w:t>výrobu a samotný přípravek</w:t>
      </w:r>
      <w:r>
        <w:t xml:space="preserve"> kromě</w:t>
      </w:r>
      <w:r w:rsidR="00E56F59">
        <w:t xml:space="preserve"> podmínek a požadavků stanovených v zákoně </w:t>
      </w:r>
      <w:r>
        <w:t>č. 166/1999</w:t>
      </w:r>
      <w:r w:rsidR="00AF6B71">
        <w:t>,</w:t>
      </w:r>
      <w:r>
        <w:t xml:space="preserve"> o</w:t>
      </w:r>
      <w:r w:rsidR="004906AD">
        <w:t> </w:t>
      </w:r>
      <w:r>
        <w:t>veterinární péči</w:t>
      </w:r>
      <w:r w:rsidR="00AF6B71">
        <w:t>,</w:t>
      </w:r>
      <w:r w:rsidR="00AE7A8C">
        <w:t xml:space="preserve"> v platném z</w:t>
      </w:r>
      <w:r w:rsidR="003938E7">
        <w:t>n</w:t>
      </w:r>
      <w:r w:rsidR="00AE7A8C">
        <w:t>ění</w:t>
      </w:r>
      <w:r>
        <w:t xml:space="preserve"> </w:t>
      </w:r>
      <w:r w:rsidR="00E56F59">
        <w:t xml:space="preserve">a vyhlášce </w:t>
      </w:r>
      <w:r w:rsidR="00AF6B71">
        <w:t>č</w:t>
      </w:r>
      <w:r w:rsidR="00AF6B71" w:rsidRPr="00641438">
        <w:t xml:space="preserve">. </w:t>
      </w:r>
      <w:r w:rsidR="00335046" w:rsidRPr="000B2E50">
        <w:rPr>
          <w:rFonts w:cstheme="minorHAnsi"/>
          <w:szCs w:val="22"/>
        </w:rPr>
        <w:t>290/2003 Sb., o veterinárních přípravcích a</w:t>
      </w:r>
      <w:r w:rsidR="004906AD">
        <w:rPr>
          <w:rFonts w:cstheme="minorHAnsi"/>
          <w:szCs w:val="22"/>
        </w:rPr>
        <w:t> </w:t>
      </w:r>
      <w:r w:rsidR="00335046" w:rsidRPr="000B2E50">
        <w:rPr>
          <w:rFonts w:cstheme="minorHAnsi"/>
          <w:szCs w:val="22"/>
        </w:rPr>
        <w:t>veterinárních technických prostředcích</w:t>
      </w:r>
      <w:r w:rsidR="00E56F59" w:rsidRPr="00641438">
        <w:t xml:space="preserve">., dopad </w:t>
      </w:r>
      <w:r w:rsidR="00720B1B" w:rsidRPr="00726466">
        <w:t>zejména</w:t>
      </w:r>
      <w:r w:rsidR="00292936" w:rsidRPr="00726466">
        <w:t xml:space="preserve"> </w:t>
      </w:r>
      <w:r w:rsidR="00292936">
        <w:t xml:space="preserve">právní předpisy </w:t>
      </w:r>
      <w:r w:rsidR="006D1795">
        <w:t xml:space="preserve">stanovující </w:t>
      </w:r>
      <w:r w:rsidR="00E56F59">
        <w:t>podmínky a</w:t>
      </w:r>
      <w:r w:rsidR="004906AD">
        <w:t> </w:t>
      </w:r>
      <w:r w:rsidR="00E56F59">
        <w:t>pravidla pro pěstování rostlin</w:t>
      </w:r>
      <w:r w:rsidR="00EA168E">
        <w:t xml:space="preserve"> konopí</w:t>
      </w:r>
      <w:r w:rsidR="00720B1B">
        <w:t>, nakládání s jednotlivými částmi rostliny a s přípravky z nich vyrobenými.</w:t>
      </w:r>
    </w:p>
    <w:p w14:paraId="3135970C" w14:textId="55F66B02" w:rsidR="00CA4665" w:rsidRPr="00F31475" w:rsidRDefault="00F31475" w:rsidP="004906AD">
      <w:pPr>
        <w:rPr>
          <w:rFonts w:cstheme="minorHAnsi"/>
          <w:szCs w:val="22"/>
        </w:rPr>
      </w:pPr>
      <w:r w:rsidRPr="00F31475">
        <w:rPr>
          <w:rFonts w:cstheme="minorHAnsi"/>
          <w:szCs w:val="22"/>
        </w:rPr>
        <w:t>Tato r</w:t>
      </w:r>
      <w:r w:rsidR="00F12D7D" w:rsidRPr="00AF0A52">
        <w:rPr>
          <w:rFonts w:cstheme="minorHAnsi"/>
          <w:szCs w:val="22"/>
        </w:rPr>
        <w:t xml:space="preserve">evize </w:t>
      </w:r>
      <w:r w:rsidR="00F12D7D" w:rsidRPr="00363DA0">
        <w:rPr>
          <w:rFonts w:cstheme="minorHAnsi"/>
          <w:szCs w:val="22"/>
        </w:rPr>
        <w:t>pokynu</w:t>
      </w:r>
      <w:r w:rsidR="00F12D7D" w:rsidRPr="00B70D40">
        <w:rPr>
          <w:rFonts w:cstheme="minorHAnsi"/>
          <w:szCs w:val="22"/>
        </w:rPr>
        <w:t xml:space="preserve"> </w:t>
      </w:r>
      <w:r w:rsidR="00F12D7D" w:rsidRPr="00937FA9">
        <w:rPr>
          <w:rFonts w:ascii="Calibri" w:hAnsi="Calibri"/>
          <w:bCs/>
          <w:szCs w:val="22"/>
        </w:rPr>
        <w:t>ÚSKVBL/UST – 1/2021</w:t>
      </w:r>
      <w:r w:rsidRPr="00937FA9">
        <w:rPr>
          <w:rFonts w:ascii="Calibri" w:hAnsi="Calibri"/>
          <w:bCs/>
          <w:szCs w:val="22"/>
        </w:rPr>
        <w:t>/Rev.1 je pouze doplněním pokynu ÚSKVBL/UST – 1/2021 a to o informaci k</w:t>
      </w:r>
      <w:r w:rsidR="00B70D40">
        <w:rPr>
          <w:rFonts w:ascii="Calibri" w:hAnsi="Calibri"/>
          <w:bCs/>
          <w:szCs w:val="22"/>
        </w:rPr>
        <w:t xml:space="preserve"> analytickým metodám pro stanovení </w:t>
      </w:r>
      <w:r w:rsidRPr="00937FA9">
        <w:rPr>
          <w:rFonts w:ascii="Calibri" w:hAnsi="Calibri"/>
          <w:bCs/>
          <w:szCs w:val="22"/>
        </w:rPr>
        <w:t>THC v konečném přípravku</w:t>
      </w:r>
      <w:r w:rsidR="009D0A2E">
        <w:rPr>
          <w:rFonts w:ascii="Calibri" w:hAnsi="Calibri"/>
          <w:bCs/>
          <w:szCs w:val="22"/>
        </w:rPr>
        <w:t>.</w:t>
      </w:r>
    </w:p>
    <w:p w14:paraId="6FF06612" w14:textId="77777777" w:rsidR="00CA4665" w:rsidRDefault="00CA4665" w:rsidP="004906AD">
      <w:pPr>
        <w:rPr>
          <w:rFonts w:cstheme="minorHAnsi"/>
        </w:rPr>
      </w:pPr>
    </w:p>
    <w:p w14:paraId="7488C203" w14:textId="4A9F9597" w:rsidR="00CA4665" w:rsidRDefault="00883ED0" w:rsidP="004906AD">
      <w:pPr>
        <w:pStyle w:val="Nadpis1"/>
        <w:numPr>
          <w:ilvl w:val="0"/>
          <w:numId w:val="1"/>
        </w:numPr>
        <w:spacing w:before="120"/>
      </w:pPr>
      <w:bookmarkStart w:id="3" w:name="_Toc42794101"/>
      <w:bookmarkStart w:id="4" w:name="_Toc42794340"/>
      <w:bookmarkStart w:id="5" w:name="_Toc63853309"/>
      <w:r>
        <w:t>Cíle a rozsah</w:t>
      </w:r>
      <w:bookmarkEnd w:id="3"/>
      <w:bookmarkEnd w:id="4"/>
      <w:bookmarkEnd w:id="5"/>
    </w:p>
    <w:p w14:paraId="599580CC" w14:textId="1517AA5F" w:rsidR="00926B39" w:rsidRPr="00883ED0" w:rsidRDefault="00276839" w:rsidP="004906AD">
      <w:r>
        <w:t>P</w:t>
      </w:r>
      <w:r w:rsidR="00926B39">
        <w:t>okyn</w:t>
      </w:r>
      <w:r>
        <w:t xml:space="preserve"> se </w:t>
      </w:r>
      <w:r w:rsidR="00926B39">
        <w:t xml:space="preserve">soustředí na látku </w:t>
      </w:r>
      <w:proofErr w:type="spellStart"/>
      <w:r w:rsidR="00926B39">
        <w:t>kanabidiol</w:t>
      </w:r>
      <w:proofErr w:type="spellEnd"/>
      <w:r w:rsidR="000E3AC5">
        <w:t xml:space="preserve"> </w:t>
      </w:r>
      <w:r w:rsidR="00720B1B">
        <w:t xml:space="preserve">(CBD) </w:t>
      </w:r>
      <w:r w:rsidR="000E3AC5">
        <w:t xml:space="preserve">obsaženou v rostlinách rodu </w:t>
      </w:r>
      <w:proofErr w:type="spellStart"/>
      <w:r w:rsidR="000E3AC5" w:rsidRPr="00720B1B">
        <w:rPr>
          <w:i/>
        </w:rPr>
        <w:t>Cannabis</w:t>
      </w:r>
      <w:proofErr w:type="spellEnd"/>
      <w:r w:rsidR="00926B39">
        <w:t>,</w:t>
      </w:r>
      <w:r w:rsidR="008E32FB">
        <w:t xml:space="preserve"> </w:t>
      </w:r>
      <w:r w:rsidR="00926B39">
        <w:t>na její možné použití v</w:t>
      </w:r>
      <w:r w:rsidR="008E32FB">
        <w:t>e</w:t>
      </w:r>
      <w:r w:rsidR="00926B39">
        <w:t> </w:t>
      </w:r>
      <w:r w:rsidR="008E32FB">
        <w:t xml:space="preserve">veterinárních </w:t>
      </w:r>
      <w:r w:rsidR="00926B39">
        <w:t>přípravcích</w:t>
      </w:r>
      <w:r w:rsidR="006D1795">
        <w:t xml:space="preserve"> schvalova</w:t>
      </w:r>
      <w:r w:rsidR="00292936">
        <w:t>ných dle zákona č. 166/1999</w:t>
      </w:r>
      <w:r w:rsidR="00EA168E">
        <w:t xml:space="preserve"> Sb.</w:t>
      </w:r>
      <w:r w:rsidR="00292936">
        <w:t xml:space="preserve"> o veterinární péči</w:t>
      </w:r>
      <w:r w:rsidR="00AE7A8C">
        <w:t>, v platném znění</w:t>
      </w:r>
      <w:r w:rsidR="000E3AC5">
        <w:t>.</w:t>
      </w:r>
      <w:r w:rsidR="00926B39">
        <w:t xml:space="preserve"> </w:t>
      </w:r>
      <w:r w:rsidR="000E3AC5">
        <w:t>U</w:t>
      </w:r>
      <w:r w:rsidR="00DE264B">
        <w:t>vádí</w:t>
      </w:r>
      <w:r w:rsidR="00926B39">
        <w:t xml:space="preserve"> </w:t>
      </w:r>
      <w:r w:rsidR="008E32FB">
        <w:t xml:space="preserve">podmínky </w:t>
      </w:r>
      <w:r w:rsidR="005024EC">
        <w:t>výrob</w:t>
      </w:r>
      <w:r w:rsidR="00292936">
        <w:t xml:space="preserve">y </w:t>
      </w:r>
      <w:r w:rsidR="006D1795">
        <w:t>a schválení</w:t>
      </w:r>
      <w:r w:rsidR="00292936">
        <w:t xml:space="preserve"> </w:t>
      </w:r>
      <w:r w:rsidR="006D1795">
        <w:t>těchto veterinárních přípravků</w:t>
      </w:r>
      <w:r w:rsidR="00292936">
        <w:t xml:space="preserve"> Ústavem pro</w:t>
      </w:r>
      <w:r w:rsidR="004906AD">
        <w:t> </w:t>
      </w:r>
      <w:r w:rsidR="00292936">
        <w:t>státní kontrolu veterinárních biopreparátů a léčiv</w:t>
      </w:r>
      <w:r w:rsidR="00926B39">
        <w:t>.</w:t>
      </w:r>
    </w:p>
    <w:p w14:paraId="701BA2A0" w14:textId="77777777" w:rsidR="00CA4665" w:rsidRDefault="00CA4665" w:rsidP="004906AD">
      <w:pPr>
        <w:rPr>
          <w:rFonts w:cstheme="minorHAnsi"/>
        </w:rPr>
      </w:pPr>
    </w:p>
    <w:p w14:paraId="1C5CA75B" w14:textId="2D5D8F7E" w:rsidR="00CA4665" w:rsidRDefault="00AE7A8C" w:rsidP="004906AD">
      <w:pPr>
        <w:pStyle w:val="Nadpis1"/>
        <w:numPr>
          <w:ilvl w:val="0"/>
          <w:numId w:val="1"/>
        </w:numPr>
        <w:spacing w:before="120"/>
      </w:pPr>
      <w:bookmarkStart w:id="6" w:name="_Toc63853310"/>
      <w:r>
        <w:t>Související p</w:t>
      </w:r>
      <w:r w:rsidR="00931881">
        <w:t>rávní předpi</w:t>
      </w:r>
      <w:r w:rsidR="00B008DC">
        <w:t>s</w:t>
      </w:r>
      <w:r w:rsidR="00931881">
        <w:t>y</w:t>
      </w:r>
      <w:bookmarkEnd w:id="6"/>
    </w:p>
    <w:p w14:paraId="166AA386" w14:textId="107E4B90" w:rsidR="00883ED0" w:rsidRPr="00564351" w:rsidRDefault="007A4899" w:rsidP="004906AD">
      <w:hyperlink r:id="rId12" w:anchor="f1956198" w:history="1">
        <w:r w:rsidR="00883ED0" w:rsidRPr="00564351">
          <w:rPr>
            <w:rStyle w:val="Hypertextovodkaz"/>
            <w:color w:val="auto"/>
          </w:rPr>
          <w:t>Zákon</w:t>
        </w:r>
        <w:r w:rsidR="001C50B8" w:rsidRPr="00564351">
          <w:rPr>
            <w:rStyle w:val="Hypertextovodkaz"/>
            <w:color w:val="auto"/>
          </w:rPr>
          <w:t xml:space="preserve"> č. 166/1999 Sb., o veterinární péči a o změně některých souvisejících zákonů (veterinární zákon)</w:t>
        </w:r>
        <w:r w:rsidR="00AE7A8C" w:rsidRPr="00564351">
          <w:rPr>
            <w:rStyle w:val="Hypertextovodkaz"/>
            <w:color w:val="auto"/>
          </w:rPr>
          <w:t>, ve znění pozdějších předpisů</w:t>
        </w:r>
        <w:r w:rsidR="00262705" w:rsidRPr="00564351">
          <w:rPr>
            <w:rStyle w:val="Hypertextovodkaz"/>
            <w:color w:val="auto"/>
          </w:rPr>
          <w:t>;</w:t>
        </w:r>
      </w:hyperlink>
      <w:r w:rsidR="001C50B8" w:rsidRPr="00564351">
        <w:t xml:space="preserve"> </w:t>
      </w:r>
    </w:p>
    <w:p w14:paraId="375B5A65" w14:textId="1A970C04" w:rsidR="00335046" w:rsidRPr="00564351" w:rsidRDefault="007A4899" w:rsidP="004906AD">
      <w:pPr>
        <w:tabs>
          <w:tab w:val="left" w:pos="2835"/>
        </w:tabs>
        <w:rPr>
          <w:szCs w:val="22"/>
        </w:rPr>
      </w:pPr>
      <w:hyperlink r:id="rId13" w:history="1">
        <w:r w:rsidR="00335046" w:rsidRPr="00564351">
          <w:rPr>
            <w:rStyle w:val="Hypertextovodkaz"/>
            <w:color w:val="auto"/>
            <w:szCs w:val="22"/>
          </w:rPr>
          <w:t>Vyhláška č. 290/2003 Sb., vyhláška o veterinárních přípravcích a veterinárních technických prostředcích</w:t>
        </w:r>
      </w:hyperlink>
      <w:r w:rsidR="00335046" w:rsidRPr="00564351">
        <w:rPr>
          <w:szCs w:val="22"/>
        </w:rPr>
        <w:t>;</w:t>
      </w:r>
    </w:p>
    <w:p w14:paraId="331AE0FC" w14:textId="47EFADCB" w:rsidR="001C50B8" w:rsidRPr="00564351" w:rsidRDefault="007A4899" w:rsidP="004906AD">
      <w:pPr>
        <w:rPr>
          <w:rStyle w:val="Hypertextovodkaz"/>
          <w:color w:val="auto"/>
        </w:rPr>
      </w:pPr>
      <w:hyperlink r:id="rId14" w:history="1">
        <w:r w:rsidR="001C50B8" w:rsidRPr="00564351">
          <w:rPr>
            <w:rStyle w:val="Hypertextovodkaz"/>
            <w:color w:val="auto"/>
          </w:rPr>
          <w:t>Zákon č. 167/1998 Sb., o návykových látkách</w:t>
        </w:r>
        <w:r w:rsidR="00EA168E">
          <w:rPr>
            <w:rStyle w:val="Hypertextovodkaz"/>
            <w:color w:val="auto"/>
          </w:rPr>
          <w:t>, a o změně některých dalších zákonů</w:t>
        </w:r>
        <w:r w:rsidR="001C50B8" w:rsidRPr="00564351">
          <w:rPr>
            <w:rStyle w:val="Hypertextovodkaz"/>
            <w:color w:val="auto"/>
          </w:rPr>
          <w:t>, ve znění pozdějších předpisů a jeho prováděcí předpisy;</w:t>
        </w:r>
      </w:hyperlink>
    </w:p>
    <w:p w14:paraId="12125EB2" w14:textId="262FEDE9" w:rsidR="00DE19DA" w:rsidRPr="00564351" w:rsidRDefault="007A4899" w:rsidP="004906AD">
      <w:pPr>
        <w:rPr>
          <w:rStyle w:val="Hypertextovodkaz"/>
          <w:color w:val="auto"/>
        </w:rPr>
      </w:pPr>
      <w:hyperlink r:id="rId15" w:history="1">
        <w:r w:rsidR="001C50B8" w:rsidRPr="00564351">
          <w:rPr>
            <w:rStyle w:val="Hypertextovodkaz"/>
            <w:color w:val="auto"/>
          </w:rPr>
          <w:t>Nařízení vlády č. 463/2013 Sb., o seznamech návykových látek, ve znění pozdějších předpisů;</w:t>
        </w:r>
      </w:hyperlink>
    </w:p>
    <w:p w14:paraId="11FFC3C1" w14:textId="06B4C19D" w:rsidR="00E87406" w:rsidRPr="00564351" w:rsidRDefault="007A4899" w:rsidP="004906AD">
      <w:hyperlink r:id="rId16" w:history="1">
        <w:r w:rsidR="00E87406" w:rsidRPr="00564351">
          <w:rPr>
            <w:rStyle w:val="Hypertextovodkaz"/>
            <w:color w:val="auto"/>
          </w:rPr>
          <w:t>Zákon č. 252/1997 Sb., o zemědělství, ve znění pozdějších předpisů</w:t>
        </w:r>
      </w:hyperlink>
      <w:r w:rsidR="00E87406" w:rsidRPr="00564351">
        <w:t>;</w:t>
      </w:r>
    </w:p>
    <w:p w14:paraId="511F1646" w14:textId="5AA08C3C" w:rsidR="00FB315B" w:rsidRPr="00564351" w:rsidRDefault="007A4899" w:rsidP="004906AD">
      <w:hyperlink r:id="rId17" w:history="1">
        <w:r w:rsidR="00FB315B" w:rsidRPr="00564351">
          <w:rPr>
            <w:rStyle w:val="Hypertextovodkaz"/>
            <w:color w:val="auto"/>
          </w:rPr>
          <w:t>Nařízení Evropského parlamentu a Rady (EU) č. 1307/2013</w:t>
        </w:r>
      </w:hyperlink>
      <w:r w:rsidR="00FB315B" w:rsidRPr="00564351">
        <w:t xml:space="preserve"> ze dne 17. </w:t>
      </w:r>
      <w:r w:rsidR="009E3DF2" w:rsidRPr="00564351">
        <w:t>p</w:t>
      </w:r>
      <w:r w:rsidR="00FB315B" w:rsidRPr="00564351">
        <w:t>rosince 2013, který</w:t>
      </w:r>
      <w:r w:rsidR="008E77B4">
        <w:t>m</w:t>
      </w:r>
      <w:r w:rsidR="00FB315B" w:rsidRPr="00564351">
        <w:t xml:space="preserve"> se stanoví pravidla pro přímé platby zemědělcům v režimech podpory v rámci společné zemědělské politiky a</w:t>
      </w:r>
      <w:r w:rsidR="004906AD" w:rsidRPr="00564351">
        <w:t> </w:t>
      </w:r>
      <w:r w:rsidR="00FB315B" w:rsidRPr="00564351">
        <w:t xml:space="preserve">kterým se zrušují nařízená Rady (ES) č. 637/2008 a nařízení Rady (ES) č. 73/2009;  </w:t>
      </w:r>
    </w:p>
    <w:p w14:paraId="020236B6" w14:textId="5D0B1B15" w:rsidR="009E3DF2" w:rsidRPr="00564351" w:rsidRDefault="007A4899" w:rsidP="004906AD">
      <w:pPr>
        <w:rPr>
          <w:rFonts w:cstheme="minorHAnsi"/>
          <w:szCs w:val="22"/>
        </w:rPr>
      </w:pPr>
      <w:hyperlink r:id="rId18" w:history="1">
        <w:r w:rsidR="009E3DF2" w:rsidRPr="00564351">
          <w:rPr>
            <w:rStyle w:val="Hypertextovodkaz"/>
            <w:rFonts w:cstheme="minorHAnsi"/>
            <w:color w:val="auto"/>
            <w:szCs w:val="22"/>
          </w:rPr>
          <w:t>Nařízení Evropského parlamentu a rady (EU) č. 1308/2013 ze dne 17. prosince 2013, kterým</w:t>
        </w:r>
        <w:r w:rsidR="004906AD" w:rsidRPr="00564351">
          <w:rPr>
            <w:rStyle w:val="Hypertextovodkaz"/>
            <w:rFonts w:cstheme="minorHAnsi"/>
            <w:color w:val="auto"/>
            <w:szCs w:val="22"/>
          </w:rPr>
          <w:t> </w:t>
        </w:r>
        <w:r w:rsidR="009E3DF2" w:rsidRPr="00564351">
          <w:rPr>
            <w:rStyle w:val="Hypertextovodkaz"/>
            <w:rFonts w:cstheme="minorHAnsi"/>
            <w:color w:val="auto"/>
            <w:szCs w:val="22"/>
          </w:rPr>
          <w:t>se</w:t>
        </w:r>
        <w:r w:rsidR="004906AD" w:rsidRPr="00564351">
          <w:rPr>
            <w:rStyle w:val="Hypertextovodkaz"/>
            <w:rFonts w:cstheme="minorHAnsi"/>
            <w:color w:val="auto"/>
            <w:szCs w:val="22"/>
          </w:rPr>
          <w:t> </w:t>
        </w:r>
        <w:r w:rsidR="009E3DF2" w:rsidRPr="00564351">
          <w:rPr>
            <w:rStyle w:val="Hypertextovodkaz"/>
            <w:rFonts w:cstheme="minorHAnsi"/>
            <w:color w:val="auto"/>
            <w:szCs w:val="22"/>
          </w:rPr>
          <w:t>stanoví společná organizace trhů se zemědělskými produkty a zrušují nařízení Rady (EHS) č.</w:t>
        </w:r>
        <w:r w:rsidR="004906AD" w:rsidRPr="00564351">
          <w:rPr>
            <w:rStyle w:val="Hypertextovodkaz"/>
            <w:rFonts w:cstheme="minorHAnsi"/>
            <w:color w:val="auto"/>
            <w:szCs w:val="22"/>
          </w:rPr>
          <w:t> </w:t>
        </w:r>
        <w:r w:rsidR="009E3DF2" w:rsidRPr="00564351">
          <w:rPr>
            <w:rStyle w:val="Hypertextovodkaz"/>
            <w:rFonts w:cstheme="minorHAnsi"/>
            <w:color w:val="auto"/>
            <w:szCs w:val="22"/>
          </w:rPr>
          <w:t>922/72, (EHS) č. 234/79, (ES) č. 1037/2001 a (ES) č. 1234/2007</w:t>
        </w:r>
      </w:hyperlink>
      <w:r w:rsidR="00E87406" w:rsidRPr="00564351">
        <w:rPr>
          <w:rFonts w:cstheme="minorHAnsi"/>
          <w:szCs w:val="22"/>
        </w:rPr>
        <w:t>;</w:t>
      </w:r>
    </w:p>
    <w:p w14:paraId="324AFE15" w14:textId="77777777" w:rsidR="009E3DF2" w:rsidRDefault="009E3DF2" w:rsidP="004906AD"/>
    <w:p w14:paraId="5E491330" w14:textId="0669A2D9" w:rsidR="00662A4C" w:rsidRDefault="00662A4C" w:rsidP="00BC49FB">
      <w:pPr>
        <w:autoSpaceDE/>
        <w:autoSpaceDN/>
        <w:spacing w:before="0" w:after="200" w:line="276" w:lineRule="auto"/>
        <w:jc w:val="left"/>
      </w:pPr>
    </w:p>
    <w:p w14:paraId="2575732A" w14:textId="0E734FE8" w:rsidR="009927FD" w:rsidRDefault="00726466" w:rsidP="004906AD">
      <w:pPr>
        <w:pStyle w:val="Nadpis1"/>
        <w:numPr>
          <w:ilvl w:val="0"/>
          <w:numId w:val="1"/>
        </w:numPr>
        <w:spacing w:before="120"/>
      </w:pPr>
      <w:bookmarkStart w:id="7" w:name="_Toc48129968"/>
      <w:bookmarkStart w:id="8" w:name="_Toc63853311"/>
      <w:r>
        <w:lastRenderedPageBreak/>
        <w:t>Právní výklad</w:t>
      </w:r>
      <w:bookmarkEnd w:id="7"/>
      <w:bookmarkEnd w:id="8"/>
    </w:p>
    <w:p w14:paraId="2D60C141" w14:textId="5B49DDAF" w:rsidR="0082651E" w:rsidRPr="003A6EEE" w:rsidRDefault="00C72D17" w:rsidP="004906AD">
      <w:pPr>
        <w:rPr>
          <w:rFonts w:cstheme="minorHAnsi"/>
          <w:szCs w:val="22"/>
        </w:rPr>
      </w:pPr>
      <w:r>
        <w:rPr>
          <w:rFonts w:cstheme="minorHAnsi"/>
          <w:szCs w:val="22"/>
        </w:rPr>
        <w:t>V</w:t>
      </w:r>
      <w:r w:rsidR="002628B6" w:rsidRPr="003A6EEE">
        <w:rPr>
          <w:rFonts w:cstheme="minorHAnsi"/>
          <w:szCs w:val="22"/>
        </w:rPr>
        <w:t xml:space="preserve"> </w:t>
      </w:r>
      <w:r w:rsidR="00B40CAA" w:rsidRPr="003A6EEE">
        <w:rPr>
          <w:rFonts w:cstheme="minorHAnsi"/>
          <w:szCs w:val="22"/>
        </w:rPr>
        <w:t>zákon</w:t>
      </w:r>
      <w:r>
        <w:rPr>
          <w:rFonts w:cstheme="minorHAnsi"/>
          <w:szCs w:val="22"/>
        </w:rPr>
        <w:t>ě</w:t>
      </w:r>
      <w:r w:rsidR="00B40CAA" w:rsidRPr="003A6EEE">
        <w:rPr>
          <w:rFonts w:cstheme="minorHAnsi"/>
          <w:szCs w:val="22"/>
        </w:rPr>
        <w:t xml:space="preserve"> o návykových látkách </w:t>
      </w:r>
      <w:r>
        <w:rPr>
          <w:rFonts w:cstheme="minorHAnsi"/>
          <w:szCs w:val="22"/>
        </w:rPr>
        <w:t>je popsáno</w:t>
      </w:r>
      <w:r w:rsidRPr="003A6EEE">
        <w:rPr>
          <w:rFonts w:cstheme="minorHAnsi"/>
          <w:szCs w:val="22"/>
        </w:rPr>
        <w:t xml:space="preserve"> </w:t>
      </w:r>
      <w:r w:rsidR="002628B6" w:rsidRPr="003A6EEE">
        <w:rPr>
          <w:rFonts w:cstheme="minorHAnsi"/>
          <w:szCs w:val="22"/>
        </w:rPr>
        <w:t xml:space="preserve">nakládání s různými </w:t>
      </w:r>
      <w:r w:rsidR="00B34BA4">
        <w:rPr>
          <w:rFonts w:cstheme="minorHAnsi"/>
          <w:szCs w:val="22"/>
        </w:rPr>
        <w:t>částmi rostliny konopí</w:t>
      </w:r>
      <w:r w:rsidR="00DC0ED5">
        <w:rPr>
          <w:rFonts w:cstheme="minorHAnsi"/>
          <w:szCs w:val="22"/>
        </w:rPr>
        <w:t xml:space="preserve"> a látkami v něm obsaženými</w:t>
      </w:r>
      <w:r w:rsidR="00A6069C">
        <w:rPr>
          <w:rFonts w:cstheme="minorHAnsi"/>
          <w:szCs w:val="22"/>
        </w:rPr>
        <w:t>.</w:t>
      </w:r>
      <w:r w:rsidR="00B34BA4">
        <w:rPr>
          <w:rFonts w:cstheme="minorHAnsi"/>
          <w:szCs w:val="22"/>
        </w:rPr>
        <w:t xml:space="preserve"> </w:t>
      </w:r>
    </w:p>
    <w:p w14:paraId="5B68355B" w14:textId="060E7E3A" w:rsidR="0082651E" w:rsidRPr="009927FD" w:rsidRDefault="00A6069C" w:rsidP="004906AD">
      <w:pPr>
        <w:rPr>
          <w:i/>
        </w:rPr>
      </w:pPr>
      <w:proofErr w:type="gramStart"/>
      <w:r>
        <w:rPr>
          <w:b/>
        </w:rPr>
        <w:t>,,</w:t>
      </w:r>
      <w:r w:rsidR="0082651E" w:rsidRPr="00931881">
        <w:rPr>
          <w:b/>
        </w:rPr>
        <w:t>Konopím</w:t>
      </w:r>
      <w:proofErr w:type="gramEnd"/>
      <w:r w:rsidR="0082651E" w:rsidRPr="003753A8">
        <w:rPr>
          <w:b/>
        </w:rPr>
        <w:t>“</w:t>
      </w:r>
      <w:r w:rsidR="0082651E" w:rsidRPr="00AA0492">
        <w:t xml:space="preserve"> v souladu s § 2 písmeno d) zákona o návykových látkách je třeba rozumět pouze některé části rostliny konopí, a to konkrétně </w:t>
      </w:r>
      <w:r w:rsidR="0082651E" w:rsidRPr="009927FD">
        <w:rPr>
          <w:rStyle w:val="Zvraznn"/>
          <w:rFonts w:cstheme="minorHAnsi"/>
          <w:i w:val="0"/>
        </w:rPr>
        <w:t>"kvetoucí nebo plodonosný vrcholík rostliny z rodu konopí (</w:t>
      </w:r>
      <w:proofErr w:type="spellStart"/>
      <w:r w:rsidR="0082651E" w:rsidRPr="00CF0134">
        <w:rPr>
          <w:rStyle w:val="Zvraznn"/>
          <w:rFonts w:cstheme="minorHAnsi"/>
        </w:rPr>
        <w:t>Cannabis</w:t>
      </w:r>
      <w:proofErr w:type="spellEnd"/>
      <w:r w:rsidR="0082651E" w:rsidRPr="009927FD">
        <w:rPr>
          <w:rStyle w:val="Zvraznn"/>
          <w:rFonts w:cstheme="minorHAnsi"/>
          <w:i w:val="0"/>
        </w:rPr>
        <w:t>) nebo nadzemní část rostliny z rodu konopí, jejíž součástí je vrcholík"</w:t>
      </w:r>
      <w:r w:rsidR="0082651E" w:rsidRPr="009927FD">
        <w:rPr>
          <w:i/>
        </w:rPr>
        <w:t>.</w:t>
      </w:r>
    </w:p>
    <w:p w14:paraId="47D3BBF3" w14:textId="6F842A53" w:rsidR="0082651E" w:rsidRPr="00F775F6" w:rsidRDefault="0082651E" w:rsidP="004906AD">
      <w:pPr>
        <w:rPr>
          <w:rFonts w:cstheme="minorHAnsi"/>
        </w:rPr>
      </w:pPr>
      <w:r w:rsidRPr="000E3AC5" w:rsidDel="00B40CAA">
        <w:rPr>
          <w:rFonts w:cstheme="minorHAnsi"/>
        </w:rPr>
        <w:t xml:space="preserve"> </w:t>
      </w:r>
      <w:r w:rsidRPr="00931881">
        <w:rPr>
          <w:rFonts w:cstheme="minorHAnsi"/>
        </w:rPr>
        <w:t>„Konopí“</w:t>
      </w:r>
      <w:r w:rsidR="00CF0134">
        <w:rPr>
          <w:rFonts w:cstheme="minorHAnsi"/>
        </w:rPr>
        <w:t>,</w:t>
      </w:r>
      <w:r w:rsidRPr="00931881">
        <w:rPr>
          <w:rFonts w:cstheme="minorHAnsi"/>
        </w:rPr>
        <w:t xml:space="preserve"> dle výše uvedené definice zákona o návykových látkách</w:t>
      </w:r>
      <w:r w:rsidR="009927FD">
        <w:rPr>
          <w:rFonts w:cstheme="minorHAnsi"/>
        </w:rPr>
        <w:t>,</w:t>
      </w:r>
      <w:r w:rsidRPr="00931881">
        <w:rPr>
          <w:rFonts w:cstheme="minorHAnsi"/>
        </w:rPr>
        <w:t xml:space="preserve"> a pryskyřice z konopí jsou uvedeny v</w:t>
      </w:r>
      <w:r w:rsidR="00D810FE">
        <w:rPr>
          <w:rFonts w:cstheme="minorHAnsi"/>
        </w:rPr>
        <w:t> příloze č. 3</w:t>
      </w:r>
      <w:r w:rsidRPr="00931881">
        <w:rPr>
          <w:rFonts w:cstheme="minorHAnsi"/>
        </w:rPr>
        <w:t xml:space="preserve"> </w:t>
      </w:r>
      <w:r w:rsidR="00D810FE">
        <w:rPr>
          <w:rFonts w:cstheme="minorHAnsi"/>
        </w:rPr>
        <w:t>n</w:t>
      </w:r>
      <w:r w:rsidR="00205B48">
        <w:rPr>
          <w:rFonts w:cstheme="minorHAnsi"/>
        </w:rPr>
        <w:t>ařízení vlády č. 463/2013 Sb</w:t>
      </w:r>
      <w:r w:rsidRPr="00931881">
        <w:rPr>
          <w:rFonts w:cstheme="minorHAnsi"/>
        </w:rPr>
        <w:t>. Látky z tohoto seznamu mohou být použity pouze  pro omezené výzkumné a vědecké účely a velmi omezené terapeutick</w:t>
      </w:r>
      <w:r w:rsidRPr="0012136D">
        <w:rPr>
          <w:rFonts w:cstheme="minorHAnsi"/>
        </w:rPr>
        <w:t>é účely vymezené</w:t>
      </w:r>
      <w:r w:rsidRPr="00720B1B">
        <w:rPr>
          <w:rFonts w:cstheme="minorHAnsi"/>
        </w:rPr>
        <w:t xml:space="preserve"> v povolení k zacházení vydaným Ministerstvem zdravotnictví.</w:t>
      </w:r>
    </w:p>
    <w:p w14:paraId="20DE3597" w14:textId="6024FD7D" w:rsidR="0082651E" w:rsidRDefault="0082651E" w:rsidP="004906AD">
      <w:pPr>
        <w:rPr>
          <w:rFonts w:cstheme="minorHAnsi"/>
        </w:rPr>
      </w:pPr>
      <w:r w:rsidRPr="00F775F6">
        <w:rPr>
          <w:rFonts w:cstheme="minorHAnsi"/>
        </w:rPr>
        <w:t xml:space="preserve">Rostlina </w:t>
      </w:r>
      <w:proofErr w:type="spellStart"/>
      <w:r w:rsidRPr="00F775F6">
        <w:rPr>
          <w:rFonts w:cstheme="minorHAnsi"/>
          <w:i/>
        </w:rPr>
        <w:t>Cannabis</w:t>
      </w:r>
      <w:proofErr w:type="spellEnd"/>
      <w:r w:rsidRPr="00D44E3D">
        <w:rPr>
          <w:rFonts w:cstheme="minorHAnsi"/>
        </w:rPr>
        <w:t xml:space="preserve"> obsahuje</w:t>
      </w:r>
      <w:r w:rsidRPr="00AF6B71">
        <w:rPr>
          <w:rFonts w:cstheme="minorHAnsi"/>
        </w:rPr>
        <w:t xml:space="preserve">, kromě jiných, </w:t>
      </w:r>
      <w:r w:rsidRPr="003753A8">
        <w:rPr>
          <w:rFonts w:cstheme="minorHAnsi"/>
          <w:b/>
        </w:rPr>
        <w:t xml:space="preserve">látky ze skupiny </w:t>
      </w:r>
      <w:proofErr w:type="spellStart"/>
      <w:r w:rsidRPr="003753A8">
        <w:rPr>
          <w:rFonts w:cstheme="minorHAnsi"/>
          <w:b/>
        </w:rPr>
        <w:t>tetrahydrokanabinolů</w:t>
      </w:r>
      <w:proofErr w:type="spellEnd"/>
      <w:r w:rsidRPr="000E3AC5">
        <w:rPr>
          <w:rFonts w:cstheme="minorHAnsi"/>
        </w:rPr>
        <w:t xml:space="preserve"> (THC), </w:t>
      </w:r>
      <w:r w:rsidR="00D810FE">
        <w:rPr>
          <w:rFonts w:cstheme="minorHAnsi"/>
        </w:rPr>
        <w:t>vyjma lát</w:t>
      </w:r>
      <w:r w:rsidR="008E77B4">
        <w:rPr>
          <w:rFonts w:cstheme="minorHAnsi"/>
        </w:rPr>
        <w:t xml:space="preserve">ky delta-9- </w:t>
      </w:r>
      <w:proofErr w:type="spellStart"/>
      <w:r w:rsidR="008E77B4">
        <w:rPr>
          <w:rFonts w:cstheme="minorHAnsi"/>
        </w:rPr>
        <w:t>tetrahydrokanabinol</w:t>
      </w:r>
      <w:proofErr w:type="spellEnd"/>
      <w:r w:rsidR="00D810FE">
        <w:rPr>
          <w:rFonts w:cstheme="minorHAnsi"/>
        </w:rPr>
        <w:t xml:space="preserve">, </w:t>
      </w:r>
      <w:r w:rsidRPr="000E3AC5">
        <w:rPr>
          <w:rFonts w:cstheme="minorHAnsi"/>
        </w:rPr>
        <w:t>které jsou uvedeny v </w:t>
      </w:r>
      <w:r w:rsidR="00D810FE">
        <w:rPr>
          <w:rFonts w:cstheme="minorHAnsi"/>
        </w:rPr>
        <w:t>příloze</w:t>
      </w:r>
      <w:r w:rsidR="00D810FE" w:rsidRPr="000E3AC5">
        <w:rPr>
          <w:rFonts w:cstheme="minorHAnsi"/>
        </w:rPr>
        <w:t xml:space="preserve"> </w:t>
      </w:r>
      <w:r w:rsidRPr="000E3AC5">
        <w:rPr>
          <w:rFonts w:cstheme="minorHAnsi"/>
        </w:rPr>
        <w:t xml:space="preserve">č. 4 </w:t>
      </w:r>
      <w:r w:rsidR="00D810FE">
        <w:rPr>
          <w:rFonts w:cstheme="minorHAnsi"/>
        </w:rPr>
        <w:t>n</w:t>
      </w:r>
      <w:r w:rsidRPr="000E3AC5">
        <w:rPr>
          <w:rFonts w:cstheme="minorHAnsi"/>
        </w:rPr>
        <w:t>ařízení vlády</w:t>
      </w:r>
      <w:r w:rsidR="00D810FE" w:rsidRPr="00D810FE">
        <w:rPr>
          <w:rFonts w:cstheme="minorHAnsi"/>
        </w:rPr>
        <w:t xml:space="preserve"> </w:t>
      </w:r>
      <w:r w:rsidR="00D810FE">
        <w:rPr>
          <w:rFonts w:cstheme="minorHAnsi"/>
        </w:rPr>
        <w:t>č. 463/2013 Sb</w:t>
      </w:r>
      <w:r w:rsidRPr="000E3AC5">
        <w:rPr>
          <w:rFonts w:cstheme="minorHAnsi"/>
        </w:rPr>
        <w:t>.</w:t>
      </w:r>
      <w:r w:rsidR="00D810FE">
        <w:rPr>
          <w:rFonts w:cstheme="minorHAnsi"/>
        </w:rPr>
        <w:t xml:space="preserve"> Látky uveden</w:t>
      </w:r>
      <w:r w:rsidR="008E77B4">
        <w:rPr>
          <w:rFonts w:cstheme="minorHAnsi"/>
        </w:rPr>
        <w:t>é</w:t>
      </w:r>
      <w:r w:rsidR="00D810FE">
        <w:rPr>
          <w:rFonts w:cstheme="minorHAnsi"/>
        </w:rPr>
        <w:t xml:space="preserve"> v této příloze</w:t>
      </w:r>
      <w:r w:rsidRPr="000E3AC5">
        <w:rPr>
          <w:rFonts w:cstheme="minorHAnsi"/>
        </w:rPr>
        <w:t xml:space="preserve"> mohou být </w:t>
      </w:r>
      <w:r w:rsidRPr="00106C58">
        <w:rPr>
          <w:rFonts w:cstheme="minorHAnsi"/>
        </w:rPr>
        <w:t>používány pouze k omezeným výzkumným, vědeckým a velmi omezeným terapeutickým účelům vymezeným v povolení k zacházení</w:t>
      </w:r>
      <w:r w:rsidRPr="00931881">
        <w:rPr>
          <w:rFonts w:cstheme="minorHAnsi"/>
        </w:rPr>
        <w:t xml:space="preserve">. </w:t>
      </w:r>
      <w:r w:rsidR="00D810FE">
        <w:rPr>
          <w:rFonts w:cstheme="minorHAnsi"/>
        </w:rPr>
        <w:t>L</w:t>
      </w:r>
      <w:r w:rsidRPr="00931881">
        <w:rPr>
          <w:rFonts w:cstheme="minorHAnsi"/>
        </w:rPr>
        <w:t xml:space="preserve">átka delta-9-THC </w:t>
      </w:r>
      <w:r w:rsidR="00D810FE">
        <w:rPr>
          <w:rFonts w:cstheme="minorHAnsi"/>
        </w:rPr>
        <w:t>je uvedena</w:t>
      </w:r>
      <w:r w:rsidR="00D810FE" w:rsidRPr="00931881">
        <w:rPr>
          <w:rFonts w:cstheme="minorHAnsi"/>
        </w:rPr>
        <w:t xml:space="preserve"> </w:t>
      </w:r>
      <w:r w:rsidRPr="00931881">
        <w:rPr>
          <w:rFonts w:cstheme="minorHAnsi"/>
        </w:rPr>
        <w:t>v příloze č.</w:t>
      </w:r>
      <w:r w:rsidR="009927FD">
        <w:rPr>
          <w:rFonts w:cstheme="minorHAnsi"/>
        </w:rPr>
        <w:t xml:space="preserve"> 5 </w:t>
      </w:r>
      <w:r w:rsidR="00D810FE">
        <w:rPr>
          <w:rFonts w:cstheme="minorHAnsi"/>
        </w:rPr>
        <w:t>n</w:t>
      </w:r>
      <w:r w:rsidRPr="00931881">
        <w:rPr>
          <w:rFonts w:cstheme="minorHAnsi"/>
        </w:rPr>
        <w:t xml:space="preserve">ařízení vlády </w:t>
      </w:r>
      <w:r w:rsidR="00D810FE">
        <w:rPr>
          <w:rFonts w:cstheme="minorHAnsi"/>
        </w:rPr>
        <w:t xml:space="preserve">č. 463/2013 Sb. </w:t>
      </w:r>
      <w:r w:rsidRPr="00931881">
        <w:rPr>
          <w:rFonts w:cstheme="minorHAnsi"/>
        </w:rPr>
        <w:t xml:space="preserve">pod synonymem </w:t>
      </w:r>
      <w:proofErr w:type="spellStart"/>
      <w:r w:rsidRPr="00931881">
        <w:rPr>
          <w:rFonts w:cstheme="minorHAnsi"/>
        </w:rPr>
        <w:t>dronabinol</w:t>
      </w:r>
      <w:proofErr w:type="spellEnd"/>
      <w:r w:rsidR="00D810FE">
        <w:rPr>
          <w:rFonts w:cstheme="minorHAnsi"/>
        </w:rPr>
        <w:t>, z důvodu častějšího terapeutického využití</w:t>
      </w:r>
      <w:r w:rsidR="009927FD">
        <w:rPr>
          <w:rFonts w:cstheme="minorHAnsi"/>
        </w:rPr>
        <w:t>.</w:t>
      </w:r>
      <w:r w:rsidRPr="00931881">
        <w:rPr>
          <w:rFonts w:cstheme="minorHAnsi"/>
        </w:rPr>
        <w:t xml:space="preserve"> </w:t>
      </w:r>
      <w:r w:rsidR="009927FD">
        <w:rPr>
          <w:rFonts w:cstheme="minorHAnsi"/>
        </w:rPr>
        <w:t>Na jeho použití</w:t>
      </w:r>
      <w:r w:rsidRPr="00931881">
        <w:rPr>
          <w:rFonts w:cstheme="minorHAnsi"/>
        </w:rPr>
        <w:t> </w:t>
      </w:r>
      <w:r w:rsidR="009927FD" w:rsidRPr="00931881">
        <w:rPr>
          <w:rFonts w:cstheme="minorHAnsi"/>
        </w:rPr>
        <w:t>se </w:t>
      </w:r>
      <w:r w:rsidR="009927FD">
        <w:rPr>
          <w:rFonts w:cstheme="minorHAnsi"/>
        </w:rPr>
        <w:t xml:space="preserve">také </w:t>
      </w:r>
      <w:r w:rsidR="009927FD" w:rsidRPr="00931881">
        <w:rPr>
          <w:rFonts w:cstheme="minorHAnsi"/>
        </w:rPr>
        <w:t xml:space="preserve">aplikují </w:t>
      </w:r>
      <w:r w:rsidRPr="00931881">
        <w:rPr>
          <w:rFonts w:cstheme="minorHAnsi"/>
        </w:rPr>
        <w:t xml:space="preserve">v plném rozsahu omezení zákona o návykových látkách. </w:t>
      </w:r>
    </w:p>
    <w:p w14:paraId="50E518CB" w14:textId="2768BF49" w:rsidR="00FC29CF" w:rsidRDefault="00FC29CF" w:rsidP="004906AD">
      <w:pPr>
        <w:rPr>
          <w:rFonts w:cstheme="minorHAnsi"/>
        </w:rPr>
      </w:pPr>
      <w:r>
        <w:rPr>
          <w:rFonts w:cstheme="minorHAnsi"/>
        </w:rPr>
        <w:t xml:space="preserve">Získávání </w:t>
      </w:r>
      <w:r w:rsidR="00E8789E">
        <w:rPr>
          <w:rFonts w:cstheme="minorHAnsi"/>
        </w:rPr>
        <w:t xml:space="preserve">látek ze skupiny </w:t>
      </w:r>
      <w:proofErr w:type="spellStart"/>
      <w:r w:rsidR="00E8789E">
        <w:rPr>
          <w:rFonts w:cstheme="minorHAnsi"/>
        </w:rPr>
        <w:t>tetrahydrokanabinolů</w:t>
      </w:r>
      <w:proofErr w:type="spellEnd"/>
      <w:r w:rsidR="00E8789E">
        <w:rPr>
          <w:rFonts w:cstheme="minorHAnsi"/>
        </w:rPr>
        <w:t xml:space="preserve"> </w:t>
      </w:r>
      <w:r>
        <w:rPr>
          <w:rFonts w:cstheme="minorHAnsi"/>
        </w:rPr>
        <w:t xml:space="preserve">a konopné pryskyřice zakazuje §15 písm. e) zákona o návykových látkách </w:t>
      </w:r>
      <w:r w:rsidR="00D34394">
        <w:rPr>
          <w:rFonts w:cstheme="minorHAnsi"/>
        </w:rPr>
        <w:t>(</w:t>
      </w:r>
      <w:r>
        <w:rPr>
          <w:rFonts w:cstheme="minorHAnsi"/>
        </w:rPr>
        <w:t>s výjimkou léčebného použití a použití pro vědecké účely).</w:t>
      </w:r>
    </w:p>
    <w:p w14:paraId="07BAB34E" w14:textId="1E30EDA6" w:rsidR="0082651E" w:rsidRPr="003938E7" w:rsidRDefault="009927FD" w:rsidP="004906AD">
      <w:pPr>
        <w:pStyle w:val="detail-odstavec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8E7">
        <w:rPr>
          <w:rFonts w:asciiTheme="minorHAnsi" w:hAnsiTheme="minorHAnsi" w:cstheme="minorHAnsi"/>
          <w:b/>
          <w:sz w:val="22"/>
          <w:szCs w:val="22"/>
        </w:rPr>
        <w:t>„</w:t>
      </w:r>
      <w:r w:rsidR="0082651E" w:rsidRPr="003938E7">
        <w:rPr>
          <w:rFonts w:asciiTheme="minorHAnsi" w:hAnsiTheme="minorHAnsi" w:cstheme="minorHAnsi"/>
          <w:b/>
          <w:sz w:val="22"/>
          <w:szCs w:val="22"/>
        </w:rPr>
        <w:t>Konopím</w:t>
      </w:r>
      <w:r w:rsidRPr="003938E7">
        <w:rPr>
          <w:rFonts w:asciiTheme="minorHAnsi" w:hAnsiTheme="minorHAnsi" w:cstheme="minorHAnsi"/>
          <w:b/>
          <w:sz w:val="22"/>
          <w:szCs w:val="22"/>
        </w:rPr>
        <w:t>“</w:t>
      </w:r>
      <w:r w:rsidR="0082651E" w:rsidRPr="003938E7">
        <w:rPr>
          <w:rFonts w:asciiTheme="minorHAnsi" w:hAnsiTheme="minorHAnsi" w:cstheme="minorHAnsi"/>
          <w:b/>
          <w:sz w:val="22"/>
          <w:szCs w:val="22"/>
        </w:rPr>
        <w:t xml:space="preserve"> ve smyslu zákona o návykových látkách nejsou dřevní vlákno rostliny ani konopná semena, která jsou běžně používána jakožto zdroj kvalitních bílkovin a vlákniny, nebo ze semen lisovaný olej.</w:t>
      </w:r>
    </w:p>
    <w:p w14:paraId="2E048F44" w14:textId="4514ED83" w:rsidR="0082651E" w:rsidRDefault="00A5351F" w:rsidP="004906AD">
      <w:pPr>
        <w:rPr>
          <w:rFonts w:cstheme="minorHAnsi"/>
          <w:szCs w:val="22"/>
        </w:rPr>
      </w:pPr>
      <w:r>
        <w:rPr>
          <w:rFonts w:cstheme="minorHAnsi"/>
          <w:szCs w:val="22"/>
        </w:rPr>
        <w:t>Pro účely tohoto pokynu se jako</w:t>
      </w:r>
      <w:r w:rsidR="007D35C5" w:rsidRPr="00AA0492">
        <w:rPr>
          <w:rFonts w:cstheme="minorHAnsi"/>
          <w:szCs w:val="22"/>
        </w:rPr>
        <w:t xml:space="preserve"> „</w:t>
      </w:r>
      <w:r w:rsidR="007D35C5" w:rsidRPr="00AA0492">
        <w:rPr>
          <w:rFonts w:cstheme="minorHAnsi"/>
          <w:b/>
          <w:szCs w:val="22"/>
        </w:rPr>
        <w:t>t</w:t>
      </w:r>
      <w:r w:rsidR="00271D06" w:rsidRPr="00AA0492">
        <w:rPr>
          <w:rFonts w:cstheme="minorHAnsi"/>
          <w:b/>
          <w:szCs w:val="22"/>
        </w:rPr>
        <w:t xml:space="preserve">echnické </w:t>
      </w:r>
      <w:r w:rsidR="004906AD">
        <w:rPr>
          <w:rFonts w:cstheme="minorHAnsi"/>
          <w:b/>
          <w:szCs w:val="22"/>
        </w:rPr>
        <w:t xml:space="preserve">(průmyslové) </w:t>
      </w:r>
      <w:r w:rsidR="00271D06" w:rsidRPr="00AA0492">
        <w:rPr>
          <w:rFonts w:cstheme="minorHAnsi"/>
          <w:b/>
          <w:szCs w:val="22"/>
        </w:rPr>
        <w:t>konopí</w:t>
      </w:r>
      <w:r w:rsidR="002628B6" w:rsidRPr="00AA0492">
        <w:rPr>
          <w:rFonts w:cstheme="minorHAnsi"/>
          <w:szCs w:val="22"/>
        </w:rPr>
        <w:t>“</w:t>
      </w:r>
      <w:r w:rsidR="007B2C7B">
        <w:rPr>
          <w:rFonts w:cstheme="minorHAnsi"/>
          <w:szCs w:val="22"/>
        </w:rPr>
        <w:t xml:space="preserve">, </w:t>
      </w:r>
      <w:r w:rsidR="002168B6">
        <w:rPr>
          <w:rFonts w:cstheme="minorHAnsi"/>
          <w:szCs w:val="22"/>
        </w:rPr>
        <w:t>se označuje</w:t>
      </w:r>
      <w:r w:rsidR="007B2C7B">
        <w:rPr>
          <w:rFonts w:cstheme="minorHAnsi"/>
          <w:szCs w:val="22"/>
        </w:rPr>
        <w:t xml:space="preserve"> rostlina</w:t>
      </w:r>
      <w:r w:rsidR="00A047BE">
        <w:rPr>
          <w:rFonts w:cstheme="minorHAnsi"/>
          <w:szCs w:val="22"/>
        </w:rPr>
        <w:t xml:space="preserve"> konopí</w:t>
      </w:r>
      <w:r w:rsidR="007B2C7B">
        <w:rPr>
          <w:rFonts w:cstheme="minorHAnsi"/>
          <w:szCs w:val="22"/>
        </w:rPr>
        <w:t xml:space="preserve">, s níž je nakládáno k účelům průmyslovým, technickým a zahradnickým </w:t>
      </w:r>
      <w:r w:rsidR="00B83006" w:rsidRPr="00AA0492">
        <w:rPr>
          <w:rFonts w:cstheme="minorHAnsi"/>
          <w:szCs w:val="22"/>
        </w:rPr>
        <w:t xml:space="preserve">dle zákona č. 167/1998 Sb., o návykových látkách, </w:t>
      </w:r>
      <w:r w:rsidR="002168B6">
        <w:rPr>
          <w:rFonts w:cstheme="minorHAnsi"/>
          <w:szCs w:val="22"/>
        </w:rPr>
        <w:t>konkrétně</w:t>
      </w:r>
      <w:r w:rsidR="00DE264B" w:rsidRPr="00AA0492">
        <w:rPr>
          <w:rFonts w:cstheme="minorHAnsi"/>
          <w:szCs w:val="22"/>
        </w:rPr>
        <w:t xml:space="preserve"> registrovaná odrůda</w:t>
      </w:r>
      <w:bookmarkStart w:id="9" w:name="_Ref66960139"/>
      <w:r w:rsidR="002168B6">
        <w:rPr>
          <w:rStyle w:val="Znakapoznpodarou"/>
          <w:rFonts w:cstheme="minorHAnsi"/>
          <w:szCs w:val="22"/>
        </w:rPr>
        <w:footnoteReference w:id="1"/>
      </w:r>
      <w:bookmarkEnd w:id="9"/>
      <w:r w:rsidR="00DE264B" w:rsidRPr="00AA0492">
        <w:rPr>
          <w:rFonts w:cstheme="minorHAnsi"/>
          <w:szCs w:val="22"/>
        </w:rPr>
        <w:t xml:space="preserve">, ve které zastoupení psychoaktivního </w:t>
      </w:r>
      <w:proofErr w:type="spellStart"/>
      <w:r w:rsidR="00DE264B" w:rsidRPr="00AA0492">
        <w:rPr>
          <w:rFonts w:cstheme="minorHAnsi"/>
          <w:szCs w:val="22"/>
        </w:rPr>
        <w:t>tetrahydrokanabinolu</w:t>
      </w:r>
      <w:proofErr w:type="spellEnd"/>
      <w:r w:rsidR="00DE264B" w:rsidRPr="00AA0492">
        <w:rPr>
          <w:rFonts w:cstheme="minorHAnsi"/>
          <w:szCs w:val="22"/>
        </w:rPr>
        <w:t xml:space="preserve"> (THC) nepřesahuje 0,3</w:t>
      </w:r>
      <w:r w:rsidR="00717242">
        <w:rPr>
          <w:rFonts w:cstheme="minorHAnsi"/>
          <w:szCs w:val="22"/>
        </w:rPr>
        <w:t xml:space="preserve"> </w:t>
      </w:r>
      <w:r w:rsidR="00DE264B" w:rsidRPr="00AA0492">
        <w:rPr>
          <w:rFonts w:cstheme="minorHAnsi"/>
          <w:szCs w:val="22"/>
        </w:rPr>
        <w:t>% hmotnosti suché rostliny.</w:t>
      </w:r>
      <w:r w:rsidR="002628B6" w:rsidRPr="00AA0492">
        <w:rPr>
          <w:rFonts w:cstheme="minorHAnsi"/>
          <w:szCs w:val="22"/>
        </w:rPr>
        <w:t xml:space="preserve"> Právní</w:t>
      </w:r>
      <w:r w:rsidR="0082651E">
        <w:rPr>
          <w:rFonts w:cstheme="minorHAnsi"/>
          <w:szCs w:val="22"/>
        </w:rPr>
        <w:t xml:space="preserve"> předpisy Evropské unie </w:t>
      </w:r>
      <w:r w:rsidR="009662E1">
        <w:rPr>
          <w:rFonts w:cstheme="minorHAnsi"/>
          <w:szCs w:val="22"/>
        </w:rPr>
        <w:t xml:space="preserve">upravují povinnosti </w:t>
      </w:r>
      <w:bookmarkStart w:id="10" w:name="b8"/>
      <w:bookmarkEnd w:id="10"/>
      <w:r w:rsidR="002628B6" w:rsidRPr="00AA0492">
        <w:rPr>
          <w:rFonts w:cstheme="minorHAnsi"/>
          <w:szCs w:val="22"/>
        </w:rPr>
        <w:t>pro vývoz a dovoz technického konopí</w:t>
      </w:r>
      <w:r w:rsidR="00BC3C3E">
        <w:rPr>
          <w:rFonts w:cstheme="minorHAnsi"/>
          <w:szCs w:val="22"/>
        </w:rPr>
        <w:t xml:space="preserve"> (např. formou osvědčení)</w:t>
      </w:r>
      <w:r w:rsidR="002628B6" w:rsidRPr="00AA0492">
        <w:rPr>
          <w:rFonts w:cstheme="minorHAnsi"/>
          <w:szCs w:val="22"/>
        </w:rPr>
        <w:t xml:space="preserve"> a </w:t>
      </w:r>
      <w:r w:rsidR="009662E1">
        <w:rPr>
          <w:rFonts w:cstheme="minorHAnsi"/>
          <w:szCs w:val="22"/>
        </w:rPr>
        <w:t>stanovují</w:t>
      </w:r>
      <w:r w:rsidR="002628B6" w:rsidRPr="00AA0492">
        <w:rPr>
          <w:rFonts w:cstheme="minorHAnsi"/>
          <w:szCs w:val="22"/>
        </w:rPr>
        <w:t xml:space="preserve"> obsahové limity THC</w:t>
      </w:r>
      <w:r w:rsidR="00B40CAA" w:rsidRPr="00AA0492">
        <w:rPr>
          <w:rFonts w:cstheme="minorHAnsi"/>
          <w:szCs w:val="22"/>
        </w:rPr>
        <w:t>. Článek</w:t>
      </w:r>
      <w:r w:rsidR="002628B6" w:rsidRPr="00AA0492">
        <w:rPr>
          <w:rFonts w:cstheme="minorHAnsi"/>
          <w:szCs w:val="22"/>
        </w:rPr>
        <w:t xml:space="preserve"> 189 odst. 1 Nařízení Evropského parlamentu a rady (EU) č. 1308/2013 odkazuje při stanovení v surovém konopí a</w:t>
      </w:r>
      <w:r w:rsidR="004906AD">
        <w:rPr>
          <w:rFonts w:cstheme="minorHAnsi"/>
          <w:szCs w:val="22"/>
        </w:rPr>
        <w:t> </w:t>
      </w:r>
      <w:r w:rsidR="002628B6" w:rsidRPr="00AA0492">
        <w:rPr>
          <w:rFonts w:cstheme="minorHAnsi"/>
          <w:szCs w:val="22"/>
        </w:rPr>
        <w:t>v semenech na hranici stanovenou v čl. 32, odst. 6 Nařízení Evropského parlamentu a rady (EU) č.</w:t>
      </w:r>
      <w:r w:rsidR="004906AD">
        <w:rPr>
          <w:rFonts w:cstheme="minorHAnsi"/>
          <w:szCs w:val="22"/>
        </w:rPr>
        <w:t> </w:t>
      </w:r>
      <w:r w:rsidR="002628B6" w:rsidRPr="00AA0492">
        <w:rPr>
          <w:rFonts w:cstheme="minorHAnsi"/>
          <w:szCs w:val="22"/>
        </w:rPr>
        <w:t>1307/2013,</w:t>
      </w:r>
      <w:r w:rsidR="00B40CAA" w:rsidRPr="00AA0492">
        <w:rPr>
          <w:rFonts w:cstheme="minorHAnsi"/>
          <w:szCs w:val="22"/>
        </w:rPr>
        <w:t xml:space="preserve"> která je stanovena na 0,2</w:t>
      </w:r>
      <w:r w:rsidR="00717242">
        <w:rPr>
          <w:rFonts w:cstheme="minorHAnsi"/>
          <w:szCs w:val="22"/>
        </w:rPr>
        <w:t xml:space="preserve"> </w:t>
      </w:r>
      <w:r w:rsidR="00B40CAA" w:rsidRPr="00AA0492">
        <w:rPr>
          <w:rFonts w:cstheme="minorHAnsi"/>
          <w:szCs w:val="22"/>
        </w:rPr>
        <w:t>% THC</w:t>
      </w:r>
      <w:r w:rsidR="002628B6" w:rsidRPr="00106C58">
        <w:rPr>
          <w:rFonts w:cstheme="minorHAnsi"/>
          <w:szCs w:val="22"/>
        </w:rPr>
        <w:t>.</w:t>
      </w:r>
      <w:bookmarkStart w:id="11" w:name="b9"/>
      <w:bookmarkEnd w:id="11"/>
      <w:r w:rsidR="000E3AC5" w:rsidRPr="00106C58">
        <w:rPr>
          <w:rFonts w:cstheme="minorHAnsi"/>
          <w:szCs w:val="22"/>
        </w:rPr>
        <w:t xml:space="preserve"> </w:t>
      </w:r>
      <w:r w:rsidR="00E97DD3">
        <w:rPr>
          <w:rFonts w:cstheme="minorHAnsi"/>
          <w:szCs w:val="22"/>
        </w:rPr>
        <w:t>Využití této specifické kategorie je dále omezeno zákonem o návykových látkách.</w:t>
      </w:r>
    </w:p>
    <w:p w14:paraId="41B30313" w14:textId="42D7AAF5" w:rsidR="00931881" w:rsidRPr="0082651E" w:rsidRDefault="00106C58" w:rsidP="004906AD">
      <w:pPr>
        <w:rPr>
          <w:rFonts w:cstheme="minorHAnsi"/>
          <w:szCs w:val="22"/>
        </w:rPr>
      </w:pPr>
      <w:r w:rsidRPr="0082651E">
        <w:rPr>
          <w:rFonts w:cstheme="minorHAnsi"/>
          <w:szCs w:val="22"/>
        </w:rPr>
        <w:t>Při pěstování a dalším nakládání s technickým konopím je nutné mít v první řadě n</w:t>
      </w:r>
      <w:r w:rsidR="0082651E" w:rsidRPr="0082651E">
        <w:rPr>
          <w:rFonts w:cstheme="minorHAnsi"/>
          <w:szCs w:val="22"/>
        </w:rPr>
        <w:t>a paměti obecná zákonná omezení</w:t>
      </w:r>
      <w:r w:rsidR="00DD6061">
        <w:rPr>
          <w:rFonts w:cstheme="minorHAnsi"/>
          <w:szCs w:val="22"/>
        </w:rPr>
        <w:t>,</w:t>
      </w:r>
      <w:r w:rsidR="0082651E" w:rsidRPr="0082651E">
        <w:rPr>
          <w:rFonts w:cstheme="minorHAnsi"/>
          <w:szCs w:val="22"/>
        </w:rPr>
        <w:t xml:space="preserve"> a to</w:t>
      </w:r>
      <w:r w:rsidRPr="0082651E">
        <w:rPr>
          <w:rFonts w:cstheme="minorHAnsi"/>
          <w:szCs w:val="22"/>
        </w:rPr>
        <w:t xml:space="preserve"> zejména zákaz získávat konopnou pryskyřici a látky ze skupiny THC z rostliny konopí (§15 písm.</w:t>
      </w:r>
      <w:r w:rsidR="00FC3396">
        <w:rPr>
          <w:rFonts w:cstheme="minorHAnsi"/>
          <w:szCs w:val="22"/>
        </w:rPr>
        <w:t xml:space="preserve"> </w:t>
      </w:r>
      <w:r w:rsidRPr="0082651E">
        <w:rPr>
          <w:rFonts w:cstheme="minorHAnsi"/>
          <w:szCs w:val="22"/>
        </w:rPr>
        <w:t>e) zákona č.167/1998 Sb., o návykových látkách)</w:t>
      </w:r>
      <w:r w:rsidR="0082651E" w:rsidRPr="0082651E">
        <w:rPr>
          <w:rFonts w:cstheme="minorHAnsi"/>
          <w:szCs w:val="22"/>
        </w:rPr>
        <w:t>,</w:t>
      </w:r>
      <w:r w:rsidRPr="0082651E">
        <w:rPr>
          <w:rFonts w:cstheme="minorHAnsi"/>
          <w:szCs w:val="22"/>
        </w:rPr>
        <w:t xml:space="preserve"> a zákaz pěstování druhů a odrůd konopí</w:t>
      </w:r>
      <w:r w:rsidR="00DD6061">
        <w:rPr>
          <w:rFonts w:cstheme="minorHAnsi"/>
          <w:szCs w:val="22"/>
        </w:rPr>
        <w:t xml:space="preserve">, které mohou obsahovat </w:t>
      </w:r>
      <w:r w:rsidRPr="0082651E">
        <w:rPr>
          <w:rFonts w:cstheme="minorHAnsi"/>
          <w:szCs w:val="22"/>
        </w:rPr>
        <w:t xml:space="preserve">více než 0,3 </w:t>
      </w:r>
      <w:r w:rsidR="009D336C">
        <w:rPr>
          <w:rFonts w:cstheme="minorHAnsi"/>
          <w:szCs w:val="22"/>
        </w:rPr>
        <w:t>%</w:t>
      </w:r>
      <w:r w:rsidRPr="0082651E">
        <w:rPr>
          <w:rFonts w:cstheme="minorHAnsi"/>
          <w:szCs w:val="22"/>
        </w:rPr>
        <w:t xml:space="preserve"> </w:t>
      </w:r>
      <w:r w:rsidR="00DD6061">
        <w:rPr>
          <w:rFonts w:cstheme="minorHAnsi"/>
          <w:szCs w:val="22"/>
        </w:rPr>
        <w:t xml:space="preserve">látek ze skupiny </w:t>
      </w:r>
      <w:proofErr w:type="spellStart"/>
      <w:r w:rsidR="00DD6061">
        <w:rPr>
          <w:rFonts w:cstheme="minorHAnsi"/>
          <w:szCs w:val="22"/>
        </w:rPr>
        <w:t>tetrahydrokanabinolů</w:t>
      </w:r>
      <w:proofErr w:type="spellEnd"/>
      <w:r w:rsidR="00DD6061" w:rsidRPr="0082651E">
        <w:rPr>
          <w:rFonts w:cstheme="minorHAnsi"/>
          <w:szCs w:val="22"/>
        </w:rPr>
        <w:t xml:space="preserve"> </w:t>
      </w:r>
      <w:r w:rsidRPr="0082651E">
        <w:rPr>
          <w:rFonts w:cstheme="minorHAnsi"/>
          <w:szCs w:val="22"/>
        </w:rPr>
        <w:t>(§24 odst.</w:t>
      </w:r>
      <w:r w:rsidR="00FC3396">
        <w:rPr>
          <w:rFonts w:cstheme="minorHAnsi"/>
          <w:szCs w:val="22"/>
        </w:rPr>
        <w:t xml:space="preserve"> </w:t>
      </w:r>
      <w:r w:rsidRPr="0082651E">
        <w:rPr>
          <w:rFonts w:cstheme="minorHAnsi"/>
          <w:szCs w:val="22"/>
        </w:rPr>
        <w:t xml:space="preserve">1 zákona č.167/1998 Sb., o návykových látkách). </w:t>
      </w:r>
    </w:p>
    <w:p w14:paraId="5BCD06B8" w14:textId="6F463E83" w:rsidR="006F2B30" w:rsidRPr="00A221E6" w:rsidRDefault="00931881" w:rsidP="004906AD">
      <w:pPr>
        <w:rPr>
          <w:rFonts w:cstheme="minorHAnsi"/>
          <w:szCs w:val="22"/>
        </w:rPr>
      </w:pPr>
      <w:r>
        <w:lastRenderedPageBreak/>
        <w:t xml:space="preserve">Na pěstitele technického konopí se  vztahuje obecná povinnost evidence zemědělského podnikatele podle zákona č. 252/1997 Sb., o zemědělství. Pěstování technického konopí ve větším rozsahu podléhá ohlašovací povinnosti vůči místně příslušnému celnímu orgánu (vzory formulářů viz </w:t>
      </w:r>
      <w:proofErr w:type="spellStart"/>
      <w:r>
        <w:t>vyhl</w:t>
      </w:r>
      <w:proofErr w:type="spellEnd"/>
      <w:r>
        <w:t>. č.</w:t>
      </w:r>
      <w:r w:rsidR="004906AD">
        <w:t> </w:t>
      </w:r>
      <w:r>
        <w:t>151/2005 Sb.)</w:t>
      </w:r>
      <w:bookmarkStart w:id="12" w:name="b5"/>
      <w:bookmarkEnd w:id="12"/>
      <w:r>
        <w:t>. Dodržování ohlašovací povinnosti kontrolují inspektoři celní správy.</w:t>
      </w:r>
      <w:r w:rsidR="006F2B30">
        <w:t xml:space="preserve"> </w:t>
      </w:r>
      <w:r w:rsidR="00E97DD3" w:rsidRPr="00A221E6">
        <w:rPr>
          <w:rFonts w:cstheme="minorHAnsi"/>
          <w:szCs w:val="22"/>
        </w:rPr>
        <w:t>V souladu s § 5 odst. 5 zá</w:t>
      </w:r>
      <w:r w:rsidR="006F2B30" w:rsidRPr="00A221E6">
        <w:rPr>
          <w:rFonts w:cstheme="minorHAnsi"/>
          <w:szCs w:val="22"/>
        </w:rPr>
        <w:t xml:space="preserve">kona o návykových látkách se k získávání, skladování a </w:t>
      </w:r>
      <w:r w:rsidR="006F2B30" w:rsidRPr="00A57F11">
        <w:rPr>
          <w:rFonts w:cstheme="minorHAnsi"/>
          <w:szCs w:val="22"/>
        </w:rPr>
        <w:t>zpracování</w:t>
      </w:r>
      <w:r w:rsidR="006F2B30" w:rsidRPr="00A221E6">
        <w:rPr>
          <w:rFonts w:cstheme="minorHAnsi"/>
          <w:szCs w:val="22"/>
        </w:rPr>
        <w:t xml:space="preserve"> technického konopí nepožaduje udělení povolení od </w:t>
      </w:r>
      <w:r w:rsidR="002C7ED7" w:rsidRPr="00A221E6">
        <w:rPr>
          <w:rFonts w:cstheme="minorHAnsi"/>
          <w:szCs w:val="22"/>
        </w:rPr>
        <w:t>M</w:t>
      </w:r>
      <w:r w:rsidR="006F2B30" w:rsidRPr="00A221E6">
        <w:rPr>
          <w:rFonts w:cstheme="minorHAnsi"/>
          <w:szCs w:val="22"/>
        </w:rPr>
        <w:t>inisterstva zdravotnictví.</w:t>
      </w:r>
      <w:r w:rsidR="007B2C7B" w:rsidRPr="00A221E6">
        <w:rPr>
          <w:rFonts w:cstheme="minorHAnsi"/>
          <w:szCs w:val="22"/>
        </w:rPr>
        <w:t xml:space="preserve"> </w:t>
      </w:r>
    </w:p>
    <w:p w14:paraId="1E4CC04D" w14:textId="601F34F3" w:rsidR="00F41E2B" w:rsidRPr="00A221E6" w:rsidRDefault="00F41E2B" w:rsidP="004906AD">
      <w:pPr>
        <w:tabs>
          <w:tab w:val="left" w:pos="0"/>
        </w:tabs>
        <w:rPr>
          <w:rFonts w:cstheme="minorHAnsi"/>
          <w:szCs w:val="22"/>
        </w:rPr>
      </w:pPr>
      <w:r w:rsidRPr="00A221E6">
        <w:rPr>
          <w:rFonts w:cstheme="minorHAnsi"/>
          <w:szCs w:val="22"/>
        </w:rPr>
        <w:t xml:space="preserve">K vývozu technického konopí není v souladu s § 20 odst. 2 písm. e) zákona o návykových látkách třeba získat vývozní povolení </w:t>
      </w:r>
      <w:r w:rsidR="002C7ED7" w:rsidRPr="00A221E6">
        <w:rPr>
          <w:rFonts w:cstheme="minorHAnsi"/>
          <w:szCs w:val="22"/>
        </w:rPr>
        <w:t>M</w:t>
      </w:r>
      <w:r w:rsidRPr="00A221E6">
        <w:rPr>
          <w:rFonts w:cstheme="minorHAnsi"/>
          <w:szCs w:val="22"/>
        </w:rPr>
        <w:t>inisterstva zdravotnictví. Obdobně není v souladu s § 21 odst. 2 písm. d) téhož zákona třeba získat dovozní povolení při dovozu technického konopí. Tím však nejsou dotčena jiná omezení stanovená právními předpisy Evropské unie, která mohou vyžadovat různá osvědčení (</w:t>
      </w:r>
      <w:r w:rsidR="002C7ED7" w:rsidRPr="00A221E6">
        <w:rPr>
          <w:rFonts w:cstheme="minorHAnsi"/>
          <w:szCs w:val="22"/>
        </w:rPr>
        <w:t xml:space="preserve">viz výše </w:t>
      </w:r>
      <w:r w:rsidRPr="00A221E6">
        <w:rPr>
          <w:rFonts w:cstheme="minorHAnsi"/>
          <w:szCs w:val="22"/>
        </w:rPr>
        <w:t>čl</w:t>
      </w:r>
      <w:r w:rsidR="00CF0134" w:rsidRPr="00A221E6">
        <w:rPr>
          <w:rFonts w:cstheme="minorHAnsi"/>
          <w:szCs w:val="22"/>
        </w:rPr>
        <w:t xml:space="preserve">. </w:t>
      </w:r>
      <w:r w:rsidRPr="00A221E6">
        <w:rPr>
          <w:rFonts w:cstheme="minorHAnsi"/>
          <w:szCs w:val="22"/>
        </w:rPr>
        <w:t>189 odst.</w:t>
      </w:r>
      <w:r w:rsidR="00C45081" w:rsidRPr="00A221E6">
        <w:rPr>
          <w:rFonts w:cstheme="minorHAnsi"/>
          <w:szCs w:val="22"/>
        </w:rPr>
        <w:t xml:space="preserve"> </w:t>
      </w:r>
      <w:r w:rsidRPr="00A221E6">
        <w:rPr>
          <w:rFonts w:cstheme="minorHAnsi"/>
          <w:szCs w:val="22"/>
        </w:rPr>
        <w:t>1 Nařízení evropského parlamentu a rady (EU) č. 13</w:t>
      </w:r>
      <w:r w:rsidR="00C45081" w:rsidRPr="00A221E6">
        <w:rPr>
          <w:rFonts w:cstheme="minorHAnsi"/>
          <w:szCs w:val="22"/>
        </w:rPr>
        <w:t>08/2013</w:t>
      </w:r>
      <w:r w:rsidR="002C7ED7" w:rsidRPr="00A221E6">
        <w:rPr>
          <w:rFonts w:cstheme="minorHAnsi"/>
          <w:szCs w:val="22"/>
        </w:rPr>
        <w:t>, který</w:t>
      </w:r>
      <w:r w:rsidR="00C45081" w:rsidRPr="00A221E6">
        <w:rPr>
          <w:rFonts w:cstheme="minorHAnsi"/>
          <w:szCs w:val="22"/>
        </w:rPr>
        <w:t xml:space="preserve"> odkazuje při stanovení THC v surovém konopí a v semenech na hranici stanovenou v čl. 32 odst. 6 Nařízení evropského parlamentu a rady (EU) č. 1307/2013, která je stanovena na 0,2% THC).</w:t>
      </w:r>
    </w:p>
    <w:p w14:paraId="2053CFBB" w14:textId="18C4C7EE" w:rsidR="0012136D" w:rsidRDefault="00106C58" w:rsidP="004906AD">
      <w:pPr>
        <w:rPr>
          <w:rFonts w:cstheme="minorHAnsi"/>
          <w:szCs w:val="22"/>
        </w:rPr>
      </w:pPr>
      <w:r w:rsidRPr="00BD1D4F">
        <w:rPr>
          <w:rFonts w:cstheme="minorHAnsi"/>
          <w:szCs w:val="22"/>
        </w:rPr>
        <w:t xml:space="preserve">Průmyslovým účelem využití technického konopí je třeba rozumět zpracování rostliny konopí jiným postupem než takovým, jehož výstupem je návyková látka v souladu s čl. 28 odst. 2 Jednotné úmluvy o omamných látkách, tedy na vlákna a semena. Získávání </w:t>
      </w:r>
      <w:r w:rsidR="007E50CC" w:rsidRPr="00BD1D4F">
        <w:rPr>
          <w:rFonts w:cstheme="minorHAnsi"/>
          <w:szCs w:val="22"/>
        </w:rPr>
        <w:t>látek</w:t>
      </w:r>
      <w:r w:rsidRPr="00BD1D4F">
        <w:rPr>
          <w:rFonts w:cstheme="minorHAnsi"/>
          <w:szCs w:val="22"/>
        </w:rPr>
        <w:t xml:space="preserve"> (například extraktu) z vrcholíku rostliny technického konopí nespadá pod využití dle § 5 odst. 5 zákona o návykových látkách</w:t>
      </w:r>
      <w:r w:rsidR="003D60A2">
        <w:rPr>
          <w:rFonts w:cstheme="minorHAnsi"/>
          <w:szCs w:val="22"/>
        </w:rPr>
        <w:t>, k němuž se nevyžaduje povolení k zacházení</w:t>
      </w:r>
      <w:r w:rsidR="007E50CC" w:rsidRPr="00BD1D4F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</w:p>
    <w:p w14:paraId="15A8C0AA" w14:textId="283F451E" w:rsidR="00106C58" w:rsidRPr="00915B4D" w:rsidRDefault="00106C58" w:rsidP="004906AD">
      <w:pPr>
        <w:rPr>
          <w:rStyle w:val="Zvraznn"/>
          <w:i w:val="0"/>
        </w:rPr>
      </w:pPr>
      <w:r>
        <w:t xml:space="preserve">Ke zpracování rostliny technického konopí za účelem výroby látky, která není návyková a návykovou látkou je pouze meziprodukt, může </w:t>
      </w:r>
      <w:r w:rsidR="00BC3C3E">
        <w:t>M</w:t>
      </w:r>
      <w:r>
        <w:t xml:space="preserve">inisterstvo zdravotnictví vydat povolení. Ministerstvo však k tomu výslovně uvádí, že: </w:t>
      </w:r>
      <w:r>
        <w:rPr>
          <w:rStyle w:val="Zvraznn"/>
        </w:rPr>
        <w:t>"takové povolení nelze udělit ke zpracování čistě květu konopí, neboť by se jednalo o zpracování látky, kterou nelze použít k průmyslovým účelům (viz § 3 odst. 2 zákona o návykových látkách)</w:t>
      </w:r>
      <w:bookmarkStart w:id="13" w:name="b6"/>
      <w:bookmarkEnd w:id="13"/>
      <w:r w:rsidR="00A6096A">
        <w:rPr>
          <w:rStyle w:val="Zvraznn"/>
        </w:rPr>
        <w:t xml:space="preserve">, </w:t>
      </w:r>
      <w:r w:rsidRPr="00915B4D">
        <w:rPr>
          <w:rStyle w:val="Zvraznn"/>
        </w:rPr>
        <w:t xml:space="preserve">(viz poskytnuté informace dle zákona č. 106/1999 Sb. Ministerstvem zdravotnictví </w:t>
      </w:r>
      <w:hyperlink r:id="rId19" w:history="1">
        <w:r w:rsidRPr="00915B4D">
          <w:rPr>
            <w:rStyle w:val="Hypertextovodkaz"/>
            <w:i/>
          </w:rPr>
          <w:t>www.mzcr.cz</w:t>
        </w:r>
      </w:hyperlink>
      <w:r w:rsidRPr="00915B4D">
        <w:rPr>
          <w:rStyle w:val="Zvraznn"/>
        </w:rPr>
        <w:t>).</w:t>
      </w:r>
    </w:p>
    <w:p w14:paraId="317157D4" w14:textId="6BD7B2A8" w:rsidR="000E3AC5" w:rsidRPr="00AA0492" w:rsidRDefault="000E3AC5" w:rsidP="004906AD">
      <w:pPr>
        <w:pStyle w:val="detail-odstavec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A0492">
        <w:rPr>
          <w:rFonts w:asciiTheme="minorHAnsi" w:hAnsiTheme="minorHAnsi" w:cstheme="minorHAnsi"/>
          <w:sz w:val="22"/>
          <w:szCs w:val="22"/>
        </w:rPr>
        <w:t xml:space="preserve">Tolerance 0,3 </w:t>
      </w:r>
      <w:r w:rsidR="00B43774">
        <w:rPr>
          <w:rFonts w:asciiTheme="minorHAnsi" w:hAnsiTheme="minorHAnsi" w:cstheme="minorHAnsi"/>
          <w:sz w:val="22"/>
          <w:szCs w:val="22"/>
        </w:rPr>
        <w:t>%</w:t>
      </w:r>
      <w:r w:rsidRPr="00AA0492">
        <w:rPr>
          <w:rFonts w:asciiTheme="minorHAnsi" w:hAnsiTheme="minorHAnsi" w:cstheme="minorHAnsi"/>
          <w:sz w:val="22"/>
          <w:szCs w:val="22"/>
        </w:rPr>
        <w:t xml:space="preserve"> obsahu THC u technického konopí se  neuplatní pro 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AA0492">
        <w:rPr>
          <w:rFonts w:asciiTheme="minorHAnsi" w:hAnsiTheme="minorHAnsi" w:cstheme="minorHAnsi"/>
          <w:b/>
          <w:sz w:val="22"/>
          <w:szCs w:val="22"/>
        </w:rPr>
        <w:t>extrakt a tinkturu</w:t>
      </w:r>
      <w:r w:rsidR="00AA0492">
        <w:rPr>
          <w:rFonts w:asciiTheme="minorHAnsi" w:hAnsiTheme="minorHAnsi" w:cstheme="minorHAnsi"/>
          <w:b/>
          <w:sz w:val="22"/>
          <w:szCs w:val="22"/>
        </w:rPr>
        <w:t xml:space="preserve"> z konopí“</w:t>
      </w:r>
      <w:r w:rsidR="00AA0492" w:rsidRPr="00AA0492">
        <w:rPr>
          <w:rFonts w:asciiTheme="minorHAnsi" w:hAnsiTheme="minorHAnsi" w:cstheme="minorHAnsi"/>
          <w:sz w:val="22"/>
          <w:szCs w:val="22"/>
        </w:rPr>
        <w:t>, které</w:t>
      </w:r>
      <w:r w:rsidRPr="00AA0492">
        <w:rPr>
          <w:rFonts w:asciiTheme="minorHAnsi" w:hAnsiTheme="minorHAnsi" w:cstheme="minorHAnsi"/>
          <w:sz w:val="22"/>
          <w:szCs w:val="22"/>
        </w:rPr>
        <w:t xml:space="preserve"> jsou vždy řazeny mezi omamné látky </w:t>
      </w:r>
      <w:r w:rsidR="00FC29CF">
        <w:rPr>
          <w:rFonts w:asciiTheme="minorHAnsi" w:hAnsiTheme="minorHAnsi" w:cstheme="minorHAnsi"/>
          <w:sz w:val="22"/>
          <w:szCs w:val="22"/>
        </w:rPr>
        <w:t xml:space="preserve">v příloze č. 1 Nařízení vlády o </w:t>
      </w:r>
      <w:r w:rsidR="007B1C4C">
        <w:rPr>
          <w:rFonts w:asciiTheme="minorHAnsi" w:hAnsiTheme="minorHAnsi" w:cstheme="minorHAnsi"/>
          <w:sz w:val="22"/>
          <w:szCs w:val="22"/>
        </w:rPr>
        <w:t xml:space="preserve">seznamech </w:t>
      </w:r>
      <w:r w:rsidR="00FC29CF">
        <w:rPr>
          <w:rFonts w:asciiTheme="minorHAnsi" w:hAnsiTheme="minorHAnsi" w:cstheme="minorHAnsi"/>
          <w:sz w:val="22"/>
          <w:szCs w:val="22"/>
        </w:rPr>
        <w:t xml:space="preserve">návykových </w:t>
      </w:r>
      <w:r w:rsidR="00383E14">
        <w:rPr>
          <w:rFonts w:asciiTheme="minorHAnsi" w:hAnsiTheme="minorHAnsi" w:cstheme="minorHAnsi"/>
          <w:sz w:val="22"/>
          <w:szCs w:val="22"/>
        </w:rPr>
        <w:t>látek</w:t>
      </w:r>
      <w:r w:rsidR="00FC29CF">
        <w:rPr>
          <w:rFonts w:asciiTheme="minorHAnsi" w:hAnsiTheme="minorHAnsi" w:cstheme="minorHAnsi"/>
          <w:sz w:val="22"/>
          <w:szCs w:val="22"/>
        </w:rPr>
        <w:t xml:space="preserve"> </w:t>
      </w:r>
      <w:r w:rsidRPr="00AA0492">
        <w:rPr>
          <w:rFonts w:asciiTheme="minorHAnsi" w:hAnsiTheme="minorHAnsi" w:cstheme="minorHAnsi"/>
          <w:sz w:val="22"/>
          <w:szCs w:val="22"/>
        </w:rPr>
        <w:t>a vztahují se na ně veškerá omezení a povinnosti stanovené zákonem o návykových látkách</w:t>
      </w:r>
      <w:r w:rsidR="00FC29CF">
        <w:rPr>
          <w:rFonts w:asciiTheme="minorHAnsi" w:hAnsiTheme="minorHAnsi" w:cstheme="minorHAnsi"/>
          <w:sz w:val="22"/>
          <w:szCs w:val="22"/>
        </w:rPr>
        <w:t xml:space="preserve">, § 5 </w:t>
      </w:r>
      <w:r w:rsidR="00383E14">
        <w:rPr>
          <w:rFonts w:asciiTheme="minorHAnsi" w:hAnsiTheme="minorHAnsi" w:cstheme="minorHAnsi"/>
          <w:sz w:val="22"/>
          <w:szCs w:val="22"/>
        </w:rPr>
        <w:t xml:space="preserve">tohoto </w:t>
      </w:r>
      <w:r w:rsidR="00FC29CF">
        <w:rPr>
          <w:rFonts w:asciiTheme="minorHAnsi" w:hAnsiTheme="minorHAnsi" w:cstheme="minorHAnsi"/>
          <w:sz w:val="22"/>
          <w:szCs w:val="22"/>
        </w:rPr>
        <w:t>zákona</w:t>
      </w:r>
      <w:r w:rsidR="00AA0492">
        <w:rPr>
          <w:rFonts w:asciiTheme="minorHAnsi" w:hAnsiTheme="minorHAnsi" w:cstheme="minorHAnsi"/>
          <w:sz w:val="22"/>
          <w:szCs w:val="22"/>
        </w:rPr>
        <w:t xml:space="preserve">.  </w:t>
      </w:r>
      <w:r w:rsidR="00C52ED8">
        <w:rPr>
          <w:rFonts w:asciiTheme="minorHAnsi" w:hAnsiTheme="minorHAnsi" w:cstheme="minorHAnsi"/>
          <w:sz w:val="22"/>
          <w:szCs w:val="22"/>
        </w:rPr>
        <w:t>Je třeba si</w:t>
      </w:r>
      <w:r w:rsidR="00AA0492" w:rsidRPr="00AA0492">
        <w:rPr>
          <w:rFonts w:asciiTheme="minorHAnsi" w:hAnsiTheme="minorHAnsi" w:cstheme="minorHAnsi"/>
          <w:sz w:val="22"/>
          <w:szCs w:val="22"/>
        </w:rPr>
        <w:t xml:space="preserve"> uvědomit, že v souladu s nařízením vlády o </w:t>
      </w:r>
      <w:r w:rsidR="00383E14">
        <w:rPr>
          <w:rFonts w:asciiTheme="minorHAnsi" w:hAnsiTheme="minorHAnsi" w:cstheme="minorHAnsi"/>
          <w:sz w:val="22"/>
          <w:szCs w:val="22"/>
        </w:rPr>
        <w:t xml:space="preserve">seznamech </w:t>
      </w:r>
      <w:r w:rsidR="00AA0492" w:rsidRPr="00AA0492">
        <w:rPr>
          <w:rFonts w:asciiTheme="minorHAnsi" w:hAnsiTheme="minorHAnsi" w:cstheme="minorHAnsi"/>
          <w:sz w:val="22"/>
          <w:szCs w:val="22"/>
        </w:rPr>
        <w:t xml:space="preserve">návykových </w:t>
      </w:r>
      <w:r w:rsidR="00383E14">
        <w:rPr>
          <w:rFonts w:asciiTheme="minorHAnsi" w:hAnsiTheme="minorHAnsi" w:cstheme="minorHAnsi"/>
          <w:sz w:val="22"/>
          <w:szCs w:val="22"/>
        </w:rPr>
        <w:t>látek</w:t>
      </w:r>
      <w:r w:rsidR="00AA0492" w:rsidRPr="00AA0492">
        <w:rPr>
          <w:rFonts w:asciiTheme="minorHAnsi" w:hAnsiTheme="minorHAnsi" w:cstheme="minorHAnsi"/>
          <w:sz w:val="22"/>
          <w:szCs w:val="22"/>
        </w:rPr>
        <w:t xml:space="preserve"> je jakýkoliv extrakt nebo tinktura z konopí omamnou, tedy návykovou látkou ve smyslu zákona o návykových látkách, a to bez ohledu na obsah účinných látek</w:t>
      </w:r>
      <w:r w:rsidR="003A6EEE">
        <w:rPr>
          <w:rFonts w:asciiTheme="minorHAnsi" w:hAnsiTheme="minorHAnsi" w:cstheme="minorHAnsi"/>
          <w:sz w:val="22"/>
          <w:szCs w:val="22"/>
        </w:rPr>
        <w:t>.</w:t>
      </w:r>
    </w:p>
    <w:p w14:paraId="644335BB" w14:textId="471B080C" w:rsidR="000E3AC5" w:rsidRDefault="000E3AC5" w:rsidP="004906AD">
      <w:pPr>
        <w:pStyle w:val="detail-odstavec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2C7B">
        <w:rPr>
          <w:rFonts w:asciiTheme="minorHAnsi" w:hAnsiTheme="minorHAnsi" w:cstheme="minorHAnsi"/>
          <w:sz w:val="22"/>
          <w:szCs w:val="22"/>
        </w:rPr>
        <w:t xml:space="preserve">Oproti tomu </w:t>
      </w:r>
      <w:r w:rsidR="00931881" w:rsidRPr="006F2B30">
        <w:rPr>
          <w:rFonts w:asciiTheme="minorHAnsi" w:hAnsiTheme="minorHAnsi" w:cstheme="minorHAnsi"/>
          <w:sz w:val="22"/>
          <w:szCs w:val="22"/>
        </w:rPr>
        <w:t xml:space="preserve">účinná látka získávaná z rostliny konopí, </w:t>
      </w:r>
      <w:proofErr w:type="spellStart"/>
      <w:r w:rsidR="00AA0492" w:rsidRPr="006F2B30">
        <w:rPr>
          <w:rFonts w:asciiTheme="minorHAnsi" w:hAnsiTheme="minorHAnsi" w:cstheme="minorHAnsi"/>
          <w:b/>
          <w:sz w:val="22"/>
          <w:szCs w:val="22"/>
        </w:rPr>
        <w:t>kanabidiol</w:t>
      </w:r>
      <w:proofErr w:type="spellEnd"/>
      <w:r w:rsidR="00AA0492" w:rsidRPr="006F2B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6F2B30">
        <w:rPr>
          <w:rFonts w:asciiTheme="minorHAnsi" w:hAnsiTheme="minorHAnsi" w:cstheme="minorHAnsi"/>
          <w:b/>
          <w:sz w:val="22"/>
          <w:szCs w:val="22"/>
        </w:rPr>
        <w:t>CBD</w:t>
      </w:r>
      <w:r w:rsidR="00AA0492" w:rsidRPr="006F2B30">
        <w:rPr>
          <w:rFonts w:asciiTheme="minorHAnsi" w:hAnsiTheme="minorHAnsi" w:cstheme="minorHAnsi"/>
          <w:b/>
          <w:sz w:val="22"/>
          <w:szCs w:val="22"/>
        </w:rPr>
        <w:t>)</w:t>
      </w:r>
      <w:r w:rsidR="00931881" w:rsidRPr="006F2B3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31881" w:rsidRPr="006F2B30">
        <w:rPr>
          <w:rFonts w:asciiTheme="minorHAnsi" w:hAnsiTheme="minorHAnsi" w:cstheme="minorHAnsi"/>
          <w:sz w:val="22"/>
          <w:szCs w:val="22"/>
        </w:rPr>
        <w:t>nemá psychotropní účinky a</w:t>
      </w:r>
      <w:r w:rsidR="004906AD">
        <w:rPr>
          <w:rFonts w:asciiTheme="minorHAnsi" w:hAnsiTheme="minorHAnsi" w:cstheme="minorHAnsi"/>
          <w:sz w:val="22"/>
          <w:szCs w:val="22"/>
        </w:rPr>
        <w:t> </w:t>
      </w:r>
      <w:r w:rsidR="00AA0492" w:rsidRPr="007B2C7B">
        <w:rPr>
          <w:rFonts w:asciiTheme="minorHAnsi" w:hAnsiTheme="minorHAnsi" w:cstheme="minorHAnsi"/>
          <w:sz w:val="22"/>
          <w:szCs w:val="22"/>
        </w:rPr>
        <w:t>není řazen</w:t>
      </w:r>
      <w:r w:rsidR="00931881" w:rsidRPr="007B2C7B">
        <w:rPr>
          <w:rFonts w:asciiTheme="minorHAnsi" w:hAnsiTheme="minorHAnsi" w:cstheme="minorHAnsi"/>
          <w:sz w:val="22"/>
          <w:szCs w:val="22"/>
        </w:rPr>
        <w:t>a</w:t>
      </w:r>
      <w:r w:rsidRPr="007B2C7B">
        <w:rPr>
          <w:rFonts w:asciiTheme="minorHAnsi" w:hAnsiTheme="minorHAnsi" w:cstheme="minorHAnsi"/>
          <w:sz w:val="22"/>
          <w:szCs w:val="22"/>
        </w:rPr>
        <w:t xml:space="preserve"> mezi psychotropní látky</w:t>
      </w:r>
      <w:r w:rsidR="00AA0492" w:rsidRPr="007B2C7B">
        <w:rPr>
          <w:rFonts w:asciiTheme="minorHAnsi" w:hAnsiTheme="minorHAnsi" w:cstheme="minorHAnsi"/>
          <w:sz w:val="22"/>
          <w:szCs w:val="22"/>
        </w:rPr>
        <w:t>.</w:t>
      </w:r>
    </w:p>
    <w:p w14:paraId="7B278A99" w14:textId="77777777" w:rsidR="00CB0E65" w:rsidRDefault="00CB0E65" w:rsidP="004906AD">
      <w:pPr>
        <w:pStyle w:val="detail-odstavec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E944386" w14:textId="77777777" w:rsidR="0046288F" w:rsidRDefault="0046288F" w:rsidP="0046288F">
      <w:pPr>
        <w:pStyle w:val="Nadpis1"/>
        <w:numPr>
          <w:ilvl w:val="0"/>
          <w:numId w:val="1"/>
        </w:numPr>
        <w:spacing w:before="120"/>
      </w:pPr>
      <w:bookmarkStart w:id="14" w:name="_Toc63853312"/>
      <w:r>
        <w:t>Státní orgány pro nakládání s rostlinami konopí a tzv. konopnými produkty</w:t>
      </w:r>
      <w:bookmarkEnd w:id="14"/>
    </w:p>
    <w:p w14:paraId="58EF31F6" w14:textId="77777777" w:rsidR="0046288F" w:rsidRDefault="0046288F" w:rsidP="0046288F">
      <w:r>
        <w:t xml:space="preserve">Správou oblasti nakládání s rostlinami konopí a konopnými produkty je pověřeno hned několik státních orgánů, a to zejména Ministerstvo zemědělství a Ministerstvo zdravotnictví. Stanovené kompetence jednotlivých státních orgánů závisí především na účelu využití konopí. </w:t>
      </w:r>
    </w:p>
    <w:p w14:paraId="6B5C92BD" w14:textId="77777777" w:rsidR="0046288F" w:rsidRPr="000B2E50" w:rsidRDefault="0046288F" w:rsidP="0046288F">
      <w:pPr>
        <w:rPr>
          <w:u w:val="single"/>
        </w:rPr>
      </w:pPr>
      <w:r w:rsidRPr="000B2E50">
        <w:rPr>
          <w:u w:val="single"/>
        </w:rPr>
        <w:t>Orgány veřejné moci v oblasti technického konopí:</w:t>
      </w:r>
    </w:p>
    <w:p w14:paraId="59765DD6" w14:textId="77777777" w:rsidR="0046288F" w:rsidRDefault="0046288F" w:rsidP="0046288F">
      <w:pPr>
        <w:pStyle w:val="Odstavecseseznamem"/>
        <w:numPr>
          <w:ilvl w:val="0"/>
          <w:numId w:val="8"/>
        </w:numPr>
        <w:spacing w:after="120"/>
        <w:jc w:val="both"/>
      </w:pPr>
      <w:r>
        <w:t>Ministerstvo zemědělství (</w:t>
      </w:r>
      <w:proofErr w:type="spellStart"/>
      <w:r>
        <w:t>MZe</w:t>
      </w:r>
      <w:proofErr w:type="spellEnd"/>
      <w:r>
        <w:t>) pro regulaci pěstování technického konopí a využití tohoto konopí pro potravinářské a krmivářské účely (včetně jeho dovozu).</w:t>
      </w:r>
    </w:p>
    <w:p w14:paraId="2CFABA47" w14:textId="77777777" w:rsidR="0046288F" w:rsidRDefault="0046288F" w:rsidP="0046288F">
      <w:pPr>
        <w:pStyle w:val="Odstavecseseznamem"/>
        <w:numPr>
          <w:ilvl w:val="0"/>
          <w:numId w:val="8"/>
        </w:numPr>
        <w:spacing w:after="120"/>
        <w:jc w:val="both"/>
      </w:pPr>
      <w:r>
        <w:lastRenderedPageBreak/>
        <w:t xml:space="preserve">Státní zemědělský a intervenční fond, správní úřad v působnosti </w:t>
      </w:r>
      <w:proofErr w:type="spellStart"/>
      <w:r>
        <w:t>MZe</w:t>
      </w:r>
      <w:proofErr w:type="spellEnd"/>
      <w:r>
        <w:t>, státní fond, který vydává licence pro dovoz produktů technického konopí ze zahraničí.</w:t>
      </w:r>
    </w:p>
    <w:p w14:paraId="29C8FFF9" w14:textId="77777777" w:rsidR="0046288F" w:rsidRDefault="0046288F" w:rsidP="0046288F">
      <w:pPr>
        <w:pStyle w:val="Odstavecseseznamem"/>
        <w:numPr>
          <w:ilvl w:val="0"/>
          <w:numId w:val="8"/>
        </w:numPr>
        <w:spacing w:after="120"/>
        <w:jc w:val="both"/>
      </w:pPr>
      <w:r>
        <w:t xml:space="preserve">Ústřední kontrolní a zkušební ústav zemědělský, organizační složka státu zřízená </w:t>
      </w:r>
      <w:proofErr w:type="spellStart"/>
      <w:r>
        <w:t>MZe</w:t>
      </w:r>
      <w:proofErr w:type="spellEnd"/>
      <w:r>
        <w:t xml:space="preserve"> jako specializovaný orgán státní správy, který reguluje uvádění rozmnožovacího materiálu do oběhu a použití odrůd konopí setého v krmivech.</w:t>
      </w:r>
    </w:p>
    <w:p w14:paraId="1F10C68E" w14:textId="77777777" w:rsidR="0046288F" w:rsidRDefault="0046288F" w:rsidP="0046288F">
      <w:pPr>
        <w:pStyle w:val="Odstavecseseznamem"/>
        <w:numPr>
          <w:ilvl w:val="0"/>
          <w:numId w:val="8"/>
        </w:numPr>
        <w:spacing w:after="120"/>
        <w:jc w:val="both"/>
      </w:pPr>
      <w:r>
        <w:t xml:space="preserve">Státní zemědělská a potravinářská inspekce, organizační složka státu podřízená </w:t>
      </w:r>
      <w:proofErr w:type="spellStart"/>
      <w:r>
        <w:t>MZe</w:t>
      </w:r>
      <w:proofErr w:type="spellEnd"/>
      <w:r>
        <w:t>, která dozoruje bezpečnost, jakost a řádné označování potravin.</w:t>
      </w:r>
    </w:p>
    <w:p w14:paraId="619DF9EB" w14:textId="4309CBF8" w:rsidR="0046288F" w:rsidRDefault="0046288F" w:rsidP="0046288F">
      <w:pPr>
        <w:pStyle w:val="Odstavecseseznamem"/>
        <w:numPr>
          <w:ilvl w:val="0"/>
          <w:numId w:val="8"/>
        </w:numPr>
        <w:spacing w:after="120"/>
        <w:jc w:val="both"/>
      </w:pPr>
      <w:r>
        <w:t>Úřady Celní správy, které kontrolují činnosti p</w:t>
      </w:r>
      <w:r w:rsidR="00B25699">
        <w:t>ři pěstování technického konopí.</w:t>
      </w:r>
    </w:p>
    <w:p w14:paraId="04899F64" w14:textId="77777777" w:rsidR="0046288F" w:rsidRDefault="0046288F" w:rsidP="0046288F">
      <w:pPr>
        <w:pStyle w:val="Odstavecseseznamem"/>
        <w:numPr>
          <w:ilvl w:val="0"/>
          <w:numId w:val="8"/>
        </w:numPr>
        <w:spacing w:after="120"/>
        <w:jc w:val="both"/>
      </w:pPr>
      <w:r>
        <w:t>Státní dozor u některých tzv. konopných produktů, zejména kosmetických přípravků, patří do působnosti krajských hygienických stanic, a to konkrétně oddělení hygieny předmětů běžného používání či odboru hygieny výživy a předmětů běžného užívání.</w:t>
      </w:r>
    </w:p>
    <w:p w14:paraId="2EB46BD6" w14:textId="77777777" w:rsidR="0046288F" w:rsidRPr="000B2E50" w:rsidRDefault="0046288F" w:rsidP="0046288F">
      <w:pPr>
        <w:rPr>
          <w:u w:val="single"/>
        </w:rPr>
      </w:pPr>
      <w:r w:rsidRPr="000B2E50">
        <w:rPr>
          <w:u w:val="single"/>
        </w:rPr>
        <w:t xml:space="preserve">Orgány veřejné moci v oblasti konopí a </w:t>
      </w:r>
      <w:r>
        <w:rPr>
          <w:u w:val="single"/>
        </w:rPr>
        <w:t xml:space="preserve">tzv. </w:t>
      </w:r>
      <w:r w:rsidRPr="000B2E50">
        <w:rPr>
          <w:u w:val="single"/>
        </w:rPr>
        <w:t>konopných produktů:</w:t>
      </w:r>
    </w:p>
    <w:p w14:paraId="5A99C689" w14:textId="69E2B30C" w:rsidR="0046288F" w:rsidRDefault="0046288F" w:rsidP="0046288F">
      <w:pPr>
        <w:pStyle w:val="Odstavecseseznamem"/>
        <w:numPr>
          <w:ilvl w:val="0"/>
          <w:numId w:val="8"/>
        </w:numPr>
        <w:spacing w:after="120"/>
        <w:jc w:val="both"/>
      </w:pPr>
      <w:r>
        <w:t>Ministerstvo zdravotnictví (MZ), ústřední orgán gesčně odpovědný za oblast legálního zacházení s návykovými látkami, přípravky a prekurzory drog, který mimo jin</w:t>
      </w:r>
      <w:r w:rsidR="00B25699">
        <w:t>é</w:t>
      </w:r>
      <w:r>
        <w:t xml:space="preserve"> vydává povolení k zacházení s návykovými látkami a přípravky, povolení k dovozu a vývozu návykových látek a přípravků včetně konopí pro léčebné účely. Útvarem MZ gesčně odpovědným za uvedenou problematiku je oddělení Inspektorátu omamných a psychotropních látek. </w:t>
      </w:r>
    </w:p>
    <w:p w14:paraId="36FD1C99" w14:textId="43A07530" w:rsidR="00CB0E65" w:rsidRDefault="0046288F" w:rsidP="007635DB">
      <w:pPr>
        <w:pStyle w:val="Odstavecseseznamem"/>
        <w:numPr>
          <w:ilvl w:val="0"/>
          <w:numId w:val="8"/>
        </w:numPr>
        <w:spacing w:after="120"/>
        <w:jc w:val="both"/>
      </w:pPr>
      <w:r>
        <w:t>Státní ústav pro kontrolu léčiv (SUKL), který zajišťuje dostupnost jakostních, účinných a bezpečných humánních léčiv. Státní agentura pro konopí pro léčebné použití (SAKL) je zvláštním útvarem  SUKL.</w:t>
      </w:r>
    </w:p>
    <w:p w14:paraId="470D7E11" w14:textId="77777777" w:rsidR="007635DB" w:rsidRDefault="007635DB" w:rsidP="007635DB">
      <w:pPr>
        <w:pStyle w:val="Odstavecseseznamem"/>
        <w:spacing w:after="120"/>
        <w:jc w:val="both"/>
      </w:pPr>
    </w:p>
    <w:p w14:paraId="476E5019" w14:textId="49FA8F19" w:rsidR="00B008DC" w:rsidRDefault="00B008DC" w:rsidP="004906AD">
      <w:pPr>
        <w:pStyle w:val="Nadpis1"/>
        <w:numPr>
          <w:ilvl w:val="0"/>
          <w:numId w:val="1"/>
        </w:numPr>
        <w:spacing w:before="120"/>
      </w:pPr>
      <w:bookmarkStart w:id="15" w:name="_Toc63853313"/>
      <w:r>
        <w:t>Zacházení s CBD</w:t>
      </w:r>
      <w:bookmarkEnd w:id="15"/>
    </w:p>
    <w:p w14:paraId="02AEFDEA" w14:textId="5729C590" w:rsidR="00F775F6" w:rsidRDefault="00F775F6" w:rsidP="004906AD">
      <w:r>
        <w:t xml:space="preserve">Látka </w:t>
      </w:r>
      <w:proofErr w:type="spellStart"/>
      <w:r>
        <w:t>kanabidiol</w:t>
      </w:r>
      <w:proofErr w:type="spellEnd"/>
      <w:r>
        <w:t xml:space="preserve"> (CBD) není návykovou látkou dle zákona </w:t>
      </w:r>
      <w:r w:rsidR="00D34394">
        <w:t xml:space="preserve">o návykových látkách. </w:t>
      </w:r>
      <w:r>
        <w:t xml:space="preserve">V případě, že se bude jednat o </w:t>
      </w:r>
      <w:r w:rsidR="00D34394">
        <w:t xml:space="preserve">zacházení s </w:t>
      </w:r>
      <w:proofErr w:type="gramStart"/>
      <w:r>
        <w:t>purifikovanou</w:t>
      </w:r>
      <w:proofErr w:type="gramEnd"/>
      <w:r>
        <w:t xml:space="preserve"> látku CBD bez detekovaného množství látek ze skupiny </w:t>
      </w:r>
      <w:proofErr w:type="spellStart"/>
      <w:r>
        <w:t>tetrahydrokanabinolů</w:t>
      </w:r>
      <w:proofErr w:type="spellEnd"/>
      <w:r w:rsidR="001A19D7">
        <w:t xml:space="preserve"> (THC)</w:t>
      </w:r>
      <w:r>
        <w:t xml:space="preserve">, není třeba povolení k zacházení dle zákona </w:t>
      </w:r>
      <w:r w:rsidR="00D34394">
        <w:t>o návykových látkách</w:t>
      </w:r>
      <w:r>
        <w:t xml:space="preserve">. </w:t>
      </w:r>
    </w:p>
    <w:p w14:paraId="0E4F9BE1" w14:textId="5F5F72DA" w:rsidR="00F775F6" w:rsidRDefault="00F775F6" w:rsidP="004906AD">
      <w:r>
        <w:t xml:space="preserve">Pokud by se jednalo o </w:t>
      </w:r>
      <w:r w:rsidR="00D34394">
        <w:t xml:space="preserve">zacházení s </w:t>
      </w:r>
      <w:r>
        <w:t>látk</w:t>
      </w:r>
      <w:r w:rsidR="00D34394">
        <w:t>o</w:t>
      </w:r>
      <w:r>
        <w:t xml:space="preserve">u CBD s detekovatelným množstvím látky </w:t>
      </w:r>
      <w:proofErr w:type="spellStart"/>
      <w:r>
        <w:t>tetrahydrokanabinol</w:t>
      </w:r>
      <w:proofErr w:type="spellEnd"/>
      <w:r w:rsidR="00741D4C">
        <w:t xml:space="preserve"> (THC)</w:t>
      </w:r>
      <w:r>
        <w:t>, musel by subjekt disponovat povolením k zachá</w:t>
      </w:r>
      <w:r w:rsidR="00D34394">
        <w:t>zení s touto látkou dle</w:t>
      </w:r>
      <w:r w:rsidR="004906AD">
        <w:t> </w:t>
      </w:r>
      <w:r w:rsidR="00D34394">
        <w:t>zákona o návykových látkách</w:t>
      </w:r>
      <w:r>
        <w:t xml:space="preserve">, stejně tak </w:t>
      </w:r>
      <w:r w:rsidRPr="00EC6441">
        <w:t xml:space="preserve">v případě, že by se jednalo o </w:t>
      </w:r>
      <w:r w:rsidR="000C539F">
        <w:t xml:space="preserve">konopí, </w:t>
      </w:r>
      <w:r w:rsidR="00427679">
        <w:t>látku konopí extrakt a tinkturu</w:t>
      </w:r>
      <w:r w:rsidR="00D002C4">
        <w:t xml:space="preserve"> anebo konopí pryskyřice</w:t>
      </w:r>
      <w:r w:rsidR="000C539F">
        <w:t xml:space="preserve"> dle zákona o návykových látkách</w:t>
      </w:r>
      <w:r w:rsidRPr="00EC6441">
        <w:t>.</w:t>
      </w:r>
    </w:p>
    <w:p w14:paraId="1CAC7C86" w14:textId="66C64760" w:rsidR="00D002C4" w:rsidRDefault="00D002C4" w:rsidP="004906AD">
      <w:pPr>
        <w:rPr>
          <w:rStyle w:val="Zvraznn"/>
          <w:i w:val="0"/>
        </w:rPr>
      </w:pPr>
      <w:r w:rsidRPr="00D002C4">
        <w:t>Ke zpracování rostliny technického konopí za účelem výroby látky, která není návyková</w:t>
      </w:r>
      <w:r>
        <w:t xml:space="preserve"> (např. CBD) </w:t>
      </w:r>
      <w:r w:rsidRPr="00D002C4">
        <w:t>a </w:t>
      </w:r>
      <w:r w:rsidRPr="000C539F">
        <w:t>návykovou látkou je pouze meziprodukt</w:t>
      </w:r>
      <w:r>
        <w:t xml:space="preserve"> (např. </w:t>
      </w:r>
      <w:r w:rsidR="00C63996">
        <w:t>konopí extrakt</w:t>
      </w:r>
      <w:r>
        <w:t>)</w:t>
      </w:r>
      <w:r w:rsidRPr="000C539F">
        <w:t xml:space="preserve">, </w:t>
      </w:r>
      <w:r>
        <w:t xml:space="preserve">je třeba povolení </w:t>
      </w:r>
      <w:r w:rsidR="00D30565">
        <w:t>M</w:t>
      </w:r>
      <w:r>
        <w:t>inisterstva</w:t>
      </w:r>
      <w:r w:rsidRPr="00D002C4">
        <w:t xml:space="preserve"> zdravotnictví. Ministerstvo však </w:t>
      </w:r>
      <w:r w:rsidRPr="00D002C4">
        <w:rPr>
          <w:rStyle w:val="Zvraznn"/>
          <w:i w:val="0"/>
        </w:rPr>
        <w:t xml:space="preserve">takové povolení nevydá, jestliže </w:t>
      </w:r>
      <w:r>
        <w:rPr>
          <w:rStyle w:val="Zvraznn"/>
          <w:i w:val="0"/>
        </w:rPr>
        <w:t xml:space="preserve">by </w:t>
      </w:r>
      <w:r w:rsidRPr="00D002C4">
        <w:rPr>
          <w:rStyle w:val="Zvraznn"/>
          <w:i w:val="0"/>
        </w:rPr>
        <w:t>se jedn</w:t>
      </w:r>
      <w:r>
        <w:rPr>
          <w:rStyle w:val="Zvraznn"/>
          <w:i w:val="0"/>
        </w:rPr>
        <w:t>alo</w:t>
      </w:r>
      <w:r w:rsidRPr="00D002C4">
        <w:rPr>
          <w:rStyle w:val="Zvraznn"/>
          <w:i w:val="0"/>
        </w:rPr>
        <w:t xml:space="preserve"> o zpracování vrch</w:t>
      </w:r>
      <w:r w:rsidR="00B66619">
        <w:rPr>
          <w:rStyle w:val="Zvraznn"/>
          <w:i w:val="0"/>
        </w:rPr>
        <w:t>o</w:t>
      </w:r>
      <w:r w:rsidRPr="00D002C4">
        <w:rPr>
          <w:rStyle w:val="Zvraznn"/>
          <w:i w:val="0"/>
        </w:rPr>
        <w:t>líku (květu konopí)</w:t>
      </w:r>
      <w:r>
        <w:rPr>
          <w:rStyle w:val="Zvraznn"/>
          <w:i w:val="0"/>
        </w:rPr>
        <w:t>,</w:t>
      </w:r>
      <w:r w:rsidRPr="00D002C4">
        <w:rPr>
          <w:rStyle w:val="Zvraznn"/>
          <w:i w:val="0"/>
        </w:rPr>
        <w:t xml:space="preserve"> neboť by se jednalo o zpracování látky, kterou nelze použít k průmyslovým účelům (viz § 3 odst. 2 zákona o návykových látkách)</w:t>
      </w:r>
      <w:r>
        <w:rPr>
          <w:rStyle w:val="Zvraznn"/>
          <w:i w:val="0"/>
        </w:rPr>
        <w:t>.</w:t>
      </w:r>
    </w:p>
    <w:p w14:paraId="5CA61DEA" w14:textId="77777777" w:rsidR="00B008DC" w:rsidRDefault="00B008DC" w:rsidP="004906AD">
      <w:pPr>
        <w:rPr>
          <w:rStyle w:val="Zvraznn"/>
          <w:i w:val="0"/>
        </w:rPr>
      </w:pPr>
    </w:p>
    <w:p w14:paraId="66E6F4A4" w14:textId="77777777" w:rsidR="00662A4C" w:rsidRDefault="00662A4C" w:rsidP="004906AD">
      <w:pPr>
        <w:rPr>
          <w:rStyle w:val="Zvraznn"/>
          <w:i w:val="0"/>
        </w:rPr>
      </w:pPr>
    </w:p>
    <w:p w14:paraId="79AF6F66" w14:textId="77777777" w:rsidR="007635DB" w:rsidRPr="00D002C4" w:rsidRDefault="007635DB" w:rsidP="004906AD">
      <w:pPr>
        <w:rPr>
          <w:rStyle w:val="Zvraznn"/>
          <w:i w:val="0"/>
        </w:rPr>
      </w:pPr>
    </w:p>
    <w:p w14:paraId="030765DF" w14:textId="23140215" w:rsidR="00DE264B" w:rsidRDefault="00DE264B" w:rsidP="007635DB">
      <w:pPr>
        <w:pStyle w:val="Nadpis1"/>
        <w:numPr>
          <w:ilvl w:val="0"/>
          <w:numId w:val="1"/>
        </w:numPr>
        <w:spacing w:before="0" w:after="0"/>
      </w:pPr>
      <w:bookmarkStart w:id="16" w:name="_Toc63853314"/>
      <w:r>
        <w:lastRenderedPageBreak/>
        <w:t xml:space="preserve">Podrobné informace a požadavky na látku </w:t>
      </w:r>
      <w:proofErr w:type="spellStart"/>
      <w:r>
        <w:t>kanabidiol</w:t>
      </w:r>
      <w:proofErr w:type="spellEnd"/>
      <w:r>
        <w:t xml:space="preserve"> (CBD) </w:t>
      </w:r>
      <w:r w:rsidR="00551DDA">
        <w:t>u</w:t>
      </w:r>
      <w:r w:rsidR="004906AD">
        <w:t> </w:t>
      </w:r>
      <w:r w:rsidR="00551DDA">
        <w:t>veterinárních přípravků</w:t>
      </w:r>
      <w:bookmarkEnd w:id="16"/>
    </w:p>
    <w:p w14:paraId="6BAA2738" w14:textId="77777777" w:rsidR="007635DB" w:rsidRPr="007635DB" w:rsidRDefault="007635DB" w:rsidP="007635DB">
      <w:pPr>
        <w:spacing w:before="0"/>
      </w:pPr>
    </w:p>
    <w:p w14:paraId="54A5DDA4" w14:textId="7E74E710" w:rsidR="000E5D2B" w:rsidRPr="005024EC" w:rsidRDefault="000E5D2B" w:rsidP="004906AD">
      <w:pPr>
        <w:rPr>
          <w:b/>
        </w:rPr>
      </w:pPr>
      <w:r w:rsidRPr="005024EC">
        <w:rPr>
          <w:b/>
        </w:rPr>
        <w:t>Z výše uvedeného vyplývá, že veterinární přípravky nesmí obsahovat návykovou látku, v tomto případě „konopí</w:t>
      </w:r>
      <w:r w:rsidR="000C539F">
        <w:rPr>
          <w:b/>
        </w:rPr>
        <w:t xml:space="preserve">, </w:t>
      </w:r>
      <w:r w:rsidR="000C539F" w:rsidRPr="000B2E50">
        <w:rPr>
          <w:b/>
        </w:rPr>
        <w:t>konopí extrakt a tinktura anebo konopí pryskyřice</w:t>
      </w:r>
      <w:r w:rsidRPr="003A1A32">
        <w:rPr>
          <w:b/>
        </w:rPr>
        <w:t>“</w:t>
      </w:r>
      <w:r w:rsidRPr="005024EC">
        <w:rPr>
          <w:b/>
        </w:rPr>
        <w:t xml:space="preserve"> a látky ze skupiny </w:t>
      </w:r>
      <w:proofErr w:type="spellStart"/>
      <w:r w:rsidRPr="005024EC">
        <w:rPr>
          <w:b/>
        </w:rPr>
        <w:t>tetrahydrokanabinolů</w:t>
      </w:r>
      <w:proofErr w:type="spellEnd"/>
      <w:r w:rsidR="00741D4C">
        <w:rPr>
          <w:b/>
        </w:rPr>
        <w:t xml:space="preserve"> (THC)</w:t>
      </w:r>
      <w:r w:rsidRPr="005024EC">
        <w:rPr>
          <w:b/>
        </w:rPr>
        <w:t>.</w:t>
      </w:r>
    </w:p>
    <w:p w14:paraId="5E502B3E" w14:textId="5FAD2DED" w:rsidR="006440BE" w:rsidRDefault="002B055F" w:rsidP="004906AD">
      <w:r>
        <w:t>„</w:t>
      </w:r>
      <w:r w:rsidR="00595D2E">
        <w:t>R</w:t>
      </w:r>
      <w:r w:rsidR="00A6227F">
        <w:t>ostlinu</w:t>
      </w:r>
      <w:r w:rsidR="00595D2E">
        <w:t xml:space="preserve"> konopí</w:t>
      </w:r>
      <w:r>
        <w:t>“</w:t>
      </w:r>
      <w:r w:rsidR="005E0C4B">
        <w:t xml:space="preserve"> případně </w:t>
      </w:r>
      <w:r w:rsidR="006440BE">
        <w:t>část</w:t>
      </w:r>
      <w:r w:rsidR="005E0C4B">
        <w:t>i</w:t>
      </w:r>
      <w:r w:rsidR="006440BE">
        <w:t xml:space="preserve"> </w:t>
      </w:r>
      <w:r>
        <w:t>„</w:t>
      </w:r>
      <w:r w:rsidR="005B76BE">
        <w:t xml:space="preserve">konopné </w:t>
      </w:r>
      <w:r w:rsidR="006440BE">
        <w:t>rostliny</w:t>
      </w:r>
      <w:r>
        <w:t>“</w:t>
      </w:r>
      <w:r w:rsidR="005E0C4B">
        <w:t xml:space="preserve">, které nejsou v rozporu s definicí </w:t>
      </w:r>
      <w:r w:rsidR="00F56299">
        <w:t>„konopí“</w:t>
      </w:r>
      <w:r w:rsidR="00833DDB">
        <w:t xml:space="preserve"> dle</w:t>
      </w:r>
      <w:r w:rsidR="004906AD">
        <w:t> </w:t>
      </w:r>
      <w:r w:rsidR="00833DDB">
        <w:t>zákona o návykových látkách</w:t>
      </w:r>
      <w:r w:rsidR="006440BE">
        <w:t>, např. listy a semena, může veterinární přípravek obsahovat, i</w:t>
      </w:r>
      <w:r w:rsidR="004906AD">
        <w:t> </w:t>
      </w:r>
      <w:r w:rsidR="006440BE">
        <w:t>produkty získané z </w:t>
      </w:r>
      <w:r w:rsidR="006440BE" w:rsidRPr="00D12ADB">
        <w:t xml:space="preserve">nich, například olej získaný lisováním semen. Přičemž musí být dodržen </w:t>
      </w:r>
      <w:r w:rsidR="005E0C4B" w:rsidRPr="00D12ADB">
        <w:t>požadavek</w:t>
      </w:r>
      <w:r w:rsidR="006440BE" w:rsidRPr="00D12ADB">
        <w:t>, že veterinární přípravek</w:t>
      </w:r>
      <w:r w:rsidR="006440BE">
        <w:t xml:space="preserve"> ne</w:t>
      </w:r>
      <w:r w:rsidR="000C539F">
        <w:t xml:space="preserve">smí </w:t>
      </w:r>
      <w:r w:rsidR="006440BE">
        <w:t>obsah</w:t>
      </w:r>
      <w:r w:rsidR="000C539F">
        <w:t>ovat</w:t>
      </w:r>
      <w:r w:rsidR="006440BE">
        <w:t xml:space="preserve"> </w:t>
      </w:r>
      <w:r w:rsidR="005E0C4B">
        <w:t>látky ze skupiny</w:t>
      </w:r>
      <w:r w:rsidR="006440BE">
        <w:t xml:space="preserve"> </w:t>
      </w:r>
      <w:proofErr w:type="spellStart"/>
      <w:r w:rsidR="006440BE">
        <w:t>tetrahydrokanabinolů</w:t>
      </w:r>
      <w:proofErr w:type="spellEnd"/>
      <w:r w:rsidR="00741D4C">
        <w:t xml:space="preserve"> (THC)</w:t>
      </w:r>
      <w:r w:rsidR="00427679">
        <w:t>,</w:t>
      </w:r>
      <w:r w:rsidR="000C539F">
        <w:t xml:space="preserve"> ani </w:t>
      </w:r>
      <w:r w:rsidR="000D2DFE">
        <w:t xml:space="preserve">jejich </w:t>
      </w:r>
      <w:r w:rsidR="000C539F">
        <w:t xml:space="preserve">minimální </w:t>
      </w:r>
      <w:r w:rsidR="003A1A32">
        <w:t xml:space="preserve">detekovatelné </w:t>
      </w:r>
      <w:r w:rsidR="000C539F">
        <w:t>množství</w:t>
      </w:r>
      <w:r w:rsidR="006440BE">
        <w:t>.</w:t>
      </w:r>
    </w:p>
    <w:p w14:paraId="195E1392" w14:textId="77777777" w:rsidR="006440BE" w:rsidRDefault="006440BE" w:rsidP="004906AD"/>
    <w:p w14:paraId="64575E1C" w14:textId="11C7C733" w:rsidR="006440BE" w:rsidRDefault="006440BE" w:rsidP="004906AD">
      <w:proofErr w:type="spellStart"/>
      <w:r w:rsidRPr="00FC3396">
        <w:t>Kanabidiol</w:t>
      </w:r>
      <w:proofErr w:type="spellEnd"/>
      <w:r w:rsidRPr="00FC3396">
        <w:t xml:space="preserve"> (CBD)</w:t>
      </w:r>
      <w:r w:rsidR="00F56299" w:rsidRPr="00FC3396">
        <w:t>,</w:t>
      </w:r>
      <w:r w:rsidRPr="00FC3396">
        <w:t xml:space="preserve"> jako látka získávaná extrakc</w:t>
      </w:r>
      <w:r w:rsidR="00A139A2" w:rsidRPr="00FC3396">
        <w:t>í</w:t>
      </w:r>
      <w:r w:rsidRPr="00FC3396">
        <w:t xml:space="preserve"> rostliny</w:t>
      </w:r>
      <w:r w:rsidR="00595D2E">
        <w:t xml:space="preserve"> konopí</w:t>
      </w:r>
      <w:r w:rsidR="00A139A2" w:rsidRPr="00FC3396">
        <w:t xml:space="preserve"> </w:t>
      </w:r>
      <w:r w:rsidR="00F46170" w:rsidRPr="00FC3396">
        <w:t xml:space="preserve">(z částí rostliny jiných než „konopí“) </w:t>
      </w:r>
      <w:r w:rsidR="00A139A2" w:rsidRPr="00FC3396">
        <w:t>a</w:t>
      </w:r>
      <w:r w:rsidR="004906AD">
        <w:t> </w:t>
      </w:r>
      <w:r w:rsidR="00A139A2" w:rsidRPr="009B16BD">
        <w:t>následným přečištěním</w:t>
      </w:r>
      <w:r w:rsidR="00F56299" w:rsidRPr="009B16BD">
        <w:t>,</w:t>
      </w:r>
      <w:r w:rsidRPr="009B16BD">
        <w:t xml:space="preserve"> není považována za „konopí extrakt“</w:t>
      </w:r>
      <w:r w:rsidR="006746F9" w:rsidRPr="009B16BD">
        <w:t>,</w:t>
      </w:r>
      <w:r w:rsidRPr="009B16BD">
        <w:t xml:space="preserve"> </w:t>
      </w:r>
      <w:r w:rsidR="006746F9" w:rsidRPr="009B16BD">
        <w:t>viz definice zákona o návykových látkách</w:t>
      </w:r>
      <w:r w:rsidR="00833DDB" w:rsidRPr="009B16BD">
        <w:t>,</w:t>
      </w:r>
      <w:r w:rsidR="006746F9" w:rsidRPr="009B16BD">
        <w:t xml:space="preserve"> </w:t>
      </w:r>
      <w:r w:rsidRPr="009B16BD">
        <w:t xml:space="preserve">a je možno tuto látku do veterinárního přípravku přidávat za </w:t>
      </w:r>
      <w:r w:rsidRPr="00717C91">
        <w:t>následujících</w:t>
      </w:r>
      <w:r w:rsidRPr="009B16BD">
        <w:t xml:space="preserve"> podmínek:</w:t>
      </w:r>
    </w:p>
    <w:p w14:paraId="65CAED24" w14:textId="097F4A4B" w:rsidR="00F46170" w:rsidRPr="009C609D" w:rsidRDefault="00F46170" w:rsidP="004906AD">
      <w:pPr>
        <w:pStyle w:val="Odstavecseseznamem"/>
        <w:numPr>
          <w:ilvl w:val="0"/>
          <w:numId w:val="2"/>
        </w:numPr>
        <w:spacing w:after="120"/>
        <w:jc w:val="both"/>
      </w:pPr>
      <w:r>
        <w:t>K výrobě látky CBD je použit</w:t>
      </w:r>
      <w:r w:rsidR="00595D2E">
        <w:t>o technické konopí</w:t>
      </w:r>
      <w:r w:rsidR="00474DA1">
        <w:t xml:space="preserve"> mimo části označen</w:t>
      </w:r>
      <w:r w:rsidR="009C609D">
        <w:t>é</w:t>
      </w:r>
      <w:r w:rsidR="006746F9">
        <w:t xml:space="preserve"> jako „konopí“, </w:t>
      </w:r>
      <w:r>
        <w:t>dle</w:t>
      </w:r>
      <w:r w:rsidR="004906AD">
        <w:t> </w:t>
      </w:r>
      <w:r>
        <w:t>zákona o návykových látkách</w:t>
      </w:r>
      <w:r w:rsidR="003A1A32">
        <w:t>.</w:t>
      </w:r>
    </w:p>
    <w:p w14:paraId="36B82C18" w14:textId="74DEB2F1" w:rsidR="000D2DFE" w:rsidRDefault="000D2DFE" w:rsidP="004906AD">
      <w:pPr>
        <w:pStyle w:val="Odstavecseseznamem"/>
        <w:numPr>
          <w:ilvl w:val="0"/>
          <w:numId w:val="11"/>
        </w:numPr>
        <w:spacing w:after="120"/>
        <w:jc w:val="both"/>
      </w:pPr>
      <w:r>
        <w:t xml:space="preserve">V případě dovozu </w:t>
      </w:r>
      <w:r w:rsidR="00551DDA">
        <w:t xml:space="preserve">veterinárního </w:t>
      </w:r>
      <w:r>
        <w:t xml:space="preserve">přípravku s obsahem CBD nebo použití synteticky vyrobeného </w:t>
      </w:r>
      <w:proofErr w:type="spellStart"/>
      <w:r>
        <w:t>kanabidiolu</w:t>
      </w:r>
      <w:proofErr w:type="spellEnd"/>
      <w:r>
        <w:t xml:space="preserve"> platí všechny výše uvedené podmínky stanovené pro obsah látek </w:t>
      </w:r>
      <w:r w:rsidRPr="000D2DFE">
        <w:rPr>
          <w:color w:val="000000"/>
        </w:rPr>
        <w:t>ze</w:t>
      </w:r>
      <w:r w:rsidR="004906AD">
        <w:rPr>
          <w:color w:val="000000"/>
        </w:rPr>
        <w:t> </w:t>
      </w:r>
      <w:r w:rsidRPr="000D2DFE">
        <w:rPr>
          <w:color w:val="000000"/>
        </w:rPr>
        <w:t xml:space="preserve">skupiny </w:t>
      </w:r>
      <w:proofErr w:type="spellStart"/>
      <w:r w:rsidRPr="000D2DFE">
        <w:rPr>
          <w:color w:val="000000"/>
        </w:rPr>
        <w:t>tetrahydrokanabinolů</w:t>
      </w:r>
      <w:proofErr w:type="spellEnd"/>
      <w:r w:rsidRPr="000D2DFE">
        <w:rPr>
          <w:color w:val="000000"/>
        </w:rPr>
        <w:t xml:space="preserve">, tj. </w:t>
      </w:r>
      <w:r>
        <w:t>nesmí obsahovat látky z této skupiny</w:t>
      </w:r>
      <w:r w:rsidR="009B16BD">
        <w:t>,</w:t>
      </w:r>
      <w:r>
        <w:t xml:space="preserve"> ani jejich minimální </w:t>
      </w:r>
      <w:r w:rsidR="003A1A32">
        <w:t xml:space="preserve">detekovatelné </w:t>
      </w:r>
      <w:r>
        <w:t>množství.</w:t>
      </w:r>
    </w:p>
    <w:p w14:paraId="735DD722" w14:textId="77777777" w:rsidR="00662A4C" w:rsidRDefault="00662A4C" w:rsidP="007635DB"/>
    <w:p w14:paraId="49CF639F" w14:textId="342DA2F4" w:rsidR="002B03A6" w:rsidRDefault="002B03A6" w:rsidP="004906AD">
      <w:pPr>
        <w:pStyle w:val="Nadpis1"/>
        <w:numPr>
          <w:ilvl w:val="0"/>
          <w:numId w:val="1"/>
        </w:numPr>
        <w:spacing w:before="120"/>
      </w:pPr>
      <w:bookmarkStart w:id="17" w:name="_Toc63853315"/>
      <w:r>
        <w:t>Podrobné informace a požadavky na veterinární přípravky s obsahem CBD</w:t>
      </w:r>
      <w:bookmarkEnd w:id="17"/>
    </w:p>
    <w:p w14:paraId="574A52E6" w14:textId="30637E34" w:rsidR="00385DA8" w:rsidRDefault="00FA57F1" w:rsidP="004906AD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U veterinárních přípravků s CBD se právní regulace nijak výrazně neliší od ostatních veterinárních přípravků (VP). </w:t>
      </w:r>
      <w:r w:rsidR="00385DA8">
        <w:t xml:space="preserve">Zákon o návykových látkách ani jiná v současnosti platná legislativa přítomnost CBD ve </w:t>
      </w:r>
      <w:r>
        <w:t>veterinárních přípravcích</w:t>
      </w:r>
      <w:r w:rsidR="00385DA8">
        <w:t xml:space="preserve"> nezakazuje. </w:t>
      </w:r>
      <w:r w:rsidR="00114A35">
        <w:t>CBD není v České republice považováno za návykovou látku ve smyslu zákona o návykových látkách</w:t>
      </w:r>
      <w:r w:rsidR="001F4AD8">
        <w:t>,</w:t>
      </w:r>
      <w:r w:rsidR="00114A35">
        <w:t xml:space="preserve"> a</w:t>
      </w:r>
      <w:r w:rsidR="005D67A0">
        <w:t> </w:t>
      </w:r>
      <w:r w:rsidR="00114A35">
        <w:t>proto</w:t>
      </w:r>
      <w:r w:rsidR="005D67A0">
        <w:t> </w:t>
      </w:r>
      <w:r w:rsidR="00114A35">
        <w:t>z</w:t>
      </w:r>
      <w:r w:rsidR="00385DA8">
        <w:t xml:space="preserve">ákon o návykových látkách se na </w:t>
      </w:r>
      <w:r>
        <w:t xml:space="preserve">veterinární </w:t>
      </w:r>
      <w:r w:rsidR="00385DA8">
        <w:t>přípravky obsahující CBD nevztahuje</w:t>
      </w:r>
      <w:r w:rsidR="00114A35">
        <w:t>.</w:t>
      </w:r>
      <w:r w:rsidR="001F4AD8">
        <w:t xml:space="preserve"> </w:t>
      </w:r>
      <w:r w:rsidR="00385DA8">
        <w:t xml:space="preserve">Veterinární přípravek nesmí obsahovat látky ze skupiny </w:t>
      </w:r>
      <w:proofErr w:type="spellStart"/>
      <w:r w:rsidR="00385DA8">
        <w:t>tetrahydrokanabinolů</w:t>
      </w:r>
      <w:proofErr w:type="spellEnd"/>
      <w:r w:rsidR="0015174F">
        <w:t xml:space="preserve"> (THC)</w:t>
      </w:r>
      <w:r w:rsidR="00385DA8">
        <w:t xml:space="preserve"> a </w:t>
      </w:r>
      <w:r w:rsidR="0070159C">
        <w:t>vstupní surovinou</w:t>
      </w:r>
      <w:r w:rsidR="00385DA8">
        <w:t xml:space="preserve"> nesmí být „konopí“, tedy květ nebo rostlina s květem. </w:t>
      </w:r>
    </w:p>
    <w:p w14:paraId="6CB4549D" w14:textId="11C1095F" w:rsidR="00385DA8" w:rsidRDefault="00385DA8" w:rsidP="004906AD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Výroba a distribuce konopných </w:t>
      </w:r>
      <w:r w:rsidR="0070159C">
        <w:t>veterinárních přípravků</w:t>
      </w:r>
      <w:r>
        <w:t xml:space="preserve"> včetně kosmetických přípravků s obsahem látek ze skupiny </w:t>
      </w:r>
      <w:proofErr w:type="spellStart"/>
      <w:r>
        <w:t>tetrahydrokanabinolů</w:t>
      </w:r>
      <w:proofErr w:type="spellEnd"/>
      <w:r w:rsidR="00321502">
        <w:t xml:space="preserve"> (THC)</w:t>
      </w:r>
      <w:r>
        <w:t xml:space="preserve"> </w:t>
      </w:r>
      <w:r w:rsidR="00816095">
        <w:t>není</w:t>
      </w:r>
      <w:r>
        <w:t xml:space="preserve"> v České republice</w:t>
      </w:r>
      <w:r w:rsidR="00C90D94">
        <w:t xml:space="preserve"> </w:t>
      </w:r>
      <w:r w:rsidR="00816095">
        <w:t>právně přípustná.</w:t>
      </w:r>
    </w:p>
    <w:p w14:paraId="7D07BF01" w14:textId="53700255" w:rsidR="00FA57F1" w:rsidRPr="00FA57F1" w:rsidRDefault="00385DA8" w:rsidP="004906AD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</w:rPr>
      </w:pPr>
      <w:r>
        <w:t xml:space="preserve">V případě, že by veterinární přípravek obsahoval detekovatelné množství některé z látek skupiny </w:t>
      </w:r>
      <w:proofErr w:type="spellStart"/>
      <w:r>
        <w:t>tetrahydrokanabinolů</w:t>
      </w:r>
      <w:proofErr w:type="spellEnd"/>
      <w:r w:rsidR="00321502">
        <w:t xml:space="preserve"> (THC)</w:t>
      </w:r>
      <w:r>
        <w:t>, jednalo by se o příprav</w:t>
      </w:r>
      <w:r w:rsidR="00356DC3">
        <w:t xml:space="preserve">ek s obsahem psychotropní látky, který </w:t>
      </w:r>
      <w:r>
        <w:t>nesmí být uváděn na trh</w:t>
      </w:r>
      <w:r w:rsidR="00FA57F1">
        <w:t xml:space="preserve"> v České republice</w:t>
      </w:r>
      <w:r w:rsidR="00356DC3">
        <w:t xml:space="preserve"> v kategorii veterinární přípravek.</w:t>
      </w:r>
    </w:p>
    <w:p w14:paraId="3185DCCD" w14:textId="733A47F8" w:rsidR="00FA57F1" w:rsidRDefault="00356DC3" w:rsidP="004906AD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Z</w:t>
      </w:r>
      <w:r w:rsidR="00C90D94">
        <w:rPr>
          <w:rFonts w:cstheme="minorHAnsi"/>
        </w:rPr>
        <w:t xml:space="preserve"> výše</w:t>
      </w:r>
      <w:r w:rsidR="00385DA8" w:rsidRPr="00FA57F1">
        <w:rPr>
          <w:rFonts w:cstheme="minorHAnsi"/>
        </w:rPr>
        <w:t xml:space="preserve"> uvedeného vyplývá, že výstup – veterinární přípravek − nesmí obsahovat THC </w:t>
      </w:r>
      <w:r w:rsidR="00385DA8" w:rsidRPr="00FB4736">
        <w:rPr>
          <w:rFonts w:cstheme="minorHAnsi"/>
        </w:rPr>
        <w:t>a </w:t>
      </w:r>
      <w:r w:rsidR="0070159C">
        <w:rPr>
          <w:rFonts w:cstheme="minorHAnsi"/>
        </w:rPr>
        <w:t>vstupní surovinou</w:t>
      </w:r>
      <w:r w:rsidR="00385DA8" w:rsidRPr="00FB4736">
        <w:rPr>
          <w:rFonts w:cstheme="minorHAnsi"/>
        </w:rPr>
        <w:t xml:space="preserve"> pro výrobu nesmí být konopí, tedy květ nebo rostlina s květem. Oproti tomu </w:t>
      </w:r>
      <w:r w:rsidR="0070159C">
        <w:rPr>
          <w:rFonts w:cstheme="minorHAnsi"/>
        </w:rPr>
        <w:t>vstupní surovinou</w:t>
      </w:r>
      <w:r w:rsidR="0070159C" w:rsidRPr="00FB4736">
        <w:rPr>
          <w:rFonts w:cstheme="minorHAnsi"/>
        </w:rPr>
        <w:t xml:space="preserve"> </w:t>
      </w:r>
      <w:r w:rsidR="00385DA8" w:rsidRPr="00FB4736">
        <w:rPr>
          <w:rFonts w:cstheme="minorHAnsi"/>
        </w:rPr>
        <w:t xml:space="preserve">může být rostlina </w:t>
      </w:r>
      <w:r w:rsidR="00315472" w:rsidRPr="00B949E7">
        <w:rPr>
          <w:rFonts w:cstheme="minorHAnsi"/>
        </w:rPr>
        <w:t>technického konopí bez květu,</w:t>
      </w:r>
      <w:r w:rsidR="00385DA8" w:rsidRPr="00B949E7">
        <w:rPr>
          <w:rFonts w:cstheme="minorHAnsi"/>
        </w:rPr>
        <w:t xml:space="preserve"> jejíž použití je v souladu </w:t>
      </w:r>
      <w:r w:rsidR="00315472" w:rsidRPr="00B949E7">
        <w:rPr>
          <w:rFonts w:cstheme="minorHAnsi"/>
        </w:rPr>
        <w:t>se zákonem o návykových látkách.</w:t>
      </w:r>
    </w:p>
    <w:p w14:paraId="6B00A036" w14:textId="2FCED8F5" w:rsidR="00315472" w:rsidRDefault="00315472" w:rsidP="004906AD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FA57F1">
        <w:rPr>
          <w:rFonts w:cstheme="minorHAnsi"/>
        </w:rPr>
        <w:lastRenderedPageBreak/>
        <w:t>Nutnou podmínkou je, že veterinární přípravek, k jehož výrobě bylo použito technické konopí, nesmí obsahovat</w:t>
      </w:r>
      <w:r w:rsidRPr="00FB4736">
        <w:rPr>
          <w:rFonts w:cstheme="minorHAnsi"/>
        </w:rPr>
        <w:t>,</w:t>
      </w:r>
      <w:r w:rsidRPr="00B949E7">
        <w:rPr>
          <w:rFonts w:cstheme="minorHAnsi"/>
        </w:rPr>
        <w:t xml:space="preserve"> byť i minimální</w:t>
      </w:r>
      <w:r w:rsidR="001F4AD8">
        <w:rPr>
          <w:rFonts w:cstheme="minorHAnsi"/>
        </w:rPr>
        <w:t xml:space="preserve"> detekovatelné</w:t>
      </w:r>
      <w:r w:rsidRPr="00B949E7">
        <w:rPr>
          <w:rFonts w:cstheme="minorHAnsi"/>
        </w:rPr>
        <w:t xml:space="preserve"> množství THC</w:t>
      </w:r>
      <w:bookmarkStart w:id="18" w:name="b3"/>
      <w:bookmarkEnd w:id="18"/>
      <w:r w:rsidR="00AF0A52">
        <w:rPr>
          <w:rFonts w:cstheme="minorHAnsi"/>
        </w:rPr>
        <w:t xml:space="preserve">, </w:t>
      </w:r>
      <w:r w:rsidRPr="00B949E7">
        <w:rPr>
          <w:rFonts w:cstheme="minorHAnsi"/>
        </w:rPr>
        <w:t>což</w:t>
      </w:r>
      <w:r w:rsidR="005D67A0">
        <w:rPr>
          <w:rFonts w:cstheme="minorHAnsi"/>
        </w:rPr>
        <w:t> </w:t>
      </w:r>
      <w:r w:rsidRPr="00B949E7">
        <w:rPr>
          <w:rFonts w:cstheme="minorHAnsi"/>
        </w:rPr>
        <w:t xml:space="preserve">garantuje výrobce. Obecná hranice </w:t>
      </w:r>
      <w:r w:rsidR="009B16BD">
        <w:rPr>
          <w:rFonts w:cstheme="minorHAnsi"/>
        </w:rPr>
        <w:t xml:space="preserve">pro technické konopí, tj. </w:t>
      </w:r>
      <w:r w:rsidRPr="00B949E7">
        <w:rPr>
          <w:rFonts w:cstheme="minorHAnsi"/>
        </w:rPr>
        <w:t>0,3 % obsahu THC</w:t>
      </w:r>
      <w:r w:rsidR="009B16BD">
        <w:rPr>
          <w:rFonts w:cstheme="minorHAnsi"/>
        </w:rPr>
        <w:t>,</w:t>
      </w:r>
      <w:r w:rsidRPr="00B949E7">
        <w:rPr>
          <w:rFonts w:cstheme="minorHAnsi"/>
        </w:rPr>
        <w:t xml:space="preserve"> se zde tedy neuplatní</w:t>
      </w:r>
      <w:r w:rsidR="0070159C">
        <w:rPr>
          <w:rFonts w:cstheme="minorHAnsi"/>
        </w:rPr>
        <w:t xml:space="preserve">. </w:t>
      </w:r>
      <w:r w:rsidR="0070159C" w:rsidRPr="00663792">
        <w:rPr>
          <w:rFonts w:cstheme="minorHAnsi"/>
        </w:rPr>
        <w:t>THC je ve veterinárních přípravcích</w:t>
      </w:r>
      <w:r w:rsidR="0070159C" w:rsidRPr="00894CED">
        <w:rPr>
          <w:rFonts w:cstheme="minorHAnsi"/>
        </w:rPr>
        <w:t xml:space="preserve"> </w:t>
      </w:r>
      <w:r w:rsidR="0070159C">
        <w:rPr>
          <w:rFonts w:cstheme="minorHAnsi"/>
        </w:rPr>
        <w:t>nepřípustné</w:t>
      </w:r>
      <w:r w:rsidR="0070159C" w:rsidRPr="00894CED">
        <w:rPr>
          <w:rFonts w:cstheme="minorHAnsi"/>
        </w:rPr>
        <w:t xml:space="preserve"> a je považováno za kontami</w:t>
      </w:r>
      <w:r w:rsidR="0070159C" w:rsidRPr="00CF0134">
        <w:rPr>
          <w:rFonts w:cstheme="minorHAnsi"/>
        </w:rPr>
        <w:t>nant.</w:t>
      </w:r>
      <w:r w:rsidR="0070159C">
        <w:rPr>
          <w:rFonts w:cstheme="minorHAnsi"/>
        </w:rPr>
        <w:t xml:space="preserve"> P</w:t>
      </w:r>
      <w:r w:rsidRPr="00B949E7">
        <w:rPr>
          <w:rFonts w:cstheme="minorHAnsi"/>
        </w:rPr>
        <w:t xml:space="preserve">okud přípravek obsahuje </w:t>
      </w:r>
      <w:r w:rsidR="00F46D7A">
        <w:rPr>
          <w:rFonts w:cstheme="minorHAnsi"/>
        </w:rPr>
        <w:t>detekovatelné</w:t>
      </w:r>
      <w:r w:rsidR="00F46D7A" w:rsidRPr="00B949E7">
        <w:rPr>
          <w:rFonts w:cstheme="minorHAnsi"/>
        </w:rPr>
        <w:t xml:space="preserve"> </w:t>
      </w:r>
      <w:r w:rsidRPr="00B949E7">
        <w:rPr>
          <w:rFonts w:cstheme="minorHAnsi"/>
        </w:rPr>
        <w:t xml:space="preserve">množství THC, </w:t>
      </w:r>
      <w:r w:rsidR="0070159C">
        <w:rPr>
          <w:rFonts w:cstheme="minorHAnsi"/>
        </w:rPr>
        <w:t xml:space="preserve">není jeho schválení </w:t>
      </w:r>
      <w:r w:rsidR="007B2214">
        <w:rPr>
          <w:rFonts w:cstheme="minorHAnsi"/>
        </w:rPr>
        <w:t xml:space="preserve">v kategorii </w:t>
      </w:r>
      <w:r w:rsidR="0070159C">
        <w:rPr>
          <w:rFonts w:cstheme="minorHAnsi"/>
        </w:rPr>
        <w:t>veterinární přípravek</w:t>
      </w:r>
      <w:r w:rsidR="007B2214">
        <w:rPr>
          <w:rFonts w:cstheme="minorHAnsi"/>
        </w:rPr>
        <w:t xml:space="preserve"> možné. </w:t>
      </w:r>
    </w:p>
    <w:p w14:paraId="0A2235D7" w14:textId="070F709A" w:rsidR="0070159C" w:rsidRDefault="00C90D94" w:rsidP="004906AD">
      <w:pPr>
        <w:pStyle w:val="Odstavecseseznamem"/>
        <w:numPr>
          <w:ilvl w:val="0"/>
          <w:numId w:val="2"/>
        </w:numPr>
        <w:spacing w:after="120"/>
        <w:jc w:val="both"/>
      </w:pPr>
      <w:r>
        <w:t>A proto v</w:t>
      </w:r>
      <w:r w:rsidR="007B2214">
        <w:t> souvislosti s předchozím bodem, s</w:t>
      </w:r>
      <w:r w:rsidR="0070159C">
        <w:t xml:space="preserve">polu s žádostí o schválení veterinárního přípravku s CBD musí být doloženo, že VP neobsahuje látky ze skupiny </w:t>
      </w:r>
      <w:proofErr w:type="spellStart"/>
      <w:r w:rsidR="0070159C">
        <w:t>tetrahydrokanabinolů</w:t>
      </w:r>
      <w:proofErr w:type="spellEnd"/>
      <w:r w:rsidR="0070159C">
        <w:t xml:space="preserve">. Obsah těchto látek musí být </w:t>
      </w:r>
      <w:r w:rsidR="0070159C" w:rsidRPr="00717C91">
        <w:t>pod</w:t>
      </w:r>
      <w:r w:rsidR="0070159C">
        <w:t xml:space="preserve"> mezí detekce analytické metody</w:t>
      </w:r>
      <w:r w:rsidR="007635DB">
        <w:rPr>
          <w:rStyle w:val="Znakapoznpodarou"/>
        </w:rPr>
        <w:footnoteReference w:id="2"/>
      </w:r>
      <w:r w:rsidR="005A6518">
        <w:t xml:space="preserve">, což žadatel doloží </w:t>
      </w:r>
      <w:r w:rsidR="00F9050E">
        <w:t>prostřednictvím analytického</w:t>
      </w:r>
      <w:r w:rsidR="005A6518">
        <w:t xml:space="preserve"> certifikát</w:t>
      </w:r>
      <w:r w:rsidR="00F9050E">
        <w:t>u.</w:t>
      </w:r>
    </w:p>
    <w:p w14:paraId="2CB4F587" w14:textId="11A8E344" w:rsidR="00315472" w:rsidRDefault="00315472" w:rsidP="004906AD">
      <w:pPr>
        <w:pStyle w:val="Odstavecseseznamem"/>
        <w:spacing w:after="120"/>
        <w:jc w:val="both"/>
      </w:pPr>
      <w:r>
        <w:t xml:space="preserve">Chceme upozornit, že limit pro obsah látek </w:t>
      </w:r>
      <w:r w:rsidRPr="00315472">
        <w:rPr>
          <w:color w:val="000000"/>
        </w:rPr>
        <w:t xml:space="preserve">ze skupiny </w:t>
      </w:r>
      <w:proofErr w:type="spellStart"/>
      <w:r w:rsidRPr="00315472">
        <w:rPr>
          <w:color w:val="000000"/>
        </w:rPr>
        <w:t>tetrahydrokanabinolů</w:t>
      </w:r>
      <w:proofErr w:type="spellEnd"/>
      <w:r>
        <w:t xml:space="preserve"> v přípravcích může být v různých zemích </w:t>
      </w:r>
      <w:r w:rsidRPr="00717C91">
        <w:t>nastaven</w:t>
      </w:r>
      <w:r>
        <w:t xml:space="preserve"> vnitrostátní legislativou odlišným způsobem. V případě, že by zahraniční přípravek obsahoval stanovitelné množství látek </w:t>
      </w:r>
      <w:r w:rsidRPr="00315472">
        <w:rPr>
          <w:color w:val="000000"/>
        </w:rPr>
        <w:t xml:space="preserve">ze skupiny </w:t>
      </w:r>
      <w:proofErr w:type="spellStart"/>
      <w:r w:rsidRPr="00315472">
        <w:rPr>
          <w:color w:val="000000"/>
        </w:rPr>
        <w:t>tetrahydrokanabinolů</w:t>
      </w:r>
      <w:proofErr w:type="spellEnd"/>
      <w:r>
        <w:t>, nebude takový přípravek jako veterinární přípravek</w:t>
      </w:r>
      <w:r w:rsidR="005B48B6" w:rsidRPr="005B48B6">
        <w:t xml:space="preserve"> </w:t>
      </w:r>
      <w:r w:rsidR="005B48B6">
        <w:t>schválen</w:t>
      </w:r>
      <w:r>
        <w:t>.</w:t>
      </w:r>
    </w:p>
    <w:p w14:paraId="328DB813" w14:textId="5E872E93" w:rsidR="00125CB5" w:rsidRPr="00717C91" w:rsidRDefault="00125CB5" w:rsidP="00717C91">
      <w:pPr>
        <w:pStyle w:val="Odstavecseseznamem"/>
        <w:numPr>
          <w:ilvl w:val="0"/>
          <w:numId w:val="15"/>
        </w:numPr>
        <w:jc w:val="both"/>
      </w:pPr>
      <w:r w:rsidRPr="00717C91">
        <w:t xml:space="preserve">Jako vstupní </w:t>
      </w:r>
      <w:r w:rsidR="00D5782F" w:rsidRPr="00717C91">
        <w:t xml:space="preserve">surovina </w:t>
      </w:r>
      <w:r w:rsidRPr="00717C91">
        <w:t xml:space="preserve">pro získání látky CBD </w:t>
      </w:r>
      <w:r w:rsidR="00205B48" w:rsidRPr="00717C91">
        <w:t>musí</w:t>
      </w:r>
      <w:r w:rsidRPr="00717C91">
        <w:t xml:space="preserve"> být použit</w:t>
      </w:r>
      <w:r w:rsidR="00265FFC" w:rsidRPr="00717C91">
        <w:t>o technické konopí</w:t>
      </w:r>
      <w:r w:rsidRPr="00717C91">
        <w:rPr>
          <w:i/>
        </w:rPr>
        <w:t xml:space="preserve"> </w:t>
      </w:r>
      <w:r w:rsidRPr="00717C91">
        <w:t>mimo části r</w:t>
      </w:r>
      <w:r w:rsidR="00205B48" w:rsidRPr="00717C91">
        <w:t>ostliny označené jako „konopí“</w:t>
      </w:r>
      <w:r w:rsidR="005B48B6" w:rsidRPr="00717C91">
        <w:t>.</w:t>
      </w:r>
      <w:r w:rsidR="00356DC3" w:rsidRPr="00717C91">
        <w:t xml:space="preserve"> Z tohoto důvodu, žadatel o schválení veterinárního přípravku předkládá v rámci žádosti čestné prohlášení, že vstupní suroviny a přípravek jsou vyráběny v souladu s právními předpisy týkající se obl</w:t>
      </w:r>
      <w:r w:rsidR="00DA6060" w:rsidRPr="00717C91">
        <w:t>asti návykových látek a za jeho pravdivost nese plnou odpovědnost.</w:t>
      </w:r>
    </w:p>
    <w:p w14:paraId="0C1D495F" w14:textId="40D2B7E0" w:rsidR="00125CB5" w:rsidRPr="00717C91" w:rsidRDefault="00125CB5" w:rsidP="004906AD">
      <w:pPr>
        <w:pStyle w:val="Odstavecseseznamem"/>
        <w:numPr>
          <w:ilvl w:val="0"/>
          <w:numId w:val="15"/>
        </w:numPr>
        <w:jc w:val="both"/>
      </w:pPr>
      <w:r w:rsidRPr="00717C91">
        <w:t xml:space="preserve">Synteticky vyráběný </w:t>
      </w:r>
      <w:proofErr w:type="spellStart"/>
      <w:r w:rsidRPr="00717C91">
        <w:t>kanabidiol</w:t>
      </w:r>
      <w:proofErr w:type="spellEnd"/>
      <w:r w:rsidRPr="00717C91">
        <w:t xml:space="preserve"> (CBD) lze při výrobě přípravků použít za podmínek daných současně platnou legislativou bez speciální</w:t>
      </w:r>
      <w:r w:rsidR="005B48B6" w:rsidRPr="00717C91">
        <w:t>ch</w:t>
      </w:r>
      <w:r w:rsidRPr="00717C91">
        <w:t xml:space="preserve"> požadavků vztahujících se pouze na CBD získávané z rostliny </w:t>
      </w:r>
      <w:proofErr w:type="spellStart"/>
      <w:r w:rsidRPr="00717C91">
        <w:rPr>
          <w:rFonts w:eastAsia="Times New Roman" w:cs="Times New Roman"/>
          <w:i/>
          <w:szCs w:val="20"/>
          <w:lang w:eastAsia="cs-CZ"/>
        </w:rPr>
        <w:t>Cannabis</w:t>
      </w:r>
      <w:proofErr w:type="spellEnd"/>
      <w:r w:rsidRPr="00717C91">
        <w:t>.</w:t>
      </w:r>
    </w:p>
    <w:p w14:paraId="4DFD83EF" w14:textId="6EE4F3A0" w:rsidR="00125CB5" w:rsidRDefault="00125CB5" w:rsidP="004906AD">
      <w:pPr>
        <w:pStyle w:val="Odstavecseseznamem"/>
        <w:numPr>
          <w:ilvl w:val="0"/>
          <w:numId w:val="15"/>
        </w:numPr>
        <w:jc w:val="both"/>
      </w:pPr>
      <w:r>
        <w:t xml:space="preserve">Na </w:t>
      </w:r>
      <w:r w:rsidR="001C339E" w:rsidRPr="001C339E">
        <w:t>veterinární přípravky obsahující CBD se neuplatňují žádné „zpřísňující“ požadavky zákona o návykových látkách. Žadatel o schválení veterinárního přípravku (VP) uvede v textech přípravku, tj. v textech na obalech a v př</w:t>
      </w:r>
      <w:r w:rsidR="001C339E" w:rsidRPr="00717C91">
        <w:t>í</w:t>
      </w:r>
      <w:r w:rsidR="001C339E" w:rsidRPr="001C339E">
        <w:t>balové informaci, mimo jiné požadované údaje, kvalitativní složení VP včetně kvantitativního složení pro složky, které jsou podstatné pro</w:t>
      </w:r>
      <w:r w:rsidR="005D67A0">
        <w:t> </w:t>
      </w:r>
      <w:r w:rsidR="001C339E" w:rsidRPr="001C339E">
        <w:t>deklarovaný účinek tak, aby nemohlo dojít ke klamání spotřebitele použitím textů, názvů a vyobrazení, které by přisuzovaly VP vlastnosti a funkce, jež nemají. V rozporu by bylo např.</w:t>
      </w:r>
      <w:r w:rsidR="005D67A0">
        <w:t> </w:t>
      </w:r>
      <w:r w:rsidR="001C339E" w:rsidRPr="001C339E">
        <w:t>použití takových znaků či textů, které by u spotřebitele mohly vyvolat zdání, že</w:t>
      </w:r>
      <w:r w:rsidR="005D67A0">
        <w:t> </w:t>
      </w:r>
      <w:r w:rsidR="001C339E" w:rsidRPr="001C339E">
        <w:t>veterinární přípravek obsahuje THC.</w:t>
      </w:r>
    </w:p>
    <w:p w14:paraId="5F7F3ED2" w14:textId="67D59743" w:rsidR="0095089A" w:rsidRDefault="0095089A" w:rsidP="004906AD">
      <w:pPr>
        <w:pStyle w:val="Odstavecseseznamem"/>
        <w:numPr>
          <w:ilvl w:val="0"/>
          <w:numId w:val="2"/>
        </w:numPr>
        <w:spacing w:after="120"/>
        <w:jc w:val="both"/>
      </w:pPr>
      <w:r>
        <w:t>U veterinárních přípravků pro perorální podání musí být formou přípravku (případně obalem nebo aplikátorem) umožněno bezpečné a přesné odměření dávky.</w:t>
      </w:r>
    </w:p>
    <w:p w14:paraId="2F99F3A1" w14:textId="77777777" w:rsidR="0095089A" w:rsidRDefault="0095089A" w:rsidP="004906AD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U perorálních veterinárních přípravků je na základě dostupných dat povolen cílový druh zvířat: pes. Přípravky pro perorální podání obsahující CBD nejsou určeny pro březí a laktující feny a štěňata. </w:t>
      </w:r>
    </w:p>
    <w:p w14:paraId="40242C33" w14:textId="77777777" w:rsidR="0095089A" w:rsidRDefault="0095089A" w:rsidP="004906AD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Na základě dostupných studií je z hlediska bezpečnosti ÚSKVBL stanovena pro veterinární přípravky určené psům maximální doporučená perorální dávka CBD 1 mg/kg živé hmotnosti/den. </w:t>
      </w:r>
    </w:p>
    <w:p w14:paraId="46C069A8" w14:textId="77777777" w:rsidR="0095089A" w:rsidRDefault="0095089A" w:rsidP="004906AD">
      <w:pPr>
        <w:pStyle w:val="Odstavecseseznamem"/>
        <w:numPr>
          <w:ilvl w:val="0"/>
          <w:numId w:val="2"/>
        </w:numPr>
        <w:spacing w:after="120"/>
        <w:jc w:val="both"/>
      </w:pPr>
      <w:r>
        <w:lastRenderedPageBreak/>
        <w:t>Z důvodu chybějících dat není povoleno dlouhodobé perorální podávání přípravku s obsahem CBD, maximální nepřerušená doba podávání je 1 měsíc.</w:t>
      </w:r>
    </w:p>
    <w:p w14:paraId="5EA236A9" w14:textId="4E2A104C" w:rsidR="0095089A" w:rsidRDefault="0095089A" w:rsidP="004906AD">
      <w:pPr>
        <w:pStyle w:val="Odstavecseseznamem"/>
        <w:numPr>
          <w:ilvl w:val="0"/>
          <w:numId w:val="2"/>
        </w:numPr>
        <w:spacing w:after="120"/>
        <w:jc w:val="both"/>
      </w:pPr>
      <w:r w:rsidRPr="00C90D94">
        <w:rPr>
          <w:color w:val="000000"/>
        </w:rPr>
        <w:t xml:space="preserve">Obdobně jako </w:t>
      </w:r>
      <w:r>
        <w:t>v případě veterinárního přípravku pro perorální podání platí i u veterinárního přípravku s obsahem CBD požadavek uvedení maximální doporučené dávky a délky podávání pro daný cílový druh zvířete v textech na obalech a v příbalové informaci.</w:t>
      </w:r>
    </w:p>
    <w:p w14:paraId="58F2ADC1" w14:textId="47896753" w:rsidR="007B2214" w:rsidRDefault="007B2214" w:rsidP="004906AD">
      <w:pPr>
        <w:pStyle w:val="Odstavecseseznamem"/>
        <w:numPr>
          <w:ilvl w:val="0"/>
          <w:numId w:val="2"/>
        </w:numPr>
        <w:spacing w:after="120"/>
        <w:jc w:val="both"/>
      </w:pPr>
      <w:r>
        <w:t>Další požadavky na VP s obsahem CBD jsou stejné jako pro ostatní druhy veterinárních přípravků</w:t>
      </w:r>
      <w:r w:rsidR="000D6E20">
        <w:t>. M</w:t>
      </w:r>
      <w:r>
        <w:t xml:space="preserve">imo jiné </w:t>
      </w:r>
      <w:r w:rsidR="000D6E20">
        <w:t xml:space="preserve">tedy i </w:t>
      </w:r>
      <w:r>
        <w:t xml:space="preserve">doložit bezpečnost přípravku a dosažení navrženého účinku přípravkem, viz zákon o veterinární péči </w:t>
      </w:r>
      <w:r>
        <w:rPr>
          <w:rFonts w:cstheme="minorHAnsi"/>
        </w:rPr>
        <w:t>§</w:t>
      </w:r>
      <w:r>
        <w:t>65a.</w:t>
      </w:r>
    </w:p>
    <w:p w14:paraId="0E67A395" w14:textId="77777777" w:rsidR="00F22E7E" w:rsidRDefault="00F22E7E" w:rsidP="004906AD">
      <w:pPr>
        <w:pStyle w:val="Odstavecseseznamem"/>
        <w:spacing w:after="120"/>
        <w:jc w:val="both"/>
      </w:pPr>
    </w:p>
    <w:p w14:paraId="3B52B42A" w14:textId="77777777" w:rsidR="008E506B" w:rsidRDefault="008E506B" w:rsidP="008E506B">
      <w:pPr>
        <w:ind w:left="360"/>
      </w:pPr>
      <w:r>
        <w:t>V souladu s výše uvedenými požadavky jsou žadatelé povinni uvést na etiketě a příbalové informaci, následující informace:</w:t>
      </w:r>
    </w:p>
    <w:p w14:paraId="6ED67E9B" w14:textId="77777777" w:rsidR="008E506B" w:rsidRDefault="008E506B" w:rsidP="008E506B">
      <w:pPr>
        <w:pStyle w:val="Odstavecseseznamem"/>
        <w:numPr>
          <w:ilvl w:val="0"/>
          <w:numId w:val="11"/>
        </w:numPr>
      </w:pPr>
      <w:r>
        <w:t xml:space="preserve">Musí být jasně vyjádřen obsah čistého CBD (na ml, lahvičku, tabletu apod.), v textu by mělo být uvedeno množství CBD v dávce (kapka, ml, </w:t>
      </w:r>
      <w:proofErr w:type="spellStart"/>
      <w:r>
        <w:t>strip</w:t>
      </w:r>
      <w:proofErr w:type="spellEnd"/>
      <w:r>
        <w:t>, apod.)</w:t>
      </w:r>
    </w:p>
    <w:p w14:paraId="35C3E7DC" w14:textId="705F555F" w:rsidR="008E506B" w:rsidRDefault="008E506B" w:rsidP="008E506B">
      <w:pPr>
        <w:pStyle w:val="Odstavecseseznamem"/>
        <w:numPr>
          <w:ilvl w:val="0"/>
          <w:numId w:val="11"/>
        </w:numPr>
      </w:pPr>
      <w:r>
        <w:t xml:space="preserve"> Informace: „Přípravek je určen pouze pro dospělé jedince, není určen pro štěňata, březí n</w:t>
      </w:r>
      <w:r w:rsidR="00DA6060">
        <w:t>ebo laktující feny.“</w:t>
      </w:r>
      <w:r w:rsidR="00D12ADB">
        <w:t xml:space="preserve"> </w:t>
      </w:r>
      <w:proofErr w:type="gramStart"/>
      <w:r w:rsidR="007635DB">
        <w:t xml:space="preserve">Informace: </w:t>
      </w:r>
      <w:r w:rsidR="00DA6060">
        <w:t>,,</w:t>
      </w:r>
      <w:r>
        <w:t>V případě</w:t>
      </w:r>
      <w:proofErr w:type="gramEnd"/>
      <w:r>
        <w:t>, že Váš pes užívá léčivý přípravek, doporučujeme před podáním přípravku konzultaci s veterinárním lékařem. Přípravek není náhradou veterinární péče a léčiv doporučených veterinárním lékařem.“</w:t>
      </w:r>
    </w:p>
    <w:p w14:paraId="2CA9B3FF" w14:textId="77777777" w:rsidR="008E506B" w:rsidRDefault="008E506B" w:rsidP="004906AD">
      <w:pPr>
        <w:pStyle w:val="Odstavecseseznamem"/>
        <w:spacing w:after="120"/>
        <w:jc w:val="both"/>
      </w:pPr>
    </w:p>
    <w:p w14:paraId="49C7D7AC" w14:textId="77777777" w:rsidR="00B008DC" w:rsidRDefault="0077352D" w:rsidP="00564351">
      <w:r>
        <w:t xml:space="preserve">ÚSKVBL je ze zákona pověřen dozorem </w:t>
      </w:r>
      <w:r w:rsidR="002D035C">
        <w:t xml:space="preserve">nad uváděním do oběhu a odebíráním vzorků veterinárních přípravků k laboratornímu vyšetření, </w:t>
      </w:r>
      <w:r>
        <w:t>schválené veterinární přípravky jsou</w:t>
      </w:r>
      <w:r w:rsidRPr="00726466">
        <w:t xml:space="preserve"> zahrn</w:t>
      </w:r>
      <w:r>
        <w:t>ovány</w:t>
      </w:r>
      <w:r w:rsidRPr="00726466">
        <w:t xml:space="preserve"> do ročních plánů dozoru nad trhem k zajištění kontinuální kontroly těchto </w:t>
      </w:r>
      <w:r>
        <w:t>veterinárních přípravků.</w:t>
      </w:r>
    </w:p>
    <w:p w14:paraId="0248D7A5" w14:textId="77777777" w:rsidR="00662A4C" w:rsidRDefault="00662A4C" w:rsidP="007635DB"/>
    <w:p w14:paraId="02B2A424" w14:textId="6C105396" w:rsidR="006653D3" w:rsidRDefault="00641438" w:rsidP="004906AD">
      <w:pPr>
        <w:pStyle w:val="Nadpis1"/>
        <w:numPr>
          <w:ilvl w:val="0"/>
          <w:numId w:val="1"/>
        </w:numPr>
        <w:spacing w:before="120"/>
      </w:pPr>
      <w:bookmarkStart w:id="19" w:name="_Toc48129895"/>
      <w:bookmarkStart w:id="20" w:name="_Toc48129975"/>
      <w:bookmarkStart w:id="21" w:name="_Toc48129896"/>
      <w:bookmarkStart w:id="22" w:name="_Toc48129976"/>
      <w:bookmarkStart w:id="23" w:name="_Toc48129897"/>
      <w:bookmarkStart w:id="24" w:name="_Toc48129977"/>
      <w:bookmarkStart w:id="25" w:name="_Toc48129898"/>
      <w:bookmarkStart w:id="26" w:name="_Toc48129978"/>
      <w:bookmarkStart w:id="27" w:name="_Toc48129899"/>
      <w:bookmarkStart w:id="28" w:name="_Toc48129979"/>
      <w:bookmarkStart w:id="29" w:name="_Toc48129900"/>
      <w:bookmarkStart w:id="30" w:name="_Toc48129980"/>
      <w:bookmarkStart w:id="31" w:name="_Toc48129901"/>
      <w:bookmarkStart w:id="32" w:name="_Toc48129981"/>
      <w:bookmarkStart w:id="33" w:name="_Toc48129902"/>
      <w:bookmarkStart w:id="34" w:name="_Toc48129982"/>
      <w:bookmarkStart w:id="35" w:name="_Toc48129903"/>
      <w:bookmarkStart w:id="36" w:name="_Toc48129983"/>
      <w:bookmarkStart w:id="37" w:name="_Toc48129904"/>
      <w:bookmarkStart w:id="38" w:name="_Toc48129984"/>
      <w:bookmarkStart w:id="39" w:name="_Toc48129905"/>
      <w:bookmarkStart w:id="40" w:name="_Toc48129985"/>
      <w:bookmarkStart w:id="41" w:name="_Toc48129906"/>
      <w:bookmarkStart w:id="42" w:name="_Toc48129986"/>
      <w:bookmarkStart w:id="43" w:name="_Toc48129907"/>
      <w:bookmarkStart w:id="44" w:name="_Toc48129987"/>
      <w:bookmarkStart w:id="45" w:name="_Toc48129908"/>
      <w:bookmarkStart w:id="46" w:name="_Toc48129988"/>
      <w:bookmarkStart w:id="47" w:name="_Toc42794104"/>
      <w:bookmarkStart w:id="48" w:name="_Toc42794343"/>
      <w:bookmarkStart w:id="49" w:name="_Toc63853316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t>Z</w:t>
      </w:r>
      <w:r w:rsidR="006653D3">
        <w:t>hodnocení bezpečnosti látky CBD a přípravků s obsahem této látky pro</w:t>
      </w:r>
      <w:r w:rsidR="005D67A0">
        <w:t> </w:t>
      </w:r>
      <w:r w:rsidR="006653D3">
        <w:t>perorální podání u zvířat</w:t>
      </w:r>
      <w:bookmarkEnd w:id="47"/>
      <w:bookmarkEnd w:id="48"/>
      <w:bookmarkEnd w:id="49"/>
    </w:p>
    <w:p w14:paraId="7B626EDD" w14:textId="09E3AD98" w:rsidR="006653D3" w:rsidRDefault="006653D3" w:rsidP="004906AD">
      <w:pPr>
        <w:rPr>
          <w:rFonts w:cstheme="minorHAnsi"/>
        </w:rPr>
      </w:pPr>
      <w:proofErr w:type="spellStart"/>
      <w:r>
        <w:rPr>
          <w:rFonts w:cstheme="minorHAnsi"/>
        </w:rPr>
        <w:t>Kanabidiol</w:t>
      </w:r>
      <w:proofErr w:type="spellEnd"/>
      <w:r>
        <w:rPr>
          <w:rFonts w:cstheme="minorHAnsi"/>
        </w:rPr>
        <w:t xml:space="preserve"> je malá molekula, </w:t>
      </w:r>
      <w:r w:rsidRPr="00056965">
        <w:rPr>
          <w:rFonts w:cstheme="minorHAnsi"/>
          <w:szCs w:val="22"/>
        </w:rPr>
        <w:t>silně lipofilní, což zvyšuje potenciál dlouhodobého přetrvání ve tkáni a</w:t>
      </w:r>
      <w:r w:rsidR="005D67A0">
        <w:rPr>
          <w:rFonts w:cstheme="minorHAnsi"/>
          <w:szCs w:val="22"/>
        </w:rPr>
        <w:t> </w:t>
      </w:r>
      <w:r w:rsidRPr="00056965">
        <w:rPr>
          <w:rFonts w:cstheme="minorHAnsi"/>
          <w:szCs w:val="22"/>
        </w:rPr>
        <w:t>jeho toxicitu z důvodu rychlé distribuce ve tkáních</w:t>
      </w:r>
      <w:r>
        <w:rPr>
          <w:rFonts w:cstheme="minorHAnsi"/>
        </w:rPr>
        <w:t xml:space="preserve">. </w:t>
      </w:r>
      <w:r w:rsidRPr="00EC33CB">
        <w:rPr>
          <w:rFonts w:cstheme="minorHAnsi"/>
          <w:szCs w:val="22"/>
        </w:rPr>
        <w:t xml:space="preserve">CBD podléhá </w:t>
      </w:r>
      <w:r>
        <w:rPr>
          <w:rFonts w:cstheme="minorHAnsi"/>
        </w:rPr>
        <w:t xml:space="preserve">po perorálním podání </w:t>
      </w:r>
      <w:proofErr w:type="spellStart"/>
      <w:r w:rsidRPr="00EC33CB">
        <w:rPr>
          <w:rFonts w:cstheme="minorHAnsi"/>
          <w:szCs w:val="22"/>
        </w:rPr>
        <w:t>enterohepatální</w:t>
      </w:r>
      <w:proofErr w:type="spellEnd"/>
      <w:r w:rsidRPr="00EC33CB">
        <w:rPr>
          <w:rFonts w:cstheme="minorHAnsi"/>
          <w:szCs w:val="22"/>
        </w:rPr>
        <w:t xml:space="preserve"> recirkulaci. Informace o tkáňové distribuci nejsou pro CBD dostupné, </w:t>
      </w:r>
      <w:r>
        <w:rPr>
          <w:rFonts w:cstheme="minorHAnsi"/>
        </w:rPr>
        <w:t>p</w:t>
      </w:r>
      <w:r w:rsidRPr="00EC33CB">
        <w:rPr>
          <w:rFonts w:cstheme="minorHAnsi"/>
          <w:szCs w:val="22"/>
        </w:rPr>
        <w:t xml:space="preserve">ředpokládá se </w:t>
      </w:r>
      <w:r>
        <w:rPr>
          <w:rFonts w:cstheme="minorHAnsi"/>
        </w:rPr>
        <w:t xml:space="preserve">jeho </w:t>
      </w:r>
      <w:r w:rsidRPr="00EC33CB">
        <w:rPr>
          <w:rFonts w:cstheme="minorHAnsi"/>
          <w:szCs w:val="22"/>
        </w:rPr>
        <w:t>distribuce do tuků, jater, plic, slez</w:t>
      </w:r>
      <w:r>
        <w:rPr>
          <w:rFonts w:cstheme="minorHAnsi"/>
        </w:rPr>
        <w:t>iny, svalů a tkáně mozku</w:t>
      </w:r>
      <w:r w:rsidRPr="00902C5E">
        <w:rPr>
          <w:rFonts w:cstheme="minorHAnsi"/>
        </w:rPr>
        <w:t xml:space="preserve"> </w:t>
      </w:r>
      <w:r w:rsidRPr="00056965">
        <w:rPr>
          <w:rFonts w:cstheme="minorHAnsi"/>
          <w:szCs w:val="22"/>
        </w:rPr>
        <w:t>přes hematoencefalickou bariéru.</w:t>
      </w:r>
    </w:p>
    <w:p w14:paraId="0A440F05" w14:textId="60009EAA" w:rsidR="006653D3" w:rsidRDefault="006653D3" w:rsidP="004906AD">
      <w:pPr>
        <w:rPr>
          <w:rFonts w:cstheme="minorHAnsi"/>
        </w:rPr>
      </w:pPr>
      <w:r>
        <w:rPr>
          <w:rFonts w:cstheme="minorHAnsi"/>
        </w:rPr>
        <w:t xml:space="preserve">V provedených studiích, kdy byl </w:t>
      </w:r>
      <w:proofErr w:type="spellStart"/>
      <w:r>
        <w:rPr>
          <w:rFonts w:cstheme="minorHAnsi"/>
        </w:rPr>
        <w:t>kanabidiol</w:t>
      </w:r>
      <w:proofErr w:type="spellEnd"/>
      <w:r>
        <w:rPr>
          <w:rFonts w:cstheme="minorHAnsi"/>
        </w:rPr>
        <w:t xml:space="preserve"> podáván v rozmezí dávek 10-20 mg/ kg živé hmotnosti rozděleně 2x denně po dobu 6 týdnů různým způsobem podání (</w:t>
      </w:r>
      <w:proofErr w:type="spellStart"/>
      <w:r>
        <w:rPr>
          <w:rFonts w:cstheme="minorHAnsi"/>
        </w:rPr>
        <w:t>transdermálně</w:t>
      </w:r>
      <w:proofErr w:type="spellEnd"/>
      <w:r>
        <w:rPr>
          <w:rFonts w:cstheme="minorHAnsi"/>
        </w:rPr>
        <w:t xml:space="preserve">, perorálně a infúzí), byly zaznamenány u psů nežádoucí účinky po podání: </w:t>
      </w:r>
      <w:r w:rsidRPr="00EC33CB">
        <w:rPr>
          <w:rFonts w:cstheme="minorHAnsi"/>
          <w:szCs w:val="22"/>
        </w:rPr>
        <w:t xml:space="preserve">průjem, </w:t>
      </w:r>
      <w:r>
        <w:rPr>
          <w:rFonts w:cstheme="minorHAnsi"/>
        </w:rPr>
        <w:t xml:space="preserve">zvracení, </w:t>
      </w:r>
      <w:r w:rsidRPr="00EC33CB">
        <w:rPr>
          <w:rFonts w:cstheme="minorHAnsi"/>
          <w:szCs w:val="22"/>
        </w:rPr>
        <w:t>sedace, zvýšení alkalické f</w:t>
      </w:r>
      <w:r>
        <w:rPr>
          <w:rFonts w:cstheme="minorHAnsi"/>
        </w:rPr>
        <w:t>osfatázy (ATP) v krevním séru (odráží možný toxický</w:t>
      </w:r>
      <w:r w:rsidRPr="00EC33CB">
        <w:rPr>
          <w:rFonts w:cstheme="minorHAnsi"/>
        </w:rPr>
        <w:t xml:space="preserve"> </w:t>
      </w:r>
      <w:r>
        <w:rPr>
          <w:rFonts w:cstheme="minorHAnsi"/>
        </w:rPr>
        <w:t>vliv</w:t>
      </w:r>
      <w:r w:rsidRPr="00EC33CB">
        <w:rPr>
          <w:rFonts w:cstheme="minorHAnsi"/>
        </w:rPr>
        <w:t xml:space="preserve"> na játra</w:t>
      </w:r>
      <w:r>
        <w:rPr>
          <w:rFonts w:cstheme="minorHAnsi"/>
        </w:rPr>
        <w:t xml:space="preserve"> </w:t>
      </w:r>
      <w:r w:rsidRPr="00EC33CB">
        <w:rPr>
          <w:rFonts w:cstheme="minorHAnsi"/>
        </w:rPr>
        <w:t xml:space="preserve">a funkci </w:t>
      </w:r>
      <w:r>
        <w:rPr>
          <w:rFonts w:cstheme="minorHAnsi"/>
        </w:rPr>
        <w:t xml:space="preserve">gastrointestinálního traktu </w:t>
      </w:r>
      <w:r w:rsidRPr="00EC33CB">
        <w:rPr>
          <w:rFonts w:cstheme="minorHAnsi"/>
        </w:rPr>
        <w:t>psů</w:t>
      </w:r>
      <w:r>
        <w:rPr>
          <w:rFonts w:cstheme="minorHAnsi"/>
        </w:rPr>
        <w:t>), erytém po</w:t>
      </w:r>
      <w:r w:rsidRPr="00EC33CB">
        <w:rPr>
          <w:rFonts w:cstheme="minorHAnsi"/>
        </w:rPr>
        <w:t xml:space="preserve"> </w:t>
      </w:r>
      <w:proofErr w:type="spellStart"/>
      <w:r w:rsidRPr="00EC33CB">
        <w:rPr>
          <w:rFonts w:cstheme="minorHAnsi"/>
        </w:rPr>
        <w:t>tran</w:t>
      </w:r>
      <w:r>
        <w:rPr>
          <w:rFonts w:cstheme="minorHAnsi"/>
        </w:rPr>
        <w:t>s</w:t>
      </w:r>
      <w:r w:rsidRPr="00EC33CB">
        <w:rPr>
          <w:rFonts w:cstheme="minorHAnsi"/>
        </w:rPr>
        <w:t>d</w:t>
      </w:r>
      <w:r>
        <w:rPr>
          <w:rFonts w:cstheme="minorHAnsi"/>
        </w:rPr>
        <w:t>ermálním</w:t>
      </w:r>
      <w:proofErr w:type="spellEnd"/>
      <w:r>
        <w:rPr>
          <w:rFonts w:cstheme="minorHAnsi"/>
        </w:rPr>
        <w:t xml:space="preserve"> podání, výtok z nosu,</w:t>
      </w:r>
      <w:r w:rsidRPr="00EC33CB">
        <w:rPr>
          <w:rFonts w:cstheme="minorHAnsi"/>
        </w:rPr>
        <w:t xml:space="preserve"> slinění</w:t>
      </w:r>
      <w:r>
        <w:rPr>
          <w:rFonts w:cstheme="minorHAnsi"/>
        </w:rPr>
        <w:t>,</w:t>
      </w:r>
      <w:r w:rsidRPr="00EC33CB">
        <w:rPr>
          <w:rFonts w:cstheme="minorHAnsi"/>
        </w:rPr>
        <w:t xml:space="preserve"> přechodné zvýšení teploty</w:t>
      </w:r>
      <w:r>
        <w:rPr>
          <w:rFonts w:cstheme="minorHAnsi"/>
        </w:rPr>
        <w:t>,</w:t>
      </w:r>
      <w:r w:rsidRPr="00EC33CB">
        <w:rPr>
          <w:rFonts w:cstheme="minorHAnsi"/>
        </w:rPr>
        <w:t xml:space="preserve"> </w:t>
      </w:r>
      <w:proofErr w:type="spellStart"/>
      <w:r w:rsidRPr="00EC33CB">
        <w:rPr>
          <w:rFonts w:cstheme="minorHAnsi"/>
        </w:rPr>
        <w:t>laminitida</w:t>
      </w:r>
      <w:proofErr w:type="spellEnd"/>
      <w:r w:rsidRPr="00EC33CB">
        <w:rPr>
          <w:rFonts w:cstheme="minorHAnsi"/>
        </w:rPr>
        <w:t xml:space="preserve">. </w:t>
      </w:r>
      <w:r w:rsidRPr="0093169B">
        <w:rPr>
          <w:rFonts w:cstheme="minorHAnsi"/>
        </w:rPr>
        <w:t xml:space="preserve">U poloviny sledovaných psů byla zaznamenána přechodná </w:t>
      </w:r>
      <w:proofErr w:type="spellStart"/>
      <w:r w:rsidRPr="0093169B">
        <w:rPr>
          <w:rFonts w:cstheme="minorHAnsi"/>
        </w:rPr>
        <w:t>isostenurie</w:t>
      </w:r>
      <w:proofErr w:type="spellEnd"/>
      <w:r w:rsidRPr="0093169B">
        <w:rPr>
          <w:rFonts w:cstheme="minorHAnsi"/>
        </w:rPr>
        <w:t xml:space="preserve">, </w:t>
      </w:r>
      <w:proofErr w:type="spellStart"/>
      <w:r w:rsidRPr="0093169B">
        <w:rPr>
          <w:rFonts w:cstheme="minorHAnsi"/>
        </w:rPr>
        <w:t>hypostenurie</w:t>
      </w:r>
      <w:proofErr w:type="spellEnd"/>
      <w:r w:rsidRPr="0093169B">
        <w:rPr>
          <w:rFonts w:cstheme="minorHAnsi"/>
        </w:rPr>
        <w:t>, proteinurie.</w:t>
      </w:r>
    </w:p>
    <w:p w14:paraId="7000FA85" w14:textId="14D89ECD" w:rsidR="006653D3" w:rsidRDefault="00FB4736" w:rsidP="004906AD">
      <w:pPr>
        <w:rPr>
          <w:rFonts w:cstheme="minorHAnsi"/>
        </w:rPr>
      </w:pPr>
      <w:r>
        <w:rPr>
          <w:rFonts w:cstheme="minorHAnsi"/>
          <w:szCs w:val="22"/>
        </w:rPr>
        <w:t>Při simultánním</w:t>
      </w:r>
      <w:r w:rsidRPr="00E454D8">
        <w:rPr>
          <w:rFonts w:cstheme="minorHAnsi"/>
          <w:szCs w:val="22"/>
        </w:rPr>
        <w:t xml:space="preserve"> podán</w:t>
      </w:r>
      <w:r>
        <w:rPr>
          <w:rFonts w:cstheme="minorHAnsi"/>
          <w:szCs w:val="22"/>
        </w:rPr>
        <w:t>í</w:t>
      </w:r>
      <w:r w:rsidRPr="00056965">
        <w:rPr>
          <w:rFonts w:cstheme="minorHAnsi"/>
          <w:szCs w:val="22"/>
        </w:rPr>
        <w:t xml:space="preserve"> s jinými látkami, </w:t>
      </w:r>
      <w:r w:rsidR="006653D3" w:rsidRPr="00E454D8">
        <w:rPr>
          <w:rFonts w:cstheme="minorHAnsi"/>
          <w:szCs w:val="22"/>
        </w:rPr>
        <w:t xml:space="preserve">CBD může vyvolat významné a potenciálně nebezpečné látkové interakce, </w:t>
      </w:r>
      <w:r w:rsidR="006653D3" w:rsidRPr="00056965">
        <w:rPr>
          <w:rFonts w:cstheme="minorHAnsi"/>
          <w:szCs w:val="22"/>
        </w:rPr>
        <w:t>protože inhibuje cytochrom P 450 enzymy, zejména CYP450 2C19, nebo vede k zpomal</w:t>
      </w:r>
      <w:r w:rsidR="006653D3">
        <w:rPr>
          <w:rFonts w:cstheme="minorHAnsi"/>
        </w:rPr>
        <w:t>ení metabolizmu některých léčiv.</w:t>
      </w:r>
    </w:p>
    <w:p w14:paraId="7097B9FF" w14:textId="1725A265" w:rsidR="006653D3" w:rsidRDefault="006653D3" w:rsidP="004906AD">
      <w:pPr>
        <w:rPr>
          <w:rFonts w:cstheme="minorHAnsi"/>
        </w:rPr>
      </w:pPr>
      <w:r w:rsidRPr="00056965">
        <w:rPr>
          <w:rFonts w:cstheme="minorHAnsi"/>
          <w:szCs w:val="22"/>
        </w:rPr>
        <w:t>Ačkoliv CBD má atraktivní terapeutický profil – antiemeti</w:t>
      </w:r>
      <w:r w:rsidR="00D12ADB">
        <w:rPr>
          <w:rFonts w:cstheme="minorHAnsi"/>
          <w:szCs w:val="22"/>
        </w:rPr>
        <w:t>c</w:t>
      </w:r>
      <w:r w:rsidRPr="00056965">
        <w:rPr>
          <w:rFonts w:cstheme="minorHAnsi"/>
          <w:szCs w:val="22"/>
        </w:rPr>
        <w:t>ký, protizánětlivý a imunosupresivní, dlouhodobé používání CBD může mít škodlivý imunitní a kognitivní vliv</w:t>
      </w:r>
      <w:r>
        <w:rPr>
          <w:rFonts w:cstheme="minorHAnsi"/>
        </w:rPr>
        <w:t>, především pro imunitně oslabená</w:t>
      </w:r>
      <w:r w:rsidRPr="00056965">
        <w:rPr>
          <w:rFonts w:cstheme="minorHAnsi"/>
          <w:szCs w:val="22"/>
        </w:rPr>
        <w:t xml:space="preserve"> zvířata. </w:t>
      </w:r>
      <w:r>
        <w:rPr>
          <w:rFonts w:cstheme="minorHAnsi"/>
        </w:rPr>
        <w:t xml:space="preserve"> N</w:t>
      </w:r>
      <w:r w:rsidRPr="00056965">
        <w:rPr>
          <w:rFonts w:cstheme="minorHAnsi"/>
          <w:szCs w:val="22"/>
        </w:rPr>
        <w:t>a druhou stranu nízké koncentrace mohou stimulovat imunitní systém.</w:t>
      </w:r>
    </w:p>
    <w:p w14:paraId="07C76B3E" w14:textId="1D27AD79" w:rsidR="006653D3" w:rsidRDefault="00B949E7" w:rsidP="004906AD">
      <w:pPr>
        <w:pStyle w:val="Odstavecseseznamem"/>
        <w:spacing w:after="12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Řada údajů o používání CBD ve veterinární sféře je v současné době odvozená z publikovaných studií u lidí. </w:t>
      </w:r>
      <w:r w:rsidR="006653D3">
        <w:rPr>
          <w:rFonts w:cstheme="minorHAnsi"/>
        </w:rPr>
        <w:t xml:space="preserve">Pro </w:t>
      </w:r>
      <w:r>
        <w:rPr>
          <w:rFonts w:cstheme="minorHAnsi"/>
        </w:rPr>
        <w:t xml:space="preserve">možné </w:t>
      </w:r>
      <w:r w:rsidR="006653D3">
        <w:rPr>
          <w:rFonts w:cstheme="minorHAnsi"/>
        </w:rPr>
        <w:t>širší používání CBD</w:t>
      </w:r>
      <w:r w:rsidR="004906AD">
        <w:rPr>
          <w:rFonts w:cstheme="minorHAnsi"/>
        </w:rPr>
        <w:t xml:space="preserve"> </w:t>
      </w:r>
      <w:r>
        <w:rPr>
          <w:rFonts w:cstheme="minorHAnsi"/>
        </w:rPr>
        <w:t>u zvířat</w:t>
      </w:r>
      <w:r w:rsidR="006653D3">
        <w:rPr>
          <w:rFonts w:cstheme="minorHAnsi"/>
        </w:rPr>
        <w:t xml:space="preserve"> j</w:t>
      </w:r>
      <w:r w:rsidR="006653D3" w:rsidRPr="00EC33CB">
        <w:rPr>
          <w:rFonts w:cstheme="minorHAnsi"/>
        </w:rPr>
        <w:t>e</w:t>
      </w:r>
      <w:r>
        <w:rPr>
          <w:rFonts w:cstheme="minorHAnsi"/>
        </w:rPr>
        <w:t xml:space="preserve"> proto</w:t>
      </w:r>
      <w:r w:rsidR="006653D3" w:rsidRPr="00EC33CB">
        <w:rPr>
          <w:rFonts w:cstheme="minorHAnsi"/>
        </w:rPr>
        <w:t xml:space="preserve"> třeba </w:t>
      </w:r>
      <w:r w:rsidR="006653D3">
        <w:rPr>
          <w:rFonts w:cstheme="minorHAnsi"/>
        </w:rPr>
        <w:t xml:space="preserve">více validních podkladů, které by doložily bezpečnost veterinárních přípravků </w:t>
      </w:r>
      <w:r>
        <w:rPr>
          <w:rFonts w:cstheme="minorHAnsi"/>
        </w:rPr>
        <w:t xml:space="preserve">s CBD </w:t>
      </w:r>
      <w:r w:rsidR="006653D3">
        <w:rPr>
          <w:rFonts w:cstheme="minorHAnsi"/>
        </w:rPr>
        <w:t xml:space="preserve">pro zvířata. </w:t>
      </w:r>
    </w:p>
    <w:p w14:paraId="0869E9E4" w14:textId="77777777" w:rsidR="006653D3" w:rsidRPr="00EC33CB" w:rsidRDefault="006653D3" w:rsidP="004906AD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33CB">
        <w:rPr>
          <w:rFonts w:asciiTheme="minorHAnsi" w:hAnsiTheme="minorHAnsi" w:cstheme="minorHAnsi"/>
          <w:sz w:val="22"/>
          <w:szCs w:val="22"/>
        </w:rPr>
        <w:t>Lit</w:t>
      </w:r>
      <w:r>
        <w:rPr>
          <w:rFonts w:asciiTheme="minorHAnsi" w:hAnsiTheme="minorHAnsi" w:cstheme="minorHAnsi"/>
          <w:sz w:val="22"/>
          <w:szCs w:val="22"/>
        </w:rPr>
        <w:t>eratura</w:t>
      </w:r>
      <w:r w:rsidRPr="00EC33CB">
        <w:rPr>
          <w:rFonts w:asciiTheme="minorHAnsi" w:hAnsiTheme="minorHAnsi" w:cstheme="minorHAnsi"/>
          <w:sz w:val="22"/>
          <w:szCs w:val="22"/>
        </w:rPr>
        <w:t>:</w:t>
      </w:r>
    </w:p>
    <w:p w14:paraId="623E846D" w14:textId="27C54F4C" w:rsidR="006653D3" w:rsidRPr="005D67A0" w:rsidRDefault="006653D3" w:rsidP="004906AD">
      <w:pPr>
        <w:pStyle w:val="Normlnweb"/>
        <w:numPr>
          <w:ilvl w:val="0"/>
          <w:numId w:val="3"/>
        </w:numPr>
        <w:spacing w:before="120" w:beforeAutospacing="0" w:after="120" w:afterAutospacing="0"/>
        <w:ind w:left="709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proofErr w:type="spellStart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>Ahna</w:t>
      </w:r>
      <w:proofErr w:type="spellEnd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>Brutlag</w:t>
      </w:r>
      <w:proofErr w:type="spellEnd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Holly </w:t>
      </w:r>
      <w:proofErr w:type="spellStart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>Hommerding</w:t>
      </w:r>
      <w:proofErr w:type="spellEnd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>, Toxicity of marihuana, synthetic cannabinoids, and</w:t>
      </w:r>
      <w:r w:rsidR="005D67A0" w:rsidRPr="005D67A0">
        <w:rPr>
          <w:rFonts w:asciiTheme="minorHAnsi" w:hAnsiTheme="minorHAnsi" w:cstheme="minorHAnsi"/>
          <w:i/>
          <w:sz w:val="22"/>
          <w:szCs w:val="22"/>
          <w:lang w:val="en-GB"/>
        </w:rPr>
        <w:t> </w:t>
      </w:r>
      <w:proofErr w:type="spellStart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>cannabidiol</w:t>
      </w:r>
      <w:proofErr w:type="spellEnd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in dogs and cats. </w:t>
      </w:r>
      <w:proofErr w:type="spellStart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>VetClinSmallAnim</w:t>
      </w:r>
      <w:proofErr w:type="spellEnd"/>
      <w:r w:rsidRPr="005D67A0">
        <w:rPr>
          <w:rFonts w:asciiTheme="minorHAnsi" w:hAnsiTheme="minorHAnsi" w:cstheme="minorHAnsi"/>
          <w:i/>
          <w:sz w:val="22"/>
          <w:szCs w:val="22"/>
          <w:lang w:val="en-GB"/>
        </w:rPr>
        <w:t xml:space="preserve"> 48 (2008), 1087-1102</w:t>
      </w:r>
    </w:p>
    <w:p w14:paraId="136B3712" w14:textId="5DF9AE55" w:rsidR="006653D3" w:rsidRPr="005D67A0" w:rsidRDefault="006653D3" w:rsidP="004906A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cstheme="minorHAnsi"/>
          <w:i/>
          <w:lang w:val="en-GB"/>
        </w:rPr>
      </w:pPr>
      <w:r w:rsidRPr="005D67A0">
        <w:rPr>
          <w:rFonts w:cstheme="minorHAnsi"/>
          <w:i/>
          <w:lang w:val="en-GB"/>
        </w:rPr>
        <w:t>High Time for cannabis research, Researchers Aim to Determine Efficacy and Safety of</w:t>
      </w:r>
      <w:r w:rsidR="005D67A0" w:rsidRPr="005D67A0">
        <w:rPr>
          <w:rFonts w:cstheme="minorHAnsi"/>
          <w:i/>
          <w:lang w:val="en-GB"/>
        </w:rPr>
        <w:t> </w:t>
      </w:r>
      <w:r w:rsidRPr="005D67A0">
        <w:rPr>
          <w:rFonts w:cstheme="minorHAnsi"/>
          <w:i/>
          <w:lang w:val="en-GB"/>
        </w:rPr>
        <w:t xml:space="preserve">Cannabis in Dogs by Sarah Rumple. </w:t>
      </w:r>
      <w:hyperlink r:id="rId20" w:history="1">
        <w:r w:rsidRPr="005D67A0">
          <w:rPr>
            <w:rStyle w:val="Hypertextovodkaz"/>
            <w:rFonts w:cstheme="minorHAnsi"/>
            <w:i/>
            <w:lang w:val="en-GB"/>
          </w:rPr>
          <w:t>https://www.aaha.org/publications/trends-magazine/cannabis-research/</w:t>
        </w:r>
      </w:hyperlink>
    </w:p>
    <w:p w14:paraId="132C6F7B" w14:textId="77777777" w:rsidR="006653D3" w:rsidRPr="005D67A0" w:rsidRDefault="006653D3" w:rsidP="004906A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lang w:val="en-GB"/>
        </w:rPr>
      </w:pPr>
      <w:r w:rsidRPr="005D67A0">
        <w:rPr>
          <w:rFonts w:cstheme="minorHAnsi"/>
          <w:i/>
          <w:lang w:val="en-GB"/>
        </w:rPr>
        <w:t xml:space="preserve">Joshua A. </w:t>
      </w:r>
      <w:proofErr w:type="spellStart"/>
      <w:r w:rsidRPr="005D67A0">
        <w:rPr>
          <w:rFonts w:cstheme="minorHAnsi"/>
          <w:i/>
          <w:lang w:val="en-GB"/>
        </w:rPr>
        <w:t>Hartsel</w:t>
      </w:r>
      <w:proofErr w:type="spellEnd"/>
      <w:r w:rsidRPr="005D67A0">
        <w:rPr>
          <w:rFonts w:cstheme="minorHAnsi"/>
          <w:i/>
          <w:lang w:val="en-GB"/>
        </w:rPr>
        <w:t xml:space="preserve">, Kyle Boyar, Andrew Pham, Robert J. Silver, and Alexandros </w:t>
      </w:r>
      <w:proofErr w:type="spellStart"/>
      <w:r w:rsidRPr="005D67A0">
        <w:rPr>
          <w:rFonts w:cstheme="minorHAnsi"/>
          <w:i/>
          <w:lang w:val="en-GB"/>
        </w:rPr>
        <w:t>Makriyannis</w:t>
      </w:r>
      <w:proofErr w:type="spellEnd"/>
      <w:r w:rsidRPr="005D67A0">
        <w:rPr>
          <w:rFonts w:cstheme="minorHAnsi"/>
          <w:i/>
          <w:lang w:val="en-GB"/>
        </w:rPr>
        <w:t>. Cannabis in Veterinary Medicine: Cannabinoid Therapies for Animals</w:t>
      </w:r>
    </w:p>
    <w:p w14:paraId="2ABD6F2B" w14:textId="180EBA14" w:rsidR="006653D3" w:rsidRPr="005D67A0" w:rsidRDefault="007A4899" w:rsidP="004906AD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lang w:val="en-GB"/>
        </w:rPr>
      </w:pPr>
      <w:hyperlink r:id="rId21" w:history="1">
        <w:r w:rsidR="005D67A0" w:rsidRPr="005D67A0">
          <w:rPr>
            <w:rStyle w:val="Hypertextovodkaz"/>
            <w:rFonts w:cstheme="minorHAnsi"/>
            <w:i/>
            <w:lang w:val="en-GB"/>
          </w:rPr>
          <w:t>https://www.researchgate.net/publication/333306722_Cannabis_in_Veterinary_Medicine_Cannabinoid_Therapies_for_Animals/link/5d0178b0299bf13a385104fb/download</w:t>
        </w:r>
      </w:hyperlink>
    </w:p>
    <w:p w14:paraId="405E81EA" w14:textId="33A15934" w:rsidR="006653D3" w:rsidRPr="005D67A0" w:rsidRDefault="006653D3" w:rsidP="004906A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cstheme="minorHAnsi"/>
          <w:i/>
          <w:lang w:val="en-GB"/>
        </w:rPr>
      </w:pPr>
      <w:r w:rsidRPr="005D67A0">
        <w:rPr>
          <w:rFonts w:cstheme="minorHAnsi"/>
          <w:i/>
          <w:lang w:val="en-GB"/>
        </w:rPr>
        <w:t xml:space="preserve">Stephanie McGrath, Lisa </w:t>
      </w:r>
      <w:proofErr w:type="spellStart"/>
      <w:r w:rsidRPr="005D67A0">
        <w:rPr>
          <w:rFonts w:cstheme="minorHAnsi"/>
          <w:i/>
          <w:lang w:val="en-GB"/>
        </w:rPr>
        <w:t>R.Bartner</w:t>
      </w:r>
      <w:proofErr w:type="spellEnd"/>
      <w:r w:rsidRPr="005D67A0">
        <w:rPr>
          <w:rFonts w:cstheme="minorHAnsi"/>
          <w:i/>
          <w:lang w:val="en-GB"/>
        </w:rPr>
        <w:t xml:space="preserve">, Sangeeta Rao, Lori </w:t>
      </w:r>
      <w:proofErr w:type="spellStart"/>
      <w:r w:rsidRPr="005D67A0">
        <w:rPr>
          <w:rFonts w:cstheme="minorHAnsi"/>
          <w:i/>
          <w:lang w:val="en-GB"/>
        </w:rPr>
        <w:t>R.Kogan</w:t>
      </w:r>
      <w:proofErr w:type="spellEnd"/>
      <w:r w:rsidRPr="005D67A0">
        <w:rPr>
          <w:rFonts w:cstheme="minorHAnsi"/>
          <w:i/>
          <w:lang w:val="en-GB"/>
        </w:rPr>
        <w:t xml:space="preserve">, Peter </w:t>
      </w:r>
      <w:proofErr w:type="spellStart"/>
      <w:r w:rsidRPr="005D67A0">
        <w:rPr>
          <w:rFonts w:cstheme="minorHAnsi"/>
          <w:i/>
          <w:lang w:val="en-GB"/>
        </w:rPr>
        <w:t>W.Hellyer</w:t>
      </w:r>
      <w:proofErr w:type="spellEnd"/>
      <w:r w:rsidRPr="005D67A0">
        <w:rPr>
          <w:rFonts w:cstheme="minorHAnsi"/>
          <w:i/>
          <w:lang w:val="en-GB"/>
        </w:rPr>
        <w:t>. A report of</w:t>
      </w:r>
      <w:r w:rsidR="005D67A0" w:rsidRPr="005D67A0">
        <w:rPr>
          <w:rFonts w:cstheme="minorHAnsi"/>
          <w:i/>
          <w:lang w:val="en-GB"/>
        </w:rPr>
        <w:t> </w:t>
      </w:r>
      <w:r w:rsidRPr="005D67A0">
        <w:rPr>
          <w:rFonts w:cstheme="minorHAnsi"/>
          <w:i/>
          <w:lang w:val="en-GB"/>
        </w:rPr>
        <w:t xml:space="preserve">adverse effects associated with the administration of </w:t>
      </w:r>
      <w:proofErr w:type="spellStart"/>
      <w:r w:rsidRPr="005D67A0">
        <w:rPr>
          <w:rFonts w:cstheme="minorHAnsi"/>
          <w:i/>
          <w:lang w:val="en-GB"/>
        </w:rPr>
        <w:t>cannabidiol</w:t>
      </w:r>
      <w:proofErr w:type="spellEnd"/>
      <w:r w:rsidRPr="005D67A0">
        <w:rPr>
          <w:rFonts w:cstheme="minorHAnsi"/>
          <w:i/>
          <w:lang w:val="en-GB"/>
        </w:rPr>
        <w:t xml:space="preserve"> in healthy dogs. AHVMA Journal, Vol.52, Fall 2018</w:t>
      </w:r>
    </w:p>
    <w:p w14:paraId="04AAB7D1" w14:textId="77777777" w:rsidR="006653D3" w:rsidRPr="005D67A0" w:rsidRDefault="006653D3" w:rsidP="004906A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cstheme="minorHAnsi"/>
          <w:i/>
          <w:lang w:val="en-GB"/>
        </w:rPr>
      </w:pPr>
      <w:r w:rsidRPr="005D67A0">
        <w:rPr>
          <w:rFonts w:cstheme="minorHAnsi"/>
          <w:i/>
          <w:lang w:val="en-GB"/>
        </w:rPr>
        <w:t>Robert J. Silver. Seminar Notes 2017 CVMA Convention: Medical Cannabis for Veterinarians-Risks &amp; Benefits by Robert J. Silver DVM, MS, CVA</w:t>
      </w:r>
    </w:p>
    <w:p w14:paraId="245A7D2E" w14:textId="77777777" w:rsidR="006653D3" w:rsidRPr="005D67A0" w:rsidRDefault="006653D3" w:rsidP="004906A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Style w:val="Hypertextovodkaz"/>
          <w:rFonts w:cstheme="minorHAnsi"/>
          <w:i/>
          <w:color w:val="auto"/>
          <w:u w:val="none"/>
          <w:lang w:val="en-GB"/>
        </w:rPr>
      </w:pPr>
      <w:r w:rsidRPr="005D67A0">
        <w:rPr>
          <w:rFonts w:cstheme="minorHAnsi"/>
          <w:i/>
          <w:lang w:val="en-GB"/>
        </w:rPr>
        <w:t xml:space="preserve">Robert J. Silver, “Medical Cannabis for Veterinarians—Risks &amp; Benefits.” </w:t>
      </w:r>
      <w:r w:rsidRPr="005D67A0">
        <w:rPr>
          <w:rFonts w:cstheme="minorHAnsi"/>
          <w:i/>
          <w:iCs/>
          <w:lang w:val="en-GB"/>
        </w:rPr>
        <w:t>Indiana Veterinary Medical Association</w:t>
      </w:r>
      <w:r w:rsidRPr="005D67A0">
        <w:rPr>
          <w:rFonts w:cstheme="minorHAnsi"/>
          <w:i/>
          <w:lang w:val="en-GB"/>
        </w:rPr>
        <w:t xml:space="preserve">, 2017. Retrieved from: </w:t>
      </w:r>
      <w:hyperlink r:id="rId22" w:history="1">
        <w:r w:rsidRPr="005D67A0">
          <w:rPr>
            <w:rStyle w:val="Hypertextovodkaz"/>
            <w:rFonts w:cstheme="minorHAnsi"/>
            <w:i/>
            <w:lang w:val="en-GB"/>
          </w:rPr>
          <w:t>https://invma.org/wp-content/uploads/sites/8/2017/09/Silver_Medical-Cannabis-for-Veterinarians-Risks-Benefits.pdf</w:t>
        </w:r>
      </w:hyperlink>
    </w:p>
    <w:p w14:paraId="12D5043A" w14:textId="77777777" w:rsidR="00B008DC" w:rsidRPr="005D67A0" w:rsidRDefault="00B008DC" w:rsidP="004906AD">
      <w:pPr>
        <w:pStyle w:val="Odstavecseseznamem"/>
        <w:spacing w:after="120" w:line="276" w:lineRule="auto"/>
        <w:jc w:val="both"/>
        <w:rPr>
          <w:rFonts w:cstheme="minorHAnsi"/>
          <w:i/>
          <w:lang w:val="en-GB"/>
        </w:rPr>
      </w:pPr>
    </w:p>
    <w:p w14:paraId="5CA84815" w14:textId="77777777" w:rsidR="00B008DC" w:rsidRPr="007635DB" w:rsidRDefault="00B008DC" w:rsidP="007635DB">
      <w:pPr>
        <w:pStyle w:val="Odstavecseseznamem"/>
        <w:spacing w:before="0" w:after="0" w:line="240" w:lineRule="auto"/>
        <w:jc w:val="both"/>
        <w:rPr>
          <w:rFonts w:cstheme="minorHAnsi"/>
        </w:rPr>
      </w:pPr>
    </w:p>
    <w:p w14:paraId="67AD4F52" w14:textId="4D841AB0" w:rsidR="006746F9" w:rsidRDefault="00B008DC" w:rsidP="007635DB">
      <w:pPr>
        <w:pStyle w:val="Nadpis1"/>
        <w:numPr>
          <w:ilvl w:val="0"/>
          <w:numId w:val="1"/>
        </w:numPr>
        <w:spacing w:before="0" w:after="0"/>
      </w:pPr>
      <w:bookmarkStart w:id="50" w:name="_Toc42794105"/>
      <w:bookmarkStart w:id="51" w:name="_Toc42794344"/>
      <w:r>
        <w:t xml:space="preserve"> </w:t>
      </w:r>
      <w:bookmarkStart w:id="52" w:name="_Toc63853317"/>
      <w:r w:rsidR="006746F9">
        <w:t>Další zdroje informací týkající se problematiky konopné rostliny a</w:t>
      </w:r>
      <w:r w:rsidR="005D67A0">
        <w:t> </w:t>
      </w:r>
      <w:r w:rsidR="006746F9">
        <w:t>jejího využití nejen ve veterinární oblasti</w:t>
      </w:r>
      <w:bookmarkEnd w:id="50"/>
      <w:bookmarkEnd w:id="51"/>
      <w:bookmarkEnd w:id="52"/>
    </w:p>
    <w:p w14:paraId="75370267" w14:textId="77777777" w:rsidR="006746F9" w:rsidRDefault="006746F9" w:rsidP="007635DB">
      <w:pPr>
        <w:spacing w:before="0" w:after="0"/>
      </w:pPr>
    </w:p>
    <w:p w14:paraId="16B8D19E" w14:textId="6C4A8E90" w:rsidR="00EC33CB" w:rsidRDefault="008C4A0F" w:rsidP="004906AD">
      <w:r>
        <w:t>Legislativa</w:t>
      </w:r>
      <w:r w:rsidR="00284706">
        <w:t xml:space="preserve"> k problematice návykových látek</w:t>
      </w:r>
      <w:r>
        <w:t>, zdroj Ministerstvo zdravotnictví</w:t>
      </w:r>
    </w:p>
    <w:p w14:paraId="5ADA5017" w14:textId="5177436D" w:rsidR="00284706" w:rsidRDefault="007A4899" w:rsidP="004906AD">
      <w:hyperlink r:id="rId23" w:history="1">
        <w:r w:rsidR="00284706" w:rsidRPr="00A934BE">
          <w:rPr>
            <w:rStyle w:val="Hypertextovodkaz"/>
          </w:rPr>
          <w:t>https://www.mzcr.cz/Legislativa/obsah/navykove-latky_1790_11.html</w:t>
        </w:r>
      </w:hyperlink>
    </w:p>
    <w:p w14:paraId="2BE68E21" w14:textId="46836BF7" w:rsidR="00284706" w:rsidRDefault="00284706" w:rsidP="004906AD">
      <w:r>
        <w:t>Informace SZPI poskytnuté k problematice doplňků stravy a obsahu THC</w:t>
      </w:r>
    </w:p>
    <w:p w14:paraId="3AD1C809" w14:textId="1BB84DF0" w:rsidR="00284706" w:rsidRDefault="007A4899" w:rsidP="004906AD">
      <w:hyperlink r:id="rId24" w:history="1">
        <w:r w:rsidR="00284706" w:rsidRPr="00A934BE">
          <w:rPr>
            <w:rStyle w:val="Hypertextovodkaz"/>
          </w:rPr>
          <w:t>https://www.szpi.gov.cz/clanek/28-2019-poskytnute-informace-doplnky-stravy-obsah-thc.aspx</w:t>
        </w:r>
      </w:hyperlink>
    </w:p>
    <w:p w14:paraId="031ED3F4" w14:textId="6B8E6C27" w:rsidR="005F7101" w:rsidRDefault="005F7101" w:rsidP="004906AD">
      <w:r>
        <w:t>Informace SZPI poskytnuté k problematice technického konopí</w:t>
      </w:r>
    </w:p>
    <w:p w14:paraId="6501E615" w14:textId="50DF172A" w:rsidR="005F7101" w:rsidRDefault="007A4899" w:rsidP="004906AD">
      <w:hyperlink r:id="rId25" w:history="1">
        <w:r w:rsidR="005F7101" w:rsidRPr="00A934BE">
          <w:rPr>
            <w:rStyle w:val="Hypertextovodkaz"/>
          </w:rPr>
          <w:t>https://www.szpi.gov.cz/clanek/45-2019-poskytnute-informace-pristup-ke-kontrole-technicke-konopi.aspx</w:t>
        </w:r>
      </w:hyperlink>
    </w:p>
    <w:p w14:paraId="09CEB75A" w14:textId="12D3B99A" w:rsidR="00284706" w:rsidRDefault="00284706" w:rsidP="004906AD">
      <w:r>
        <w:t xml:space="preserve">Informace </w:t>
      </w:r>
      <w:proofErr w:type="spellStart"/>
      <w:r>
        <w:t>MZe</w:t>
      </w:r>
      <w:proofErr w:type="spellEnd"/>
      <w:r>
        <w:t xml:space="preserve"> </w:t>
      </w:r>
      <w:r w:rsidR="00617D28">
        <w:t xml:space="preserve">poskytnuté </w:t>
      </w:r>
      <w:r>
        <w:t>k problematice doplňků stravy s obsahem konopné rostliny</w:t>
      </w:r>
    </w:p>
    <w:p w14:paraId="0892BEDE" w14:textId="295B0747" w:rsidR="00284706" w:rsidRDefault="007A4899" w:rsidP="004906AD">
      <w:hyperlink r:id="rId26" w:history="1">
        <w:r w:rsidR="00284706" w:rsidRPr="00A934BE">
          <w:rPr>
            <w:rStyle w:val="Hypertextovodkaz"/>
          </w:rPr>
          <w:t>http://eagri.cz/public/web/mze/ministerstvo-zemedelstvi/povinne-zverejnovane-informace/informace-podle-zakona-c-106-1999-sb/poskytnute-informace/poskytnute-informace-na-zadosti-o-87.html</w:t>
        </w:r>
      </w:hyperlink>
    </w:p>
    <w:p w14:paraId="58D54DD2" w14:textId="1B23FA79" w:rsidR="005F7101" w:rsidRDefault="007A4899" w:rsidP="004906AD">
      <w:hyperlink r:id="rId27" w:history="1">
        <w:r w:rsidR="005F7101" w:rsidRPr="00A934BE">
          <w:rPr>
            <w:rStyle w:val="Hypertextovodkaz"/>
          </w:rPr>
          <w:t>http://eagri.cz/public/web/mze/ministerstvo-zemedelstvi/povinne-zverejnovane-informace/informace-podle-zakona-c-106-1999-sb/poskytnute-informace/poskytnute-informace-na-zadosti-o-89.html</w:t>
        </w:r>
      </w:hyperlink>
    </w:p>
    <w:p w14:paraId="4E4CBCC9" w14:textId="2616C37E" w:rsidR="00926B39" w:rsidRDefault="00926B39" w:rsidP="004906AD">
      <w:r>
        <w:t xml:space="preserve">Informace MZ </w:t>
      </w:r>
      <w:r w:rsidR="00617D28">
        <w:t xml:space="preserve">poskytnuté k problematice </w:t>
      </w:r>
      <w:r>
        <w:t>obsahu CBD a TH</w:t>
      </w:r>
      <w:r w:rsidR="00617D28">
        <w:t>C</w:t>
      </w:r>
      <w:r>
        <w:t xml:space="preserve"> v e-</w:t>
      </w:r>
      <w:proofErr w:type="spellStart"/>
      <w:r>
        <w:t>liquidech</w:t>
      </w:r>
      <w:proofErr w:type="spellEnd"/>
    </w:p>
    <w:p w14:paraId="29F40D46" w14:textId="392E2050" w:rsidR="00926B39" w:rsidRDefault="007A4899" w:rsidP="004906AD">
      <w:pPr>
        <w:rPr>
          <w:rStyle w:val="Hypertextovodkaz"/>
        </w:rPr>
      </w:pPr>
      <w:hyperlink r:id="rId28" w:history="1">
        <w:r w:rsidR="00926B39" w:rsidRPr="00A934BE">
          <w:rPr>
            <w:rStyle w:val="Hypertextovodkaz"/>
          </w:rPr>
          <w:t>http://www.mzcr.cz/dokumenty/97/2019-elektronicke-cigarety-_17423_3979_1.html</w:t>
        </w:r>
      </w:hyperlink>
    </w:p>
    <w:p w14:paraId="1446491B" w14:textId="6E05D216" w:rsidR="00B949E7" w:rsidRPr="00663792" w:rsidRDefault="00B949E7" w:rsidP="004906AD">
      <w:r w:rsidRPr="00B949E7">
        <w:t xml:space="preserve">Hospodářské noviny, Právní rádce č. 4/2020, </w:t>
      </w:r>
      <w:r w:rsidRPr="00D12ADB">
        <w:rPr>
          <w:color w:val="002060"/>
        </w:rPr>
        <w:t xml:space="preserve">Jak </w:t>
      </w:r>
      <w:hyperlink r:id="rId29" w:history="1">
        <w:r w:rsidRPr="00B949E7">
          <w:rPr>
            <w:rStyle w:val="Hypertextovodkaz"/>
            <w:u w:val="none"/>
          </w:rPr>
          <w:t>bezpečně nakládat s konopím</w:t>
        </w:r>
      </w:hyperlink>
    </w:p>
    <w:p w14:paraId="145FAB3F" w14:textId="6DEA4D3D" w:rsidR="00B949E7" w:rsidRDefault="00B949E7" w:rsidP="004906AD">
      <w:r w:rsidRPr="00B949E7">
        <w:t xml:space="preserve">Hospodářské noviny, Právní rádce č. 5/2020, </w:t>
      </w:r>
      <w:hyperlink r:id="rId30" w:history="1">
        <w:r w:rsidRPr="00FC3396">
          <w:rPr>
            <w:rStyle w:val="Hypertextovodkaz"/>
            <w:u w:val="none"/>
          </w:rPr>
          <w:t>Role státních institucí při pěstování konopí</w:t>
        </w:r>
      </w:hyperlink>
    </w:p>
    <w:p w14:paraId="676282D7" w14:textId="30ABDBB4" w:rsidR="00284706" w:rsidRPr="00284706" w:rsidRDefault="00B949E7" w:rsidP="004906AD">
      <w:r w:rsidRPr="00B949E7">
        <w:t xml:space="preserve">Hospodářské noviny, </w:t>
      </w:r>
      <w:r w:rsidRPr="00663792">
        <w:t xml:space="preserve">Právní rádce č. </w:t>
      </w:r>
      <w:r w:rsidRPr="00B949E7">
        <w:t xml:space="preserve">6/2020, </w:t>
      </w:r>
      <w:hyperlink r:id="rId31" w:history="1">
        <w:hyperlink r:id="rId32" w:history="1">
          <w:r w:rsidRPr="00816095">
            <w:rPr>
              <w:rStyle w:val="Hypertextovodkaz"/>
              <w:u w:val="none"/>
            </w:rPr>
            <w:t>Pravidla pro využití konopí v potravinách a v k</w:t>
          </w:r>
          <w:bookmarkStart w:id="53" w:name="_GoBack"/>
          <w:bookmarkEnd w:id="53"/>
          <w:r w:rsidRPr="00816095">
            <w:rPr>
              <w:rStyle w:val="Hypertextovodkaz"/>
              <w:u w:val="none"/>
            </w:rPr>
            <w:t>osmetice</w:t>
          </w:r>
        </w:hyperlink>
      </w:hyperlink>
    </w:p>
    <w:sectPr w:rsidR="00284706" w:rsidRPr="00284706" w:rsidSect="00B72184">
      <w:headerReference w:type="default" r:id="rId33"/>
      <w:footerReference w:type="default" r:id="rId34"/>
      <w:pgSz w:w="11906" w:h="16838"/>
      <w:pgMar w:top="12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FD62B" w14:textId="77777777" w:rsidR="007A4899" w:rsidRDefault="007A4899" w:rsidP="006E6F60">
      <w:r>
        <w:separator/>
      </w:r>
    </w:p>
  </w:endnote>
  <w:endnote w:type="continuationSeparator" w:id="0">
    <w:p w14:paraId="52BA75F3" w14:textId="77777777" w:rsidR="007A4899" w:rsidRDefault="007A4899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25326" w14:textId="77777777"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502532F" wp14:editId="3502533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6D50970" id="Skupina 19" o:spid="_x0000_s1026" style="position:absolute;margin-left:-40.15pt;margin-top:7.1pt;width:530.25pt;height:0;z-index:251672576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025331" wp14:editId="35025332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25358" w14:textId="77777777" w:rsidR="007B5C24" w:rsidRDefault="005A32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025365" wp14:editId="35025366">
                                <wp:extent cx="1465580" cy="515620"/>
                                <wp:effectExtent l="0" t="0" r="1270" b="0"/>
                                <wp:docPr id="31" name="Obrázek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i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558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3.9pt;margin-top:6.35pt;width:130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14:paraId="35025358" w14:textId="77777777" w:rsidR="007B5C24" w:rsidRDefault="005A32AC">
                    <w:r>
                      <w:rPr>
                        <w:noProof/>
                      </w:rPr>
                      <w:drawing>
                        <wp:inline distT="0" distB="0" distL="0" distR="0" wp14:anchorId="35025365" wp14:editId="35025366">
                          <wp:extent cx="1465580" cy="515620"/>
                          <wp:effectExtent l="0" t="0" r="1270" b="0"/>
                          <wp:docPr id="31" name="Obrázek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il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558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025333" wp14:editId="35025334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25359" w14:textId="77777777" w:rsidR="00212796" w:rsidRPr="00A139A2" w:rsidRDefault="00212796" w:rsidP="00B72184">
                          <w:pPr>
                            <w:spacing w:before="0" w:after="0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31229641/0710</w:t>
                          </w:r>
                        </w:p>
                        <w:p w14:paraId="3502535A" w14:textId="77777777" w:rsidR="00212796" w:rsidRPr="00A139A2" w:rsidRDefault="00212796" w:rsidP="00B72184">
                          <w:pPr>
                            <w:spacing w:before="0" w:after="0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399.9pt;margin-top:4.9pt;width:101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14:paraId="35025359" w14:textId="77777777" w:rsidR="00212796" w:rsidRPr="00A139A2" w:rsidRDefault="00212796" w:rsidP="00B72184">
                    <w:pPr>
                      <w:spacing w:before="0" w:after="0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>31229641/0710</w:t>
                    </w:r>
                  </w:p>
                  <w:p w14:paraId="3502535A" w14:textId="77777777" w:rsidR="00212796" w:rsidRPr="00A139A2" w:rsidRDefault="00212796" w:rsidP="00B72184">
                    <w:pPr>
                      <w:spacing w:before="0" w:after="0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5025335" wp14:editId="35025336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BDA623F" id="Přímá spojnice 15" o:spid="_x0000_s1026" style="position:absolute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025337" wp14:editId="35025338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2535B" w14:textId="77777777" w:rsidR="008B34AC" w:rsidRPr="00A139A2" w:rsidRDefault="008B34AC" w:rsidP="00B72184">
                          <w:pPr>
                            <w:spacing w:before="0" w:after="0"/>
                            <w:jc w:val="lef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+420 541 518 210</w:t>
                          </w:r>
                        </w:p>
                        <w:p w14:paraId="3502535C" w14:textId="77777777" w:rsidR="008B34AC" w:rsidRPr="00A139A2" w:rsidRDefault="007B5C24" w:rsidP="00B72184">
                          <w:pPr>
                            <w:spacing w:before="0" w:after="0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195.35pt;margin-top:4.85pt;width:125.25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14:paraId="3502535B" w14:textId="77777777" w:rsidR="008B34AC" w:rsidRPr="00A139A2" w:rsidRDefault="008B34AC" w:rsidP="00B72184">
                    <w:pPr>
                      <w:spacing w:before="0" w:after="0"/>
                      <w:jc w:val="lef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>+420 541 518 210</w:t>
                    </w:r>
                  </w:p>
                  <w:p w14:paraId="3502535C" w14:textId="77777777" w:rsidR="008B34AC" w:rsidRPr="00A139A2" w:rsidRDefault="007B5C24" w:rsidP="00B72184">
                    <w:pPr>
                      <w:spacing w:before="0" w:after="0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25339" wp14:editId="3502533A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2535D" w14:textId="77777777" w:rsidR="008B34AC" w:rsidRPr="00A139A2" w:rsidRDefault="008B34AC" w:rsidP="00B72184">
                          <w:pPr>
                            <w:spacing w:before="0" w:after="0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uskvbl@uskvbl.cz</w:t>
                          </w:r>
                        </w:p>
                        <w:p w14:paraId="3502535E" w14:textId="77777777" w:rsidR="008B34AC" w:rsidRPr="007B5C24" w:rsidRDefault="008B34AC" w:rsidP="00B72184">
                          <w:pPr>
                            <w:spacing w:before="0" w:after="0"/>
                            <w:rPr>
                              <w:rFonts w:cstheme="minorHAnsi"/>
                              <w:color w:val="808080" w:themeColor="background1" w:themeShade="8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311.65pt;margin-top:4.85pt;width:92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14:paraId="3502535D" w14:textId="77777777" w:rsidR="008B34AC" w:rsidRPr="00A139A2" w:rsidRDefault="008B34AC" w:rsidP="00B72184">
                    <w:pPr>
                      <w:spacing w:before="0" w:after="0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>uskvbl@uskvbl.cz</w:t>
                    </w:r>
                  </w:p>
                  <w:p w14:paraId="3502535E" w14:textId="77777777" w:rsidR="008B34AC" w:rsidRPr="007B5C24" w:rsidRDefault="008B34AC" w:rsidP="00B72184">
                    <w:pPr>
                      <w:spacing w:before="0" w:after="0"/>
                      <w:rPr>
                        <w:rFonts w:cstheme="minorHAnsi"/>
                        <w:color w:val="808080" w:themeColor="background1" w:themeShade="8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2533B" wp14:editId="3502533C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1181386" id="Přímá spojnic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502533D" wp14:editId="3502533E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8AE75CB" id="Přímá spojnice 18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02533F" wp14:editId="35025340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2535F" w14:textId="2B903A5D" w:rsidR="00792162" w:rsidRPr="00A139A2" w:rsidRDefault="008B34AC" w:rsidP="00B72184">
                          <w:pPr>
                            <w:spacing w:before="0" w:after="0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Hudcova </w:t>
                          </w:r>
                          <w:r w:rsidR="006558F8"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232/</w:t>
                          </w:r>
                          <w:r w:rsidR="006B2128"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56a</w:t>
                          </w:r>
                        </w:p>
                        <w:p w14:paraId="35025360" w14:textId="77777777" w:rsidR="008B34AC" w:rsidRPr="00A139A2" w:rsidRDefault="008B34AC" w:rsidP="00B72184">
                          <w:pPr>
                            <w:spacing w:before="0" w:after="0"/>
                            <w:jc w:val="lef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621 00 Brno-Medlánky</w:t>
                          </w:r>
                        </w:p>
                        <w:p w14:paraId="35025361" w14:textId="77777777" w:rsidR="008B34AC" w:rsidRPr="00A139A2" w:rsidRDefault="008B34AC" w:rsidP="00B72184">
                          <w:pPr>
                            <w:spacing w:before="0" w:after="0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139A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85.65pt;margin-top:4.9pt;width:116.2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14:paraId="3502535F" w14:textId="2B903A5D" w:rsidR="00792162" w:rsidRPr="00A139A2" w:rsidRDefault="008B34AC" w:rsidP="00B72184">
                    <w:pPr>
                      <w:spacing w:before="0" w:after="0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 xml:space="preserve">Hudcova </w:t>
                    </w:r>
                    <w:r w:rsidR="006558F8"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>232/</w:t>
                    </w:r>
                    <w:r w:rsidR="006B2128"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>56a</w:t>
                    </w:r>
                  </w:p>
                  <w:p w14:paraId="35025360" w14:textId="77777777" w:rsidR="008B34AC" w:rsidRPr="00A139A2" w:rsidRDefault="008B34AC" w:rsidP="00B72184">
                    <w:pPr>
                      <w:spacing w:before="0" w:after="0"/>
                      <w:jc w:val="lef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>621 00 Brno-Medlánky</w:t>
                    </w:r>
                  </w:p>
                  <w:p w14:paraId="35025361" w14:textId="77777777" w:rsidR="008B34AC" w:rsidRPr="00A139A2" w:rsidRDefault="008B34AC" w:rsidP="00B72184">
                    <w:pPr>
                      <w:spacing w:before="0" w:after="0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139A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5025341" wp14:editId="35025342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2D1A9D1" id="Přímá spojnice 1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5025343" wp14:editId="35025344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4E32B54" id="Přímá spojnice 16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14:paraId="35025327" w14:textId="77777777" w:rsidR="008B34AC" w:rsidRDefault="008B34AC">
    <w:pPr>
      <w:pStyle w:val="Zpat"/>
    </w:pPr>
  </w:p>
  <w:p w14:paraId="35025328" w14:textId="77777777"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25345" wp14:editId="7E56129F">
              <wp:simplePos x="0" y="0"/>
              <wp:positionH relativeFrom="column">
                <wp:posOffset>5424170</wp:posOffset>
              </wp:positionH>
              <wp:positionV relativeFrom="paragraph">
                <wp:posOffset>82550</wp:posOffset>
              </wp:positionV>
              <wp:extent cx="866775" cy="35242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25362" w14:textId="639F96C8" w:rsidR="007B5C24" w:rsidRPr="00B72184" w:rsidRDefault="007B5C24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B72184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72184">
                            <w:rPr>
                              <w:rFonts w:cstheme="minorHAnsi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B72184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635DB">
                            <w:rPr>
                              <w:rFonts w:cstheme="minorHAnsi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 w:rsidRPr="00B72184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  <w:r w:rsidRPr="00B72184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B72184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72184">
                            <w:rPr>
                              <w:rFonts w:cstheme="minorHAnsi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B72184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635DB">
                            <w:rPr>
                              <w:rFonts w:cstheme="minorHAnsi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 w:rsidRPr="00B72184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427.1pt;margin-top:6.5pt;width:68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" filled="f" stroked="f">
              <v:textbox>
                <w:txbxContent>
                  <w:p w14:paraId="35025362" w14:textId="639F96C8" w:rsidR="007B5C24" w:rsidRPr="00B72184" w:rsidRDefault="007B5C24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B72184">
                      <w:rPr>
                        <w:rFonts w:cstheme="minorHAnsi"/>
                        <w:sz w:val="18"/>
                        <w:szCs w:val="18"/>
                      </w:rPr>
                      <w:fldChar w:fldCharType="begin"/>
                    </w:r>
                    <w:r w:rsidRPr="00B72184">
                      <w:rPr>
                        <w:rFonts w:cstheme="minorHAnsi"/>
                        <w:sz w:val="18"/>
                        <w:szCs w:val="18"/>
                      </w:rPr>
                      <w:instrText>PAGE  \* Arabic  \* MERGEFORMAT</w:instrText>
                    </w:r>
                    <w:r w:rsidRPr="00B7218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7635DB">
                      <w:rPr>
                        <w:rFonts w:cstheme="minorHAnsi"/>
                        <w:noProof/>
                        <w:sz w:val="18"/>
                        <w:szCs w:val="18"/>
                      </w:rPr>
                      <w:t>11</w:t>
                    </w:r>
                    <w:r w:rsidRPr="00B7218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  <w:r w:rsidRPr="00B72184">
                      <w:rPr>
                        <w:rFonts w:cstheme="minorHAnsi"/>
                        <w:sz w:val="18"/>
                        <w:szCs w:val="18"/>
                      </w:rPr>
                      <w:t xml:space="preserve"> / </w:t>
                    </w:r>
                    <w:r w:rsidRPr="00B72184">
                      <w:rPr>
                        <w:rFonts w:cstheme="minorHAnsi"/>
                        <w:sz w:val="18"/>
                        <w:szCs w:val="18"/>
                      </w:rPr>
                      <w:fldChar w:fldCharType="begin"/>
                    </w:r>
                    <w:r w:rsidRPr="00B72184">
                      <w:rPr>
                        <w:rFonts w:cstheme="minorHAnsi"/>
                        <w:sz w:val="18"/>
                        <w:szCs w:val="18"/>
                      </w:rPr>
                      <w:instrText>NUMPAGES  \* Arabic  \* MERGEFORMAT</w:instrText>
                    </w:r>
                    <w:r w:rsidRPr="00B7218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7635DB">
                      <w:rPr>
                        <w:rFonts w:cstheme="minorHAnsi"/>
                        <w:noProof/>
                        <w:sz w:val="18"/>
                        <w:szCs w:val="18"/>
                      </w:rPr>
                      <w:t>11</w:t>
                    </w:r>
                    <w:r w:rsidRPr="00B7218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F14D4" w14:textId="77777777" w:rsidR="007A4899" w:rsidRDefault="007A4899" w:rsidP="006E6F60">
      <w:r>
        <w:separator/>
      </w:r>
    </w:p>
  </w:footnote>
  <w:footnote w:type="continuationSeparator" w:id="0">
    <w:p w14:paraId="13C44616" w14:textId="77777777" w:rsidR="007A4899" w:rsidRDefault="007A4899" w:rsidP="006E6F60">
      <w:r>
        <w:continuationSeparator/>
      </w:r>
    </w:p>
  </w:footnote>
  <w:footnote w:id="1">
    <w:p w14:paraId="1791004D" w14:textId="0231E1DC" w:rsidR="002168B6" w:rsidRDefault="002168B6" w:rsidP="002168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33F1F">
        <w:t>Společný katalog odrůd druhů zemědělských rostlin je sestavován v souladu se zásadami směrnice Rady 2002/53/ES. Jeho základem jsou národní katalogy odrůd členských států a je vydáván v Úředním věstníku Evropské unie</w:t>
      </w:r>
      <w:r w:rsidR="008E77B4">
        <w:t>,</w:t>
      </w:r>
      <w:r w:rsidRPr="00933F1F">
        <w:t xml:space="preserve"> v řadě C. V České republice je národní katalog odrůd tvořen Státní odrůdovou knihou</w:t>
      </w:r>
      <w:r w:rsidR="008E77B4">
        <w:t>,</w:t>
      </w:r>
      <w:r w:rsidRPr="00933F1F">
        <w:t xml:space="preserve"> na základě zákona č. 219/2003 Sb., o uvádění do oběhu osiva a sadby pěstovaných rostlin a o změně některých zákonů, ve znění pozdějších předpisů.</w:t>
      </w:r>
    </w:p>
  </w:footnote>
  <w:footnote w:id="2">
    <w:p w14:paraId="765F69A2" w14:textId="5A814B66" w:rsidR="007635DB" w:rsidRDefault="007635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1EC9">
        <w:rPr>
          <w:rFonts w:eastAsiaTheme="minorHAnsi" w:cstheme="minorBidi"/>
          <w:lang w:eastAsia="en-US"/>
        </w:rPr>
        <w:t>Analytická metoda pro stanovení THC využívána Inspektorátem OPL MZ je metoda HPLC/MS. Tato metoda bude také využívána ÚSKVBL v rámci kontroly trhu. Nicméně právní předpisy nestanovují doporučenou analytickou metodu pro stanovení THC, a proto je možné využití i dalších dostupných analytických metod. Vzhledem k rozdílné citlivosti těchto metod (HPLC/DAD, HPLC/MS, GC/MS) však doporučujeme použití metody co nejpřesnější. Limit detekce při použití zvolené metody nesmí být vyšší než 0,05 % THC/přípravek.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25323" w14:textId="77777777" w:rsidR="00792162" w:rsidRDefault="00792162" w:rsidP="006E6F6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25329" wp14:editId="3502532A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25357" w14:textId="77777777" w:rsidR="00792162" w:rsidRDefault="003702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025363" wp14:editId="35025364">
                                <wp:extent cx="1666324" cy="666750"/>
                                <wp:effectExtent l="0" t="0" r="0" b="0"/>
                                <wp:docPr id="30" name="Obrázek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6.95pt;margin-top:-18.85pt;width:212.4pt;height:62.6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14:paraId="35025357" w14:textId="77777777" w:rsidR="00792162" w:rsidRDefault="00370247">
                    <w:r>
                      <w:rPr>
                        <w:noProof/>
                      </w:rPr>
                      <w:drawing>
                        <wp:inline distT="0" distB="0" distL="0" distR="0" wp14:anchorId="35025363" wp14:editId="35025364">
                          <wp:extent cx="1666324" cy="666750"/>
                          <wp:effectExtent l="0" t="0" r="0" b="0"/>
                          <wp:docPr id="30" name="Obrázek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5025324" w14:textId="406BB000" w:rsidR="006E6F60" w:rsidRDefault="00F640AC" w:rsidP="00354368"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502532B" wp14:editId="5DD9E1D3">
              <wp:simplePos x="0" y="0"/>
              <wp:positionH relativeFrom="column">
                <wp:posOffset>-502285</wp:posOffset>
              </wp:positionH>
              <wp:positionV relativeFrom="paragraph">
                <wp:posOffset>261620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A0179E5" id="Skupina 14" o:spid="_x0000_s1026" style="position:absolute;margin-left:-39.55pt;margin-top:20.6pt;width:530.25pt;height:0;z-index:251670528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HUVeV7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14:paraId="35025325" w14:textId="65CDF8B3" w:rsidR="006E6F60" w:rsidRDefault="006E6F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C53"/>
    <w:multiLevelType w:val="hybridMultilevel"/>
    <w:tmpl w:val="711837D6"/>
    <w:lvl w:ilvl="0" w:tplc="C08AF6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283C"/>
    <w:multiLevelType w:val="hybridMultilevel"/>
    <w:tmpl w:val="193C8290"/>
    <w:lvl w:ilvl="0" w:tplc="F2AA1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5C97"/>
    <w:multiLevelType w:val="hybridMultilevel"/>
    <w:tmpl w:val="87569420"/>
    <w:lvl w:ilvl="0" w:tplc="F2AA1A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F17D37"/>
    <w:multiLevelType w:val="hybridMultilevel"/>
    <w:tmpl w:val="D8ACE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90A2B"/>
    <w:multiLevelType w:val="hybridMultilevel"/>
    <w:tmpl w:val="3C62FE32"/>
    <w:lvl w:ilvl="0" w:tplc="733A0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B3B68"/>
    <w:multiLevelType w:val="hybridMultilevel"/>
    <w:tmpl w:val="5DC4810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26369"/>
    <w:multiLevelType w:val="hybridMultilevel"/>
    <w:tmpl w:val="07F473A0"/>
    <w:lvl w:ilvl="0" w:tplc="F2AA1A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8619C7"/>
    <w:multiLevelType w:val="hybridMultilevel"/>
    <w:tmpl w:val="508A1F70"/>
    <w:lvl w:ilvl="0" w:tplc="F2AA1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F20B9"/>
    <w:multiLevelType w:val="hybridMultilevel"/>
    <w:tmpl w:val="30768D26"/>
    <w:lvl w:ilvl="0" w:tplc="F2AA1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73F6A"/>
    <w:multiLevelType w:val="hybridMultilevel"/>
    <w:tmpl w:val="0F54504C"/>
    <w:lvl w:ilvl="0" w:tplc="C3EE1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A15B4"/>
    <w:multiLevelType w:val="hybridMultilevel"/>
    <w:tmpl w:val="8C842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21DC4"/>
    <w:multiLevelType w:val="hybridMultilevel"/>
    <w:tmpl w:val="1BAC1488"/>
    <w:lvl w:ilvl="0" w:tplc="733A0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0191F"/>
    <w:multiLevelType w:val="hybridMultilevel"/>
    <w:tmpl w:val="FE92C2F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70455F66"/>
    <w:multiLevelType w:val="hybridMultilevel"/>
    <w:tmpl w:val="EF94B9C6"/>
    <w:lvl w:ilvl="0" w:tplc="72F24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85781"/>
    <w:multiLevelType w:val="hybridMultilevel"/>
    <w:tmpl w:val="8718296C"/>
    <w:lvl w:ilvl="0" w:tplc="C08AF6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22031"/>
    <w:rsid w:val="00050478"/>
    <w:rsid w:val="00051852"/>
    <w:rsid w:val="00055BDD"/>
    <w:rsid w:val="00056025"/>
    <w:rsid w:val="00061E77"/>
    <w:rsid w:val="000644F0"/>
    <w:rsid w:val="00085645"/>
    <w:rsid w:val="000858B5"/>
    <w:rsid w:val="00095110"/>
    <w:rsid w:val="00097CE1"/>
    <w:rsid w:val="000A1FB1"/>
    <w:rsid w:val="000A2AFB"/>
    <w:rsid w:val="000A7B4A"/>
    <w:rsid w:val="000B2E50"/>
    <w:rsid w:val="000C539F"/>
    <w:rsid w:val="000D2DFE"/>
    <w:rsid w:val="000D4373"/>
    <w:rsid w:val="000D6E20"/>
    <w:rsid w:val="000E1204"/>
    <w:rsid w:val="000E32E4"/>
    <w:rsid w:val="000E3AC5"/>
    <w:rsid w:val="000E448F"/>
    <w:rsid w:val="000E5D2B"/>
    <w:rsid w:val="000E74D2"/>
    <w:rsid w:val="000F4AA3"/>
    <w:rsid w:val="00106C58"/>
    <w:rsid w:val="00112096"/>
    <w:rsid w:val="00114A35"/>
    <w:rsid w:val="0012136D"/>
    <w:rsid w:val="00125CB5"/>
    <w:rsid w:val="001272B2"/>
    <w:rsid w:val="00133FEE"/>
    <w:rsid w:val="00140B77"/>
    <w:rsid w:val="0015174F"/>
    <w:rsid w:val="00154967"/>
    <w:rsid w:val="00156E7E"/>
    <w:rsid w:val="001626A9"/>
    <w:rsid w:val="00192736"/>
    <w:rsid w:val="001A19D7"/>
    <w:rsid w:val="001A5FE1"/>
    <w:rsid w:val="001B364E"/>
    <w:rsid w:val="001C339E"/>
    <w:rsid w:val="001C50B8"/>
    <w:rsid w:val="001F4AD8"/>
    <w:rsid w:val="00205B48"/>
    <w:rsid w:val="00212796"/>
    <w:rsid w:val="002168B6"/>
    <w:rsid w:val="002232C6"/>
    <w:rsid w:val="00223494"/>
    <w:rsid w:val="00226124"/>
    <w:rsid w:val="0023664F"/>
    <w:rsid w:val="00237DE4"/>
    <w:rsid w:val="00261C3A"/>
    <w:rsid w:val="00262705"/>
    <w:rsid w:val="002628B6"/>
    <w:rsid w:val="00262988"/>
    <w:rsid w:val="0026423C"/>
    <w:rsid w:val="00265FFC"/>
    <w:rsid w:val="00271D06"/>
    <w:rsid w:val="00271F2D"/>
    <w:rsid w:val="0027548F"/>
    <w:rsid w:val="00276839"/>
    <w:rsid w:val="0028010F"/>
    <w:rsid w:val="00284706"/>
    <w:rsid w:val="00290D54"/>
    <w:rsid w:val="002913D5"/>
    <w:rsid w:val="00292936"/>
    <w:rsid w:val="00292A60"/>
    <w:rsid w:val="002B03A6"/>
    <w:rsid w:val="002B055F"/>
    <w:rsid w:val="002C0DA3"/>
    <w:rsid w:val="002C4A89"/>
    <w:rsid w:val="002C7ED7"/>
    <w:rsid w:val="002D035C"/>
    <w:rsid w:val="002E04D2"/>
    <w:rsid w:val="002F20E1"/>
    <w:rsid w:val="002F2B5A"/>
    <w:rsid w:val="00315472"/>
    <w:rsid w:val="00321502"/>
    <w:rsid w:val="00322B80"/>
    <w:rsid w:val="00335046"/>
    <w:rsid w:val="00354368"/>
    <w:rsid w:val="00356DC3"/>
    <w:rsid w:val="00363DA0"/>
    <w:rsid w:val="00364558"/>
    <w:rsid w:val="00370247"/>
    <w:rsid w:val="00375703"/>
    <w:rsid w:val="00375884"/>
    <w:rsid w:val="00383E14"/>
    <w:rsid w:val="00385DA8"/>
    <w:rsid w:val="00390E3E"/>
    <w:rsid w:val="00391AE8"/>
    <w:rsid w:val="0039274B"/>
    <w:rsid w:val="003938E7"/>
    <w:rsid w:val="00397D52"/>
    <w:rsid w:val="003A1A32"/>
    <w:rsid w:val="003A6EEE"/>
    <w:rsid w:val="003C12EC"/>
    <w:rsid w:val="003C5F11"/>
    <w:rsid w:val="003D60A2"/>
    <w:rsid w:val="003E4266"/>
    <w:rsid w:val="00415C55"/>
    <w:rsid w:val="004267EC"/>
    <w:rsid w:val="00427679"/>
    <w:rsid w:val="004514B5"/>
    <w:rsid w:val="0046288F"/>
    <w:rsid w:val="004634DE"/>
    <w:rsid w:val="00464701"/>
    <w:rsid w:val="00471B1D"/>
    <w:rsid w:val="00474DA1"/>
    <w:rsid w:val="004906AD"/>
    <w:rsid w:val="004D1DB3"/>
    <w:rsid w:val="004F3497"/>
    <w:rsid w:val="004F3ED1"/>
    <w:rsid w:val="005024EC"/>
    <w:rsid w:val="00521F7C"/>
    <w:rsid w:val="00525410"/>
    <w:rsid w:val="00533B57"/>
    <w:rsid w:val="00547D22"/>
    <w:rsid w:val="00551DDA"/>
    <w:rsid w:val="00552060"/>
    <w:rsid w:val="00562C1E"/>
    <w:rsid w:val="00564351"/>
    <w:rsid w:val="00576365"/>
    <w:rsid w:val="00595D2E"/>
    <w:rsid w:val="005A32AC"/>
    <w:rsid w:val="005A4A17"/>
    <w:rsid w:val="005A6518"/>
    <w:rsid w:val="005B48B6"/>
    <w:rsid w:val="005B76BE"/>
    <w:rsid w:val="005C41F1"/>
    <w:rsid w:val="005C44D6"/>
    <w:rsid w:val="005D2AE3"/>
    <w:rsid w:val="005D6692"/>
    <w:rsid w:val="005D67A0"/>
    <w:rsid w:val="005E0C4B"/>
    <w:rsid w:val="005E26F5"/>
    <w:rsid w:val="005E6AC3"/>
    <w:rsid w:val="005F7101"/>
    <w:rsid w:val="00604138"/>
    <w:rsid w:val="00612C34"/>
    <w:rsid w:val="00617D28"/>
    <w:rsid w:val="00626EE6"/>
    <w:rsid w:val="00641438"/>
    <w:rsid w:val="006440BE"/>
    <w:rsid w:val="0065282E"/>
    <w:rsid w:val="006558F8"/>
    <w:rsid w:val="006602F2"/>
    <w:rsid w:val="00662A4C"/>
    <w:rsid w:val="00663792"/>
    <w:rsid w:val="006653D3"/>
    <w:rsid w:val="006746F9"/>
    <w:rsid w:val="00674C39"/>
    <w:rsid w:val="00677954"/>
    <w:rsid w:val="006804CA"/>
    <w:rsid w:val="006A3FF7"/>
    <w:rsid w:val="006A68DD"/>
    <w:rsid w:val="006B2128"/>
    <w:rsid w:val="006B27F2"/>
    <w:rsid w:val="006C6B8D"/>
    <w:rsid w:val="006D1795"/>
    <w:rsid w:val="006E1EFF"/>
    <w:rsid w:val="006E3E7A"/>
    <w:rsid w:val="006E6F60"/>
    <w:rsid w:val="006E70F0"/>
    <w:rsid w:val="006F2B30"/>
    <w:rsid w:val="006F5DAC"/>
    <w:rsid w:val="00700FB7"/>
    <w:rsid w:val="0070159C"/>
    <w:rsid w:val="0070637B"/>
    <w:rsid w:val="007129C8"/>
    <w:rsid w:val="00717222"/>
    <w:rsid w:val="00717242"/>
    <w:rsid w:val="007173B5"/>
    <w:rsid w:val="00717C91"/>
    <w:rsid w:val="00720B1B"/>
    <w:rsid w:val="00726466"/>
    <w:rsid w:val="007335AE"/>
    <w:rsid w:val="00741D4C"/>
    <w:rsid w:val="007635DB"/>
    <w:rsid w:val="00772EE8"/>
    <w:rsid w:val="0077352D"/>
    <w:rsid w:val="0078193A"/>
    <w:rsid w:val="0078450A"/>
    <w:rsid w:val="00784556"/>
    <w:rsid w:val="00792162"/>
    <w:rsid w:val="0079279C"/>
    <w:rsid w:val="00796D60"/>
    <w:rsid w:val="007979DE"/>
    <w:rsid w:val="007A3EF5"/>
    <w:rsid w:val="007A4899"/>
    <w:rsid w:val="007B1C4C"/>
    <w:rsid w:val="007B2214"/>
    <w:rsid w:val="007B2C7B"/>
    <w:rsid w:val="007B5C24"/>
    <w:rsid w:val="007B5F3C"/>
    <w:rsid w:val="007C30DF"/>
    <w:rsid w:val="007D1A43"/>
    <w:rsid w:val="007D1DC6"/>
    <w:rsid w:val="007D35C5"/>
    <w:rsid w:val="007D4DA4"/>
    <w:rsid w:val="007E3331"/>
    <w:rsid w:val="007E50CC"/>
    <w:rsid w:val="007E59B7"/>
    <w:rsid w:val="007F5EEF"/>
    <w:rsid w:val="00802F41"/>
    <w:rsid w:val="008039EE"/>
    <w:rsid w:val="00816095"/>
    <w:rsid w:val="0082651E"/>
    <w:rsid w:val="00833DDB"/>
    <w:rsid w:val="00846786"/>
    <w:rsid w:val="0085358F"/>
    <w:rsid w:val="00861F74"/>
    <w:rsid w:val="00866AA1"/>
    <w:rsid w:val="00883ED0"/>
    <w:rsid w:val="00894CED"/>
    <w:rsid w:val="00896F2B"/>
    <w:rsid w:val="008B34AC"/>
    <w:rsid w:val="008C4A0F"/>
    <w:rsid w:val="008E32FB"/>
    <w:rsid w:val="008E3CA0"/>
    <w:rsid w:val="008E506B"/>
    <w:rsid w:val="008E77B4"/>
    <w:rsid w:val="008F6E1E"/>
    <w:rsid w:val="00914C07"/>
    <w:rsid w:val="009267ED"/>
    <w:rsid w:val="00926B39"/>
    <w:rsid w:val="00931881"/>
    <w:rsid w:val="0093656C"/>
    <w:rsid w:val="00937FA9"/>
    <w:rsid w:val="00940BFE"/>
    <w:rsid w:val="0095089A"/>
    <w:rsid w:val="009600F8"/>
    <w:rsid w:val="009662E1"/>
    <w:rsid w:val="00991EF3"/>
    <w:rsid w:val="009927FD"/>
    <w:rsid w:val="009B16BD"/>
    <w:rsid w:val="009B7D17"/>
    <w:rsid w:val="009C1AD8"/>
    <w:rsid w:val="009C50B3"/>
    <w:rsid w:val="009C609D"/>
    <w:rsid w:val="009D0A2E"/>
    <w:rsid w:val="009D336C"/>
    <w:rsid w:val="009D51CA"/>
    <w:rsid w:val="009D6D23"/>
    <w:rsid w:val="009E3DF2"/>
    <w:rsid w:val="009F2085"/>
    <w:rsid w:val="009F227D"/>
    <w:rsid w:val="009F31F6"/>
    <w:rsid w:val="009F5530"/>
    <w:rsid w:val="00A01931"/>
    <w:rsid w:val="00A047BE"/>
    <w:rsid w:val="00A05090"/>
    <w:rsid w:val="00A139A2"/>
    <w:rsid w:val="00A221E6"/>
    <w:rsid w:val="00A2751F"/>
    <w:rsid w:val="00A3401A"/>
    <w:rsid w:val="00A3435E"/>
    <w:rsid w:val="00A5351F"/>
    <w:rsid w:val="00A57F11"/>
    <w:rsid w:val="00A6069C"/>
    <w:rsid w:val="00A6096A"/>
    <w:rsid w:val="00A6227F"/>
    <w:rsid w:val="00A72241"/>
    <w:rsid w:val="00A76B98"/>
    <w:rsid w:val="00AA01A4"/>
    <w:rsid w:val="00AA0492"/>
    <w:rsid w:val="00AA1140"/>
    <w:rsid w:val="00AA6F0E"/>
    <w:rsid w:val="00AC128B"/>
    <w:rsid w:val="00AC20DF"/>
    <w:rsid w:val="00AC3694"/>
    <w:rsid w:val="00AC57E7"/>
    <w:rsid w:val="00AE3D47"/>
    <w:rsid w:val="00AE7A8C"/>
    <w:rsid w:val="00AF0A52"/>
    <w:rsid w:val="00AF6B0B"/>
    <w:rsid w:val="00AF6B71"/>
    <w:rsid w:val="00B008DC"/>
    <w:rsid w:val="00B0484E"/>
    <w:rsid w:val="00B14E29"/>
    <w:rsid w:val="00B240D8"/>
    <w:rsid w:val="00B2515A"/>
    <w:rsid w:val="00B25699"/>
    <w:rsid w:val="00B3409A"/>
    <w:rsid w:val="00B34BA4"/>
    <w:rsid w:val="00B37232"/>
    <w:rsid w:val="00B40CAA"/>
    <w:rsid w:val="00B40D42"/>
    <w:rsid w:val="00B43774"/>
    <w:rsid w:val="00B57304"/>
    <w:rsid w:val="00B623F3"/>
    <w:rsid w:val="00B66619"/>
    <w:rsid w:val="00B70D40"/>
    <w:rsid w:val="00B72184"/>
    <w:rsid w:val="00B7687A"/>
    <w:rsid w:val="00B80E86"/>
    <w:rsid w:val="00B83006"/>
    <w:rsid w:val="00B949E7"/>
    <w:rsid w:val="00B95DD5"/>
    <w:rsid w:val="00BA5487"/>
    <w:rsid w:val="00BB1056"/>
    <w:rsid w:val="00BC3C3E"/>
    <w:rsid w:val="00BC49FB"/>
    <w:rsid w:val="00BD1D4F"/>
    <w:rsid w:val="00BE0AE4"/>
    <w:rsid w:val="00BE630E"/>
    <w:rsid w:val="00C01055"/>
    <w:rsid w:val="00C2013D"/>
    <w:rsid w:val="00C27A69"/>
    <w:rsid w:val="00C45081"/>
    <w:rsid w:val="00C52ED8"/>
    <w:rsid w:val="00C53DC8"/>
    <w:rsid w:val="00C5616D"/>
    <w:rsid w:val="00C5657E"/>
    <w:rsid w:val="00C638DD"/>
    <w:rsid w:val="00C63996"/>
    <w:rsid w:val="00C65BAC"/>
    <w:rsid w:val="00C716CB"/>
    <w:rsid w:val="00C72D17"/>
    <w:rsid w:val="00C7400B"/>
    <w:rsid w:val="00C90D94"/>
    <w:rsid w:val="00C96208"/>
    <w:rsid w:val="00CA3C63"/>
    <w:rsid w:val="00CA4665"/>
    <w:rsid w:val="00CB0E65"/>
    <w:rsid w:val="00CF0134"/>
    <w:rsid w:val="00D002C4"/>
    <w:rsid w:val="00D05F22"/>
    <w:rsid w:val="00D1286A"/>
    <w:rsid w:val="00D12ADB"/>
    <w:rsid w:val="00D30565"/>
    <w:rsid w:val="00D34394"/>
    <w:rsid w:val="00D411CD"/>
    <w:rsid w:val="00D41A08"/>
    <w:rsid w:val="00D44E3D"/>
    <w:rsid w:val="00D5782F"/>
    <w:rsid w:val="00D7643F"/>
    <w:rsid w:val="00D764BC"/>
    <w:rsid w:val="00D810FE"/>
    <w:rsid w:val="00D837E0"/>
    <w:rsid w:val="00D96D66"/>
    <w:rsid w:val="00DA2866"/>
    <w:rsid w:val="00DA6060"/>
    <w:rsid w:val="00DB1DF9"/>
    <w:rsid w:val="00DB3EC8"/>
    <w:rsid w:val="00DB4B1C"/>
    <w:rsid w:val="00DC0ED5"/>
    <w:rsid w:val="00DC4C29"/>
    <w:rsid w:val="00DC5E6D"/>
    <w:rsid w:val="00DC6761"/>
    <w:rsid w:val="00DD00E2"/>
    <w:rsid w:val="00DD2AB1"/>
    <w:rsid w:val="00DD6061"/>
    <w:rsid w:val="00DE19DA"/>
    <w:rsid w:val="00DE264B"/>
    <w:rsid w:val="00DE4EC7"/>
    <w:rsid w:val="00E04D73"/>
    <w:rsid w:val="00E075D1"/>
    <w:rsid w:val="00E14C50"/>
    <w:rsid w:val="00E23ED5"/>
    <w:rsid w:val="00E369B0"/>
    <w:rsid w:val="00E45C58"/>
    <w:rsid w:val="00E56F59"/>
    <w:rsid w:val="00E75BDB"/>
    <w:rsid w:val="00E87406"/>
    <w:rsid w:val="00E8789E"/>
    <w:rsid w:val="00E947DF"/>
    <w:rsid w:val="00E97DD3"/>
    <w:rsid w:val="00EA168E"/>
    <w:rsid w:val="00EC33CB"/>
    <w:rsid w:val="00ED24C5"/>
    <w:rsid w:val="00ED43B6"/>
    <w:rsid w:val="00ED5AF1"/>
    <w:rsid w:val="00EF5D46"/>
    <w:rsid w:val="00F12D7D"/>
    <w:rsid w:val="00F22E7E"/>
    <w:rsid w:val="00F31475"/>
    <w:rsid w:val="00F3607A"/>
    <w:rsid w:val="00F41E2B"/>
    <w:rsid w:val="00F46170"/>
    <w:rsid w:val="00F46D7A"/>
    <w:rsid w:val="00F56299"/>
    <w:rsid w:val="00F640AC"/>
    <w:rsid w:val="00F775F6"/>
    <w:rsid w:val="00F90027"/>
    <w:rsid w:val="00F9050E"/>
    <w:rsid w:val="00FA57F1"/>
    <w:rsid w:val="00FB315B"/>
    <w:rsid w:val="00FB4736"/>
    <w:rsid w:val="00FC29CF"/>
    <w:rsid w:val="00FC3396"/>
    <w:rsid w:val="00FD6026"/>
    <w:rsid w:val="00FE1EC9"/>
    <w:rsid w:val="00FE25E3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25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184"/>
    <w:pPr>
      <w:autoSpaceDE w:val="0"/>
      <w:autoSpaceDN w:val="0"/>
      <w:spacing w:before="120" w:after="120" w:line="240" w:lineRule="auto"/>
      <w:jc w:val="both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466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customStyle="1" w:styleId="Nadpis1Char">
    <w:name w:val="Nadpis 1 Char"/>
    <w:basedOn w:val="Standardnpsmoodstavce"/>
    <w:link w:val="Nadpis1"/>
    <w:uiPriority w:val="9"/>
    <w:rsid w:val="00CA4665"/>
    <w:rPr>
      <w:rFonts w:eastAsiaTheme="majorEastAsia" w:cstheme="majorBidi"/>
      <w:b/>
      <w:bCs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1626A9"/>
    <w:rPr>
      <w:color w:val="808080"/>
    </w:rPr>
  </w:style>
  <w:style w:type="paragraph" w:styleId="Odstavecseseznamem">
    <w:name w:val="List Paragraph"/>
    <w:basedOn w:val="Normln"/>
    <w:uiPriority w:val="34"/>
    <w:qFormat/>
    <w:rsid w:val="006440BE"/>
    <w:pPr>
      <w:autoSpaceDE/>
      <w:autoSpaceDN/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440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0BE"/>
    <w:pPr>
      <w:autoSpaceDE/>
      <w:autoSpaceDN/>
      <w:spacing w:after="160"/>
      <w:jc w:val="left"/>
    </w:pPr>
    <w:rPr>
      <w:rFonts w:eastAsia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0BE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604138"/>
    <w:pPr>
      <w:autoSpaceDE/>
      <w:autoSpaceDN/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0413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604138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D2B"/>
    <w:pPr>
      <w:autoSpaceDE w:val="0"/>
      <w:autoSpaceDN w:val="0"/>
      <w:spacing w:after="0"/>
      <w:jc w:val="both"/>
    </w:pPr>
    <w:rPr>
      <w:rFonts w:eastAsia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D2B"/>
    <w:rPr>
      <w:rFonts w:eastAsia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3CB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F7101"/>
    <w:rPr>
      <w:color w:val="800080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0A1FB1"/>
    <w:pPr>
      <w:autoSpaceDE/>
      <w:autoSpaceDN/>
      <w:spacing w:before="0" w:after="100" w:line="276" w:lineRule="auto"/>
      <w:ind w:left="220"/>
      <w:jc w:val="left"/>
    </w:pPr>
    <w:rPr>
      <w:rFonts w:eastAsiaTheme="minorEastAsia" w:cstheme="minorBidi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A1FB1"/>
    <w:pPr>
      <w:autoSpaceDE/>
      <w:autoSpaceDN/>
      <w:spacing w:before="0" w:after="100" w:line="276" w:lineRule="auto"/>
      <w:ind w:left="440"/>
      <w:jc w:val="left"/>
    </w:pPr>
    <w:rPr>
      <w:rFonts w:eastAsiaTheme="minorEastAsia" w:cstheme="minorBidi"/>
      <w:szCs w:val="22"/>
    </w:rPr>
  </w:style>
  <w:style w:type="character" w:styleId="Siln">
    <w:name w:val="Strong"/>
    <w:basedOn w:val="Standardnpsmoodstavce"/>
    <w:uiPriority w:val="22"/>
    <w:qFormat/>
    <w:rsid w:val="007D35C5"/>
    <w:rPr>
      <w:b/>
      <w:bCs/>
    </w:rPr>
  </w:style>
  <w:style w:type="paragraph" w:customStyle="1" w:styleId="detail-odstavec">
    <w:name w:val="detail-odstavec"/>
    <w:basedOn w:val="Normln"/>
    <w:rsid w:val="00B40CA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B40CAA"/>
    <w:rPr>
      <w:i/>
      <w:iCs/>
    </w:rPr>
  </w:style>
  <w:style w:type="paragraph" w:styleId="Revize">
    <w:name w:val="Revision"/>
    <w:hidden/>
    <w:uiPriority w:val="99"/>
    <w:semiHidden/>
    <w:rsid w:val="00816095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68B6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68B6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168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184"/>
    <w:pPr>
      <w:autoSpaceDE w:val="0"/>
      <w:autoSpaceDN w:val="0"/>
      <w:spacing w:before="120" w:after="120" w:line="240" w:lineRule="auto"/>
      <w:jc w:val="both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466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customStyle="1" w:styleId="Nadpis1Char">
    <w:name w:val="Nadpis 1 Char"/>
    <w:basedOn w:val="Standardnpsmoodstavce"/>
    <w:link w:val="Nadpis1"/>
    <w:uiPriority w:val="9"/>
    <w:rsid w:val="00CA4665"/>
    <w:rPr>
      <w:rFonts w:eastAsiaTheme="majorEastAsia" w:cstheme="majorBidi"/>
      <w:b/>
      <w:bCs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1626A9"/>
    <w:rPr>
      <w:color w:val="808080"/>
    </w:rPr>
  </w:style>
  <w:style w:type="paragraph" w:styleId="Odstavecseseznamem">
    <w:name w:val="List Paragraph"/>
    <w:basedOn w:val="Normln"/>
    <w:uiPriority w:val="34"/>
    <w:qFormat/>
    <w:rsid w:val="006440BE"/>
    <w:pPr>
      <w:autoSpaceDE/>
      <w:autoSpaceDN/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440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0BE"/>
    <w:pPr>
      <w:autoSpaceDE/>
      <w:autoSpaceDN/>
      <w:spacing w:after="160"/>
      <w:jc w:val="left"/>
    </w:pPr>
    <w:rPr>
      <w:rFonts w:eastAsia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0BE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604138"/>
    <w:pPr>
      <w:autoSpaceDE/>
      <w:autoSpaceDN/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0413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604138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D2B"/>
    <w:pPr>
      <w:autoSpaceDE w:val="0"/>
      <w:autoSpaceDN w:val="0"/>
      <w:spacing w:after="0"/>
      <w:jc w:val="both"/>
    </w:pPr>
    <w:rPr>
      <w:rFonts w:eastAsia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D2B"/>
    <w:rPr>
      <w:rFonts w:eastAsia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3CB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F7101"/>
    <w:rPr>
      <w:color w:val="800080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0A1FB1"/>
    <w:pPr>
      <w:autoSpaceDE/>
      <w:autoSpaceDN/>
      <w:spacing w:before="0" w:after="100" w:line="276" w:lineRule="auto"/>
      <w:ind w:left="220"/>
      <w:jc w:val="left"/>
    </w:pPr>
    <w:rPr>
      <w:rFonts w:eastAsiaTheme="minorEastAsia" w:cstheme="minorBidi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A1FB1"/>
    <w:pPr>
      <w:autoSpaceDE/>
      <w:autoSpaceDN/>
      <w:spacing w:before="0" w:after="100" w:line="276" w:lineRule="auto"/>
      <w:ind w:left="440"/>
      <w:jc w:val="left"/>
    </w:pPr>
    <w:rPr>
      <w:rFonts w:eastAsiaTheme="minorEastAsia" w:cstheme="minorBidi"/>
      <w:szCs w:val="22"/>
    </w:rPr>
  </w:style>
  <w:style w:type="character" w:styleId="Siln">
    <w:name w:val="Strong"/>
    <w:basedOn w:val="Standardnpsmoodstavce"/>
    <w:uiPriority w:val="22"/>
    <w:qFormat/>
    <w:rsid w:val="007D35C5"/>
    <w:rPr>
      <w:b/>
      <w:bCs/>
    </w:rPr>
  </w:style>
  <w:style w:type="paragraph" w:customStyle="1" w:styleId="detail-odstavec">
    <w:name w:val="detail-odstavec"/>
    <w:basedOn w:val="Normln"/>
    <w:rsid w:val="00B40CA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B40CAA"/>
    <w:rPr>
      <w:i/>
      <w:iCs/>
    </w:rPr>
  </w:style>
  <w:style w:type="paragraph" w:styleId="Revize">
    <w:name w:val="Revision"/>
    <w:hidden/>
    <w:uiPriority w:val="99"/>
    <w:semiHidden/>
    <w:rsid w:val="00816095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68B6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68B6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16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zakonyprolidi.cz/cs/2003-290" TargetMode="External"/><Relationship Id="rId18" Type="http://schemas.openxmlformats.org/officeDocument/2006/relationships/hyperlink" Target="https://eur-lex.europa.eu/legal-content/CS/TXT/?uri=CELEX%3A32013R1308" TargetMode="External"/><Relationship Id="rId26" Type="http://schemas.openxmlformats.org/officeDocument/2006/relationships/hyperlink" Target="http://eagri.cz/public/web/mze/ministerstvo-zemedelstvi/povinne-zverejnovane-informace/informace-podle-zakona-c-106-1999-sb/poskytnute-informace/poskytnute-informace-na-zadosti-o-87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searchgate.net/publication/333306722_Cannabis_in_Veterinary_Medicine_Cannabinoid_Therapies_for_Animals/link/5d0178b0299bf13a385104fb/download" TargetMode="External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s://www.zakonyprolidi.cz/cs/1999-166" TargetMode="External"/><Relationship Id="rId17" Type="http://schemas.openxmlformats.org/officeDocument/2006/relationships/hyperlink" Target="https://eur-lex.europa.eu/legal-content/CS/TXT/PDF/?uri=CELEX:32013R1307&amp;from=en" TargetMode="External"/><Relationship Id="rId25" Type="http://schemas.openxmlformats.org/officeDocument/2006/relationships/hyperlink" Target="https://www.szpi.gov.cz/clanek/45-2019-poskytnute-informace-pristup-ke-kontrole-technicke-konopi.aspx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yprolidi.cz/cs/1997-252" TargetMode="External"/><Relationship Id="rId20" Type="http://schemas.openxmlformats.org/officeDocument/2006/relationships/hyperlink" Target="https://www.aaha.org/publications/trends-magazine/cannabis-research/" TargetMode="External"/><Relationship Id="rId29" Type="http://schemas.openxmlformats.org/officeDocument/2006/relationships/hyperlink" Target="https://PRAVNIRADCE.IHNED.CZ/c1-66743490-jak-bezpecne-nakladat-s-konopi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szpi.gov.cz/clanek/28-2019-poskytnute-informace-doplnky-stravy-obsah-thc.aspx" TargetMode="External"/><Relationship Id="rId32" Type="http://schemas.openxmlformats.org/officeDocument/2006/relationships/hyperlink" Target="https://PRAVNIRADCE.IHNED.CZ/c1-66771770-pravidla-pro-vyuziti-konopi-v-potravinach-a-v-kosmet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zakonyprolidi.cz/cs/2013-463" TargetMode="External"/><Relationship Id="rId23" Type="http://schemas.openxmlformats.org/officeDocument/2006/relationships/hyperlink" Target="https://www.mzcr.cz/Legislativa/obsah/navykove-latky_1790_11.html" TargetMode="External"/><Relationship Id="rId28" Type="http://schemas.openxmlformats.org/officeDocument/2006/relationships/hyperlink" Target="http://www.mzcr.cz/dokumenty/97/2019-elektronicke-cigarety-_17423_3979_1.html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zcr.cz" TargetMode="External"/><Relationship Id="rId31" Type="http://schemas.openxmlformats.org/officeDocument/2006/relationships/hyperlink" Target="https://PRAVNIRADCE.IHNED.CZ/c1-66759130-role-statnich-instituci-pri-pestovani-konop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zakonyprolidi.cz/cs/1998-167" TargetMode="External"/><Relationship Id="rId22" Type="http://schemas.openxmlformats.org/officeDocument/2006/relationships/hyperlink" Target="https://invma.org/wp-content/uploads/sites/8/2017/09/Silver_Medical-Cannabis-for-Veterinarians-Risks-Benefits.pdf" TargetMode="External"/><Relationship Id="rId27" Type="http://schemas.openxmlformats.org/officeDocument/2006/relationships/hyperlink" Target="http://eagri.cz/public/web/mze/ministerstvo-zemedelstvi/povinne-zverejnovane-informace/informace-podle-zakona-c-106-1999-sb/poskytnute-informace/poskytnute-informace-na-zadosti-o-89.html" TargetMode="External"/><Relationship Id="rId30" Type="http://schemas.openxmlformats.org/officeDocument/2006/relationships/hyperlink" Target="https://PRAVNIRADCE.IHNED.CZ/c1-66759130-role-statnich-instituci-pri-pestovani-konopi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5F68C-5C2E-4004-BDEC-3438426E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3858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Langrová Lenka</cp:lastModifiedBy>
  <cp:revision>15</cp:revision>
  <cp:lastPrinted>2021-02-10T11:42:00Z</cp:lastPrinted>
  <dcterms:created xsi:type="dcterms:W3CDTF">2021-03-18T13:18:00Z</dcterms:created>
  <dcterms:modified xsi:type="dcterms:W3CDTF">2021-03-19T13:51:00Z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