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7CCEB3E5" w:rsidR="00C114FF" w:rsidRPr="00B41D57" w:rsidRDefault="004865A1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Del="004865A1">
        <w:rPr>
          <w:i/>
          <w:color w:val="008000"/>
          <w:szCs w:val="22"/>
        </w:rPr>
        <w:t xml:space="preserve"> </w:t>
      </w: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4F3B9406" w:rsidR="00C114FF" w:rsidRPr="00B41D57" w:rsidRDefault="00A367C5" w:rsidP="00A367C5">
      <w:pPr>
        <w:tabs>
          <w:tab w:val="clear" w:pos="567"/>
          <w:tab w:val="left" w:pos="750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366B0F6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16E8A01E" w:rsidR="00C114FF" w:rsidRPr="00B41D57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5534D8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24DEC" w14:textId="20D850AE" w:rsidR="00690FEC" w:rsidRDefault="00824321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  <w:r w:rsidRPr="00B41D57">
        <w:br w:type="page"/>
      </w:r>
      <w:r w:rsidRPr="00B41D57">
        <w:lastRenderedPageBreak/>
        <w:tab/>
      </w:r>
      <w:r w:rsidR="00690FEC" w:rsidRPr="00B41D57">
        <w:rPr>
          <w:b/>
          <w:szCs w:val="22"/>
        </w:rPr>
        <w:t>SOUHRN ÚDAJŮ O PŘÍPRAVKU</w:t>
      </w:r>
    </w:p>
    <w:p w14:paraId="7FC43BBC" w14:textId="77777777" w:rsidR="00690FEC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A367C5" w:rsidRDefault="00690FEC" w:rsidP="00690FEC">
      <w:pPr>
        <w:pStyle w:val="Style1"/>
      </w:pPr>
      <w:r w:rsidRPr="00A367C5">
        <w:t>1.</w:t>
      </w:r>
      <w:r w:rsidRPr="00A367C5">
        <w:tab/>
        <w:t>NÁZEV VETERINÁRNÍHO LÉČIVÉHO PŘÍPRAVKU</w:t>
      </w:r>
    </w:p>
    <w:p w14:paraId="4A63D913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AD2AADB" w14:textId="496C1EC4" w:rsidR="00DF0593" w:rsidRPr="00A367C5" w:rsidRDefault="00F66321" w:rsidP="00C75A5C">
      <w:pPr>
        <w:tabs>
          <w:tab w:val="clear" w:pos="567"/>
        </w:tabs>
        <w:spacing w:line="240" w:lineRule="auto"/>
        <w:jc w:val="both"/>
      </w:pPr>
      <w:proofErr w:type="spellStart"/>
      <w:r w:rsidRPr="00A367C5">
        <w:rPr>
          <w:szCs w:val="22"/>
        </w:rPr>
        <w:t>A</w:t>
      </w:r>
      <w:r w:rsidR="001805D3" w:rsidRPr="00A367C5">
        <w:rPr>
          <w:szCs w:val="22"/>
        </w:rPr>
        <w:t>agent</w:t>
      </w:r>
      <w:proofErr w:type="spellEnd"/>
      <w:r w:rsidRPr="00A367C5">
        <w:rPr>
          <w:szCs w:val="22"/>
        </w:rPr>
        <w:t xml:space="preserve"> 50 mg/ml injekční roztok</w:t>
      </w:r>
      <w:r w:rsidR="006E2A97" w:rsidRPr="00A367C5">
        <w:rPr>
          <w:szCs w:val="22"/>
        </w:rPr>
        <w:t xml:space="preserve"> </w:t>
      </w:r>
      <w:r w:rsidR="006E2A97" w:rsidRPr="00A367C5">
        <w:t>pro telata skotu</w:t>
      </w:r>
      <w:r w:rsidR="003C01D9" w:rsidRPr="00A367C5">
        <w:t>,</w:t>
      </w:r>
      <w:r w:rsidR="00E969C1" w:rsidRPr="00A367C5">
        <w:t xml:space="preserve"> </w:t>
      </w:r>
      <w:r w:rsidR="006E2A97" w:rsidRPr="00A367C5">
        <w:t xml:space="preserve">selata </w:t>
      </w:r>
      <w:r w:rsidR="00E969C1" w:rsidRPr="00A367C5">
        <w:rPr>
          <w:szCs w:val="22"/>
        </w:rPr>
        <w:t>a k</w:t>
      </w:r>
      <w:r w:rsidR="00E969C1" w:rsidRPr="00A367C5">
        <w:t xml:space="preserve">oně </w:t>
      </w:r>
    </w:p>
    <w:p w14:paraId="3764226F" w14:textId="1F5D1442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0DEFC32" w14:textId="77777777" w:rsidR="00CB16B6" w:rsidRPr="00A367C5" w:rsidRDefault="00CB16B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A367C5" w:rsidRDefault="00690FEC" w:rsidP="00690FEC">
      <w:pPr>
        <w:pStyle w:val="Style1"/>
      </w:pPr>
      <w:r w:rsidRPr="00A367C5">
        <w:t>2.</w:t>
      </w:r>
      <w:r w:rsidRPr="00A367C5">
        <w:tab/>
        <w:t>KVALITATIVNÍ A KVANTITATIVNÍ SLOŽENÍ</w:t>
      </w:r>
    </w:p>
    <w:p w14:paraId="1F86031A" w14:textId="77777777" w:rsidR="00500226" w:rsidRPr="00A367C5" w:rsidRDefault="00500226" w:rsidP="00500226">
      <w:pPr>
        <w:tabs>
          <w:tab w:val="clear" w:pos="567"/>
        </w:tabs>
        <w:spacing w:line="240" w:lineRule="auto"/>
        <w:rPr>
          <w:szCs w:val="22"/>
        </w:rPr>
      </w:pPr>
    </w:p>
    <w:p w14:paraId="7A84A411" w14:textId="2B839F7B" w:rsidR="00F66321" w:rsidRPr="00A367C5" w:rsidRDefault="001805D3" w:rsidP="00F66321">
      <w:r w:rsidRPr="00A367C5">
        <w:t xml:space="preserve">Každý </w:t>
      </w:r>
      <w:r w:rsidR="00F66321" w:rsidRPr="00A367C5">
        <w:t>ml obsahuje:</w:t>
      </w:r>
    </w:p>
    <w:p w14:paraId="0A0A5651" w14:textId="77777777" w:rsidR="00DF0593" w:rsidRPr="00A367C5" w:rsidRDefault="00DF0593" w:rsidP="00F66321"/>
    <w:p w14:paraId="4D9712BE" w14:textId="77777777" w:rsidR="00F66321" w:rsidRPr="00A367C5" w:rsidRDefault="00F66321" w:rsidP="00F66321">
      <w:r w:rsidRPr="00A367C5">
        <w:rPr>
          <w:b/>
          <w:bCs/>
        </w:rPr>
        <w:t>Léčivá látka</w:t>
      </w:r>
      <w:r w:rsidRPr="00A367C5">
        <w:t>:</w:t>
      </w:r>
    </w:p>
    <w:p w14:paraId="37B6D286" w14:textId="5B01978F" w:rsidR="00F66321" w:rsidRPr="00A367C5" w:rsidRDefault="00DF0593" w:rsidP="00F66321">
      <w:proofErr w:type="spellStart"/>
      <w:r w:rsidRPr="00A367C5">
        <w:t>Gentamicinum</w:t>
      </w:r>
      <w:proofErr w:type="spellEnd"/>
      <w:r w:rsidRPr="00A367C5">
        <w:t xml:space="preserve"> (</w:t>
      </w:r>
      <w:proofErr w:type="spellStart"/>
      <w:r w:rsidRPr="00A367C5">
        <w:t>ut</w:t>
      </w:r>
      <w:proofErr w:type="spellEnd"/>
      <w:r w:rsidRPr="00A367C5">
        <w:t xml:space="preserve"> </w:t>
      </w:r>
      <w:proofErr w:type="spellStart"/>
      <w:r w:rsidRPr="00A367C5">
        <w:t>gentamicini</w:t>
      </w:r>
      <w:proofErr w:type="spellEnd"/>
      <w:r w:rsidRPr="00A367C5">
        <w:t xml:space="preserve"> </w:t>
      </w:r>
      <w:proofErr w:type="spellStart"/>
      <w:proofErr w:type="gramStart"/>
      <w:r w:rsidRPr="00A367C5">
        <w:t>sulfas</w:t>
      </w:r>
      <w:proofErr w:type="spellEnd"/>
      <w:r w:rsidRPr="00A367C5">
        <w:t xml:space="preserve">)   </w:t>
      </w:r>
      <w:proofErr w:type="gramEnd"/>
      <w:r w:rsidRPr="00A367C5">
        <w:t xml:space="preserve">     </w:t>
      </w:r>
      <w:r w:rsidR="00F66321" w:rsidRPr="00A367C5">
        <w:t xml:space="preserve">50,0 mg                                 </w:t>
      </w:r>
    </w:p>
    <w:p w14:paraId="2263AEAB" w14:textId="09CC195A" w:rsidR="00690FEC" w:rsidRPr="00A367C5" w:rsidRDefault="00F66321" w:rsidP="00713706">
      <w:pPr>
        <w:rPr>
          <w:szCs w:val="22"/>
        </w:rPr>
      </w:pPr>
      <w:r w:rsidRPr="00A367C5">
        <w:rPr>
          <w:b/>
          <w:bCs/>
        </w:rPr>
        <w:tab/>
      </w:r>
      <w:r w:rsidRPr="00A367C5">
        <w:rPr>
          <w:b/>
          <w:bCs/>
        </w:rPr>
        <w:tab/>
      </w:r>
      <w:r w:rsidRPr="00A367C5">
        <w:rPr>
          <w:b/>
          <w:bCs/>
        </w:rPr>
        <w:tab/>
      </w:r>
      <w:r w:rsidRPr="00A367C5">
        <w:t xml:space="preserve">  </w:t>
      </w:r>
      <w:r w:rsidRPr="00A367C5">
        <w:tab/>
      </w:r>
      <w:r w:rsidRPr="00A367C5">
        <w:tab/>
      </w:r>
      <w:r w:rsidRPr="00A367C5">
        <w:tab/>
      </w:r>
      <w:r w:rsidRPr="00A367C5">
        <w:tab/>
        <w:t xml:space="preserve">                                                                     </w:t>
      </w:r>
    </w:p>
    <w:p w14:paraId="1734898B" w14:textId="672032E5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A367C5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90FEC" w:rsidRPr="00A367C5" w14:paraId="5D2F2521" w14:textId="77777777" w:rsidTr="005C625A">
        <w:tc>
          <w:tcPr>
            <w:tcW w:w="4530" w:type="dxa"/>
            <w:shd w:val="clear" w:color="auto" w:fill="auto"/>
            <w:vAlign w:val="center"/>
          </w:tcPr>
          <w:p w14:paraId="558D555D" w14:textId="77777777" w:rsidR="00690FEC" w:rsidRPr="00A367C5" w:rsidRDefault="00690FEC" w:rsidP="006E2A9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367C5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10AFA5" w14:textId="77777777" w:rsidR="00690FEC" w:rsidRPr="00A367C5" w:rsidRDefault="00690FEC" w:rsidP="006E2A9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A367C5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90FEC" w:rsidRPr="00A367C5" w14:paraId="0CAE5920" w14:textId="77777777" w:rsidTr="005C625A">
        <w:tc>
          <w:tcPr>
            <w:tcW w:w="4530" w:type="dxa"/>
            <w:shd w:val="clear" w:color="auto" w:fill="auto"/>
            <w:vAlign w:val="center"/>
          </w:tcPr>
          <w:p w14:paraId="74B05B2C" w14:textId="207028F7" w:rsidR="00690FEC" w:rsidRPr="00A367C5" w:rsidRDefault="005C625A" w:rsidP="006E2A97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0" w:name="_Hlk169111561"/>
            <w:proofErr w:type="spellStart"/>
            <w:r w:rsidRPr="00A367C5">
              <w:t>Methylparaben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2CA68E50" w14:textId="2267B950" w:rsidR="00690FEC" w:rsidRPr="00A367C5" w:rsidRDefault="005C625A" w:rsidP="006E2A97">
            <w:pPr>
              <w:spacing w:before="60" w:after="60"/>
              <w:rPr>
                <w:iCs/>
                <w:szCs w:val="22"/>
              </w:rPr>
            </w:pPr>
            <w:r w:rsidRPr="00A367C5">
              <w:t>1,8 mg</w:t>
            </w:r>
          </w:p>
        </w:tc>
      </w:tr>
      <w:tr w:rsidR="00690FEC" w:rsidRPr="00A367C5" w14:paraId="0A5C1E96" w14:textId="77777777" w:rsidTr="005C625A">
        <w:tc>
          <w:tcPr>
            <w:tcW w:w="4530" w:type="dxa"/>
            <w:shd w:val="clear" w:color="auto" w:fill="auto"/>
            <w:vAlign w:val="center"/>
          </w:tcPr>
          <w:p w14:paraId="179DCDBC" w14:textId="2BA95AA7" w:rsidR="00690FEC" w:rsidRPr="00A367C5" w:rsidRDefault="005C625A" w:rsidP="006E2A97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A367C5">
              <w:t>Propylparaben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1BEA661D" w14:textId="43C0E0ED" w:rsidR="00690FEC" w:rsidRPr="00A367C5" w:rsidRDefault="005C625A" w:rsidP="006E2A97">
            <w:pPr>
              <w:spacing w:before="60" w:after="60"/>
              <w:rPr>
                <w:iCs/>
                <w:szCs w:val="22"/>
              </w:rPr>
            </w:pPr>
            <w:r w:rsidRPr="00A367C5">
              <w:t>0,2 mg</w:t>
            </w:r>
          </w:p>
        </w:tc>
      </w:tr>
      <w:tr w:rsidR="0058513F" w:rsidRPr="00A367C5" w14:paraId="123446EE" w14:textId="77777777" w:rsidTr="005C625A">
        <w:tc>
          <w:tcPr>
            <w:tcW w:w="4530" w:type="dxa"/>
            <w:shd w:val="clear" w:color="auto" w:fill="auto"/>
            <w:vAlign w:val="center"/>
          </w:tcPr>
          <w:p w14:paraId="7E5B9842" w14:textId="273E67C3" w:rsidR="0058513F" w:rsidRPr="00A367C5" w:rsidRDefault="0058513F" w:rsidP="006E2A97">
            <w:pPr>
              <w:spacing w:before="60" w:after="60"/>
              <w:ind w:left="567" w:hanging="567"/>
            </w:pPr>
            <w:proofErr w:type="spellStart"/>
            <w:r w:rsidRPr="00A367C5">
              <w:t>Disiřičitan</w:t>
            </w:r>
            <w:proofErr w:type="spellEnd"/>
            <w:r w:rsidRPr="00A367C5">
              <w:t xml:space="preserve"> sodný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ED070D" w14:textId="77777777" w:rsidR="0058513F" w:rsidRPr="00A367C5" w:rsidRDefault="0058513F" w:rsidP="006E2A97">
            <w:pPr>
              <w:spacing w:before="60" w:after="60"/>
            </w:pPr>
          </w:p>
        </w:tc>
      </w:tr>
      <w:tr w:rsidR="0058513F" w:rsidRPr="00A367C5" w14:paraId="0FF77361" w14:textId="77777777" w:rsidTr="005C625A">
        <w:tc>
          <w:tcPr>
            <w:tcW w:w="4530" w:type="dxa"/>
            <w:shd w:val="clear" w:color="auto" w:fill="auto"/>
            <w:vAlign w:val="center"/>
          </w:tcPr>
          <w:p w14:paraId="06DF59B4" w14:textId="241BA832" w:rsidR="0058513F" w:rsidRPr="00A367C5" w:rsidRDefault="0058513F" w:rsidP="006E2A97">
            <w:pPr>
              <w:spacing w:before="60" w:after="60"/>
              <w:ind w:left="567" w:hanging="567"/>
            </w:pPr>
            <w:proofErr w:type="spellStart"/>
            <w:r w:rsidRPr="00A367C5">
              <w:t>Dinatrium-edetát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41811460" w14:textId="77777777" w:rsidR="0058513F" w:rsidRPr="00A367C5" w:rsidRDefault="0058513F" w:rsidP="006E2A97">
            <w:pPr>
              <w:spacing w:before="60" w:after="60"/>
            </w:pPr>
          </w:p>
        </w:tc>
      </w:tr>
      <w:tr w:rsidR="0058513F" w:rsidRPr="00A367C5" w14:paraId="7D62B1B1" w14:textId="77777777" w:rsidTr="005C625A">
        <w:tc>
          <w:tcPr>
            <w:tcW w:w="4530" w:type="dxa"/>
            <w:shd w:val="clear" w:color="auto" w:fill="auto"/>
            <w:vAlign w:val="center"/>
          </w:tcPr>
          <w:p w14:paraId="3D833BF3" w14:textId="594D7540" w:rsidR="0058513F" w:rsidRPr="00A367C5" w:rsidRDefault="0058513F" w:rsidP="0058513F">
            <w:pPr>
              <w:spacing w:before="60" w:after="60"/>
              <w:ind w:left="567" w:hanging="567"/>
            </w:pPr>
            <w:r w:rsidRPr="00A367C5">
              <w:t xml:space="preserve">Voda </w:t>
            </w:r>
            <w:r w:rsidR="00DF0593" w:rsidRPr="00A367C5">
              <w:t>pro</w:t>
            </w:r>
            <w:r w:rsidRPr="00A367C5">
              <w:t xml:space="preserve">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E9FA3FA" w14:textId="77777777" w:rsidR="0058513F" w:rsidRPr="00A367C5" w:rsidRDefault="0058513F" w:rsidP="006E2A97">
            <w:pPr>
              <w:spacing w:before="60" w:after="60"/>
            </w:pPr>
          </w:p>
        </w:tc>
      </w:tr>
      <w:bookmarkEnd w:id="0"/>
    </w:tbl>
    <w:p w14:paraId="3AA1F88E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D1D475F" w14:textId="7EE4DBF1" w:rsidR="00690FEC" w:rsidRPr="00A367C5" w:rsidRDefault="00F66321" w:rsidP="00713706">
      <w:pPr>
        <w:rPr>
          <w:szCs w:val="22"/>
        </w:rPr>
      </w:pPr>
      <w:r w:rsidRPr="00A367C5">
        <w:t>Čirý bezbarvý nebo slabě nažloutlý roztok.</w:t>
      </w:r>
    </w:p>
    <w:p w14:paraId="2AD71FA5" w14:textId="3626439F" w:rsidR="00CB16B6" w:rsidRPr="00A367C5" w:rsidRDefault="00CB16B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4FD0BA4" w14:textId="77777777" w:rsidR="005211E5" w:rsidRPr="00A367C5" w:rsidRDefault="005211E5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A367C5" w:rsidRDefault="00690FEC" w:rsidP="00690FEC">
      <w:pPr>
        <w:pStyle w:val="Style1"/>
      </w:pPr>
      <w:r w:rsidRPr="00A367C5">
        <w:t>3.</w:t>
      </w:r>
      <w:r w:rsidRPr="00A367C5">
        <w:tab/>
        <w:t>KLINICKÉ INFORMACE</w:t>
      </w:r>
    </w:p>
    <w:p w14:paraId="2EEB2556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A367C5" w:rsidRDefault="00690FEC" w:rsidP="00690FEC">
      <w:pPr>
        <w:pStyle w:val="Style1"/>
      </w:pPr>
      <w:r w:rsidRPr="00A367C5">
        <w:t>3.1</w:t>
      </w:r>
      <w:r w:rsidRPr="00A367C5">
        <w:tab/>
        <w:t>Cílové druhy zvířat</w:t>
      </w:r>
    </w:p>
    <w:p w14:paraId="4F57C519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8B7E4B3" w14:textId="4E8A4BB9" w:rsidR="00690FEC" w:rsidRPr="00A367C5" w:rsidRDefault="003C01D9" w:rsidP="000E0FB7">
      <w:pPr>
        <w:pStyle w:val="Style1"/>
        <w:rPr>
          <w:b w:val="0"/>
        </w:rPr>
      </w:pPr>
      <w:bookmarkStart w:id="1" w:name="_Hlk173534208"/>
      <w:r w:rsidRPr="00A367C5">
        <w:rPr>
          <w:b w:val="0"/>
        </w:rPr>
        <w:t>S</w:t>
      </w:r>
      <w:r w:rsidR="00F66321" w:rsidRPr="00A367C5">
        <w:rPr>
          <w:b w:val="0"/>
        </w:rPr>
        <w:t xml:space="preserve">kot </w:t>
      </w:r>
      <w:r w:rsidRPr="00A367C5">
        <w:rPr>
          <w:b w:val="0"/>
        </w:rPr>
        <w:t>(telata v prvním měsíci života), prasata (</w:t>
      </w:r>
      <w:r w:rsidR="00F66321" w:rsidRPr="00A367C5">
        <w:rPr>
          <w:b w:val="0"/>
        </w:rPr>
        <w:t>selata v prvním měsíci života</w:t>
      </w:r>
      <w:r w:rsidRPr="00A367C5">
        <w:rPr>
          <w:b w:val="0"/>
        </w:rPr>
        <w:t>)</w:t>
      </w:r>
      <w:r w:rsidR="000E0FB7" w:rsidRPr="00A367C5">
        <w:rPr>
          <w:b w:val="0"/>
        </w:rPr>
        <w:t>, k</w:t>
      </w:r>
      <w:r w:rsidR="00F66321" w:rsidRPr="00A367C5">
        <w:rPr>
          <w:b w:val="0"/>
        </w:rPr>
        <w:t>oně</w:t>
      </w:r>
    </w:p>
    <w:bookmarkEnd w:id="1"/>
    <w:p w14:paraId="3754DD2F" w14:textId="77777777" w:rsidR="00F66321" w:rsidRPr="00A367C5" w:rsidRDefault="00F66321" w:rsidP="00F66321">
      <w:pPr>
        <w:pStyle w:val="Style1"/>
      </w:pPr>
    </w:p>
    <w:p w14:paraId="41CD94F3" w14:textId="77777777" w:rsidR="00690FEC" w:rsidRPr="00A367C5" w:rsidRDefault="00690FEC" w:rsidP="00690FEC">
      <w:pPr>
        <w:pStyle w:val="Style1"/>
      </w:pPr>
      <w:r w:rsidRPr="00A367C5">
        <w:t>3.2</w:t>
      </w:r>
      <w:r w:rsidRPr="00A367C5">
        <w:tab/>
        <w:t>Indikace pro použití pro každý cílový druh zvířat</w:t>
      </w:r>
    </w:p>
    <w:p w14:paraId="06D7F3BD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FC3BBDC" w14:textId="11EAF1F8" w:rsidR="00E547B6" w:rsidRPr="00A367C5" w:rsidRDefault="00E547B6" w:rsidP="00E547B6">
      <w:pPr>
        <w:pStyle w:val="Style1"/>
        <w:rPr>
          <w:b w:val="0"/>
        </w:rPr>
      </w:pPr>
      <w:r w:rsidRPr="00A367C5">
        <w:rPr>
          <w:b w:val="0"/>
        </w:rPr>
        <w:t>Telata skotu a selata v prvním měsíci života:</w:t>
      </w:r>
    </w:p>
    <w:p w14:paraId="29D3CF80" w14:textId="77777777" w:rsidR="00E547B6" w:rsidRPr="00A367C5" w:rsidRDefault="00E547B6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CED3D3" w14:textId="49BA8A26" w:rsidR="00F66321" w:rsidRPr="00A367C5" w:rsidRDefault="00F66321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Gentamicin je indikován k léčbě infekčních onemocnění </w:t>
      </w:r>
      <w:r w:rsidR="001A0810">
        <w:rPr>
          <w:szCs w:val="22"/>
        </w:rPr>
        <w:t xml:space="preserve">vyvolaných </w:t>
      </w:r>
      <w:proofErr w:type="spellStart"/>
      <w:r w:rsidRPr="00A367C5">
        <w:rPr>
          <w:szCs w:val="22"/>
        </w:rPr>
        <w:t>grampozitivními</w:t>
      </w:r>
      <w:proofErr w:type="spellEnd"/>
      <w:r w:rsidRPr="00A367C5">
        <w:rPr>
          <w:szCs w:val="22"/>
        </w:rPr>
        <w:t xml:space="preserve"> (</w:t>
      </w:r>
      <w:proofErr w:type="spellStart"/>
      <w:r w:rsidRPr="00A367C5">
        <w:rPr>
          <w:i/>
          <w:iCs/>
          <w:szCs w:val="22"/>
        </w:rPr>
        <w:t>Staphylococcus</w:t>
      </w:r>
      <w:proofErr w:type="spellEnd"/>
      <w:r w:rsidRPr="00A367C5">
        <w:rPr>
          <w:szCs w:val="22"/>
        </w:rPr>
        <w:t xml:space="preserve"> </w:t>
      </w:r>
      <w:proofErr w:type="spellStart"/>
      <w:r w:rsidRPr="00A367C5">
        <w:rPr>
          <w:szCs w:val="22"/>
        </w:rPr>
        <w:t>spp</w:t>
      </w:r>
      <w:proofErr w:type="spellEnd"/>
      <w:r w:rsidRPr="00A367C5">
        <w:rPr>
          <w:szCs w:val="22"/>
        </w:rPr>
        <w:t xml:space="preserve">., vybrané </w:t>
      </w:r>
      <w:r w:rsidRPr="00A367C5">
        <w:rPr>
          <w:i/>
          <w:iCs/>
          <w:szCs w:val="22"/>
        </w:rPr>
        <w:t>Streptococcus</w:t>
      </w:r>
      <w:r w:rsidRPr="00A367C5">
        <w:rPr>
          <w:szCs w:val="22"/>
        </w:rPr>
        <w:t xml:space="preserve"> spp.) a obzvláště gramnegativními bakteriemi (</w:t>
      </w:r>
      <w:r w:rsidRPr="00A367C5">
        <w:rPr>
          <w:i/>
          <w:iCs/>
          <w:szCs w:val="22"/>
        </w:rPr>
        <w:t>Escherichia coli</w:t>
      </w:r>
      <w:r w:rsidRPr="00A367C5">
        <w:rPr>
          <w:szCs w:val="22"/>
        </w:rPr>
        <w:t xml:space="preserve">, </w:t>
      </w:r>
      <w:r w:rsidRPr="00A367C5">
        <w:rPr>
          <w:i/>
          <w:iCs/>
          <w:szCs w:val="22"/>
        </w:rPr>
        <w:t xml:space="preserve">Proteus </w:t>
      </w:r>
      <w:r w:rsidRPr="00A367C5">
        <w:rPr>
          <w:szCs w:val="22"/>
        </w:rPr>
        <w:t xml:space="preserve">spp., </w:t>
      </w:r>
      <w:r w:rsidRPr="00A367C5">
        <w:rPr>
          <w:i/>
          <w:iCs/>
          <w:szCs w:val="22"/>
        </w:rPr>
        <w:t>Pseudomonas</w:t>
      </w:r>
      <w:r w:rsidRPr="00A367C5">
        <w:rPr>
          <w:szCs w:val="22"/>
        </w:rPr>
        <w:t xml:space="preserve"> spp., </w:t>
      </w:r>
      <w:r w:rsidRPr="00A367C5">
        <w:rPr>
          <w:i/>
          <w:iCs/>
          <w:szCs w:val="22"/>
        </w:rPr>
        <w:t>Salmonella</w:t>
      </w:r>
      <w:r w:rsidRPr="00A367C5">
        <w:rPr>
          <w:szCs w:val="22"/>
        </w:rPr>
        <w:t xml:space="preserve"> spp., </w:t>
      </w:r>
      <w:r w:rsidRPr="00A367C5">
        <w:rPr>
          <w:i/>
          <w:iCs/>
          <w:szCs w:val="22"/>
        </w:rPr>
        <w:t>Shigella</w:t>
      </w:r>
      <w:r w:rsidRPr="00A367C5">
        <w:rPr>
          <w:szCs w:val="22"/>
        </w:rPr>
        <w:t xml:space="preserve"> spp.) citlivými ke gentamicinu, a to i tehdy, vyskytnou-li se sekundárně při virových infekcích. U telat a selat se zejména jedná o infekce:</w:t>
      </w:r>
    </w:p>
    <w:p w14:paraId="7DA1287B" w14:textId="77777777" w:rsidR="00F66321" w:rsidRPr="00A367C5" w:rsidRDefault="00F66321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•</w:t>
      </w:r>
      <w:r w:rsidRPr="00A367C5">
        <w:rPr>
          <w:szCs w:val="22"/>
        </w:rPr>
        <w:tab/>
        <w:t>zažívacího traktu (bakteriální enteritis, kolibacilóza mláďat),</w:t>
      </w:r>
    </w:p>
    <w:p w14:paraId="2A9AE6EE" w14:textId="77777777" w:rsidR="00F66321" w:rsidRPr="00A367C5" w:rsidRDefault="00F66321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•</w:t>
      </w:r>
      <w:r w:rsidRPr="00A367C5">
        <w:rPr>
          <w:szCs w:val="22"/>
        </w:rPr>
        <w:tab/>
        <w:t>respiračního traktu (bronchopneumonie, pneumonie),</w:t>
      </w:r>
    </w:p>
    <w:p w14:paraId="1399EFD6" w14:textId="77777777" w:rsidR="00F66321" w:rsidRPr="00A367C5" w:rsidRDefault="00F66321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•</w:t>
      </w:r>
      <w:r w:rsidRPr="00A367C5">
        <w:rPr>
          <w:szCs w:val="22"/>
        </w:rPr>
        <w:tab/>
        <w:t>infekce kůže (pyodermie, abscesy a septická poranění),</w:t>
      </w:r>
    </w:p>
    <w:p w14:paraId="1392A123" w14:textId="77777777" w:rsidR="00F66321" w:rsidRPr="00A367C5" w:rsidRDefault="00F66321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•</w:t>
      </w:r>
      <w:r w:rsidRPr="00A367C5">
        <w:rPr>
          <w:szCs w:val="22"/>
        </w:rPr>
        <w:tab/>
        <w:t>sepse.</w:t>
      </w:r>
    </w:p>
    <w:p w14:paraId="7493DCFA" w14:textId="77777777" w:rsidR="00AE6AA7" w:rsidRPr="00A367C5" w:rsidRDefault="00AE6AA7" w:rsidP="00E547B6">
      <w:pPr>
        <w:pStyle w:val="Style1"/>
        <w:rPr>
          <w:b w:val="0"/>
        </w:rPr>
      </w:pPr>
    </w:p>
    <w:p w14:paraId="51B6DF6D" w14:textId="5C5901D8" w:rsidR="00E547B6" w:rsidRPr="00A367C5" w:rsidRDefault="00E547B6" w:rsidP="00E547B6">
      <w:pPr>
        <w:pStyle w:val="Style1"/>
        <w:rPr>
          <w:b w:val="0"/>
        </w:rPr>
      </w:pPr>
      <w:r w:rsidRPr="00A367C5">
        <w:rPr>
          <w:b w:val="0"/>
        </w:rPr>
        <w:t>Koně:</w:t>
      </w:r>
    </w:p>
    <w:p w14:paraId="0A25F7B0" w14:textId="77777777" w:rsidR="00E547B6" w:rsidRPr="00A367C5" w:rsidRDefault="00E547B6" w:rsidP="00E547B6">
      <w:pPr>
        <w:pStyle w:val="Style1"/>
        <w:rPr>
          <w:b w:val="0"/>
        </w:rPr>
      </w:pPr>
    </w:p>
    <w:p w14:paraId="2D02902B" w14:textId="0496DE3A" w:rsidR="00690FEC" w:rsidRPr="00A367C5" w:rsidRDefault="00F66321" w:rsidP="00BA7AD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U koní je gentamicin indikován k léčbě infekcí dolních cest dýchacích způsobených aerobními gramnegativními bakteriemi citlivými ke gentamicinu.</w:t>
      </w:r>
    </w:p>
    <w:p w14:paraId="79104E54" w14:textId="26A4C145" w:rsidR="00CB16B6" w:rsidRPr="00A367C5" w:rsidRDefault="00CB16B6" w:rsidP="00F66321">
      <w:pPr>
        <w:tabs>
          <w:tab w:val="clear" w:pos="567"/>
        </w:tabs>
        <w:spacing w:line="240" w:lineRule="auto"/>
        <w:rPr>
          <w:szCs w:val="22"/>
        </w:rPr>
      </w:pPr>
    </w:p>
    <w:p w14:paraId="6D62F717" w14:textId="77777777" w:rsidR="00713706" w:rsidRPr="00A367C5" w:rsidRDefault="00713706" w:rsidP="00F66321">
      <w:pPr>
        <w:tabs>
          <w:tab w:val="clear" w:pos="567"/>
        </w:tabs>
        <w:spacing w:line="240" w:lineRule="auto"/>
        <w:rPr>
          <w:szCs w:val="22"/>
        </w:rPr>
      </w:pPr>
    </w:p>
    <w:p w14:paraId="56619D08" w14:textId="77777777" w:rsidR="00690FEC" w:rsidRPr="00A367C5" w:rsidRDefault="00690FEC" w:rsidP="00690FEC">
      <w:pPr>
        <w:pStyle w:val="Style1"/>
      </w:pPr>
      <w:r w:rsidRPr="00A367C5">
        <w:t>3.3</w:t>
      </w:r>
      <w:r w:rsidRPr="00A367C5">
        <w:tab/>
        <w:t>Kontraindikace</w:t>
      </w:r>
    </w:p>
    <w:p w14:paraId="79D22CD2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8E4CD6" w14:textId="1452ABB3" w:rsidR="00F66321" w:rsidRPr="00A367C5" w:rsidRDefault="00F66321" w:rsidP="00F66321">
      <w:pPr>
        <w:jc w:val="both"/>
      </w:pPr>
      <w:r w:rsidRPr="00A367C5">
        <w:lastRenderedPageBreak/>
        <w:t>Nepoužívat v případ</w:t>
      </w:r>
      <w:r w:rsidR="00AE6AA7" w:rsidRPr="00A367C5">
        <w:t>ech</w:t>
      </w:r>
      <w:r w:rsidRPr="00A367C5">
        <w:t xml:space="preserve"> přecitlivělosti na léčivou látku nebo na některou z pomocných látek. </w:t>
      </w:r>
    </w:p>
    <w:p w14:paraId="45268BED" w14:textId="746B05C0" w:rsidR="00F66321" w:rsidRPr="00A367C5" w:rsidRDefault="00F66321" w:rsidP="00F66321">
      <w:pPr>
        <w:jc w:val="both"/>
      </w:pPr>
      <w:r w:rsidRPr="00A367C5">
        <w:t xml:space="preserve">Nepoužívat u známých případů dysfunkce ledvin. </w:t>
      </w:r>
    </w:p>
    <w:p w14:paraId="72D2E94C" w14:textId="77777777" w:rsidR="00F66321" w:rsidRPr="00A367C5" w:rsidRDefault="00F66321" w:rsidP="00F66321">
      <w:pPr>
        <w:jc w:val="both"/>
      </w:pPr>
      <w:r w:rsidRPr="00A367C5">
        <w:t>Nepřekračovat navržený režim dávkování.</w:t>
      </w:r>
    </w:p>
    <w:p w14:paraId="30881E86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A367C5" w:rsidRDefault="00690FEC" w:rsidP="00690FEC">
      <w:pPr>
        <w:pStyle w:val="Style1"/>
      </w:pPr>
      <w:r w:rsidRPr="00A367C5">
        <w:t>3.4</w:t>
      </w:r>
      <w:r w:rsidRPr="00A367C5">
        <w:tab/>
        <w:t>Zvláštní upozornění</w:t>
      </w:r>
    </w:p>
    <w:p w14:paraId="55457A6B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30A7935" w14:textId="43F6E008" w:rsidR="00690FEC" w:rsidRPr="00A367C5" w:rsidRDefault="00F66321" w:rsidP="00690FEC">
      <w:pPr>
        <w:tabs>
          <w:tab w:val="clear" w:pos="567"/>
        </w:tabs>
        <w:spacing w:line="240" w:lineRule="auto"/>
      </w:pPr>
      <w:r w:rsidRPr="00A367C5">
        <w:t>U telat a selat použít výlučně v prvním měsíci života.</w:t>
      </w:r>
    </w:p>
    <w:p w14:paraId="2877AF8C" w14:textId="77777777" w:rsidR="00F66321" w:rsidRPr="00A367C5" w:rsidRDefault="00F66321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D89396" w14:textId="77777777" w:rsidR="00690FEC" w:rsidRPr="00A367C5" w:rsidRDefault="00690FEC" w:rsidP="00690FEC">
      <w:pPr>
        <w:pStyle w:val="Style1"/>
      </w:pPr>
      <w:r w:rsidRPr="00A367C5">
        <w:t>3.5</w:t>
      </w:r>
      <w:r w:rsidRPr="00A367C5">
        <w:tab/>
        <w:t>Zvláštní opatření pro použití</w:t>
      </w:r>
    </w:p>
    <w:p w14:paraId="66A2B736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367C5">
        <w:rPr>
          <w:szCs w:val="22"/>
          <w:u w:val="single"/>
        </w:rPr>
        <w:t>Zvláštní opatření pro bezpečné použití u cílových druhů zvířat:</w:t>
      </w:r>
    </w:p>
    <w:p w14:paraId="4FA41BE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84E9714" w14:textId="49F71C57" w:rsidR="00F66321" w:rsidRPr="00A367C5" w:rsidRDefault="00F66321" w:rsidP="00F66321">
      <w:pPr>
        <w:tabs>
          <w:tab w:val="clear" w:pos="567"/>
        </w:tabs>
        <w:spacing w:line="240" w:lineRule="auto"/>
        <w:rPr>
          <w:szCs w:val="22"/>
        </w:rPr>
      </w:pPr>
      <w:r w:rsidRPr="00A367C5">
        <w:rPr>
          <w:szCs w:val="22"/>
        </w:rPr>
        <w:t>Koně:</w:t>
      </w:r>
    </w:p>
    <w:p w14:paraId="4A067E4E" w14:textId="56FC5150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Je známo, že gentamicin navozuje nefrotoxicitu dokonce i při terapeutických dávkách. Existují i ojedinělá hlášení o ototoxicitě spojen</w:t>
      </w:r>
      <w:r w:rsidR="00AE6AA7" w:rsidRPr="00A367C5">
        <w:rPr>
          <w:sz w:val="23"/>
          <w:szCs w:val="23"/>
          <w:lang w:eastAsia="en-GB"/>
        </w:rPr>
        <w:t>á</w:t>
      </w:r>
      <w:r w:rsidRPr="00A367C5">
        <w:rPr>
          <w:szCs w:val="22"/>
        </w:rPr>
        <w:t xml:space="preserve"> s použitím gentamicinu. U schváleného režimu dávkování nebyly stanoveny meze bezpečnosti. Gentamicin má sám o sobě úzké rozpětí bezpečnosti. Přípravek by proto měl být používán pouze na základě zvážení přínosů a rizik u každého jednotlivého koně příslušným veterinárním lékařem při zohlednění dostupné alternativní léčby.</w:t>
      </w:r>
    </w:p>
    <w:p w14:paraId="76285E55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Pro snížení rizika nefrotoxicity by měla být zajištěna přiměřená hydratace léčených zvířat a v případě potřeby by měla být zahájena terapie tekutinami.</w:t>
      </w:r>
    </w:p>
    <w:p w14:paraId="05B7E795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Důrazně se doporučuje pečlivé monitorování koní léčených gentamicinem. Toto monitorování zahrnuje hodnocení příslušných parametrů funkce ledvin v krvi (např. kreatininu a močoviny) a vyšetření moči (např. stanovení poměru gama-</w:t>
      </w:r>
      <w:proofErr w:type="spellStart"/>
      <w:r w:rsidRPr="00A367C5">
        <w:rPr>
          <w:szCs w:val="22"/>
        </w:rPr>
        <w:t>glutamyltransferázy</w:t>
      </w:r>
      <w:proofErr w:type="spellEnd"/>
      <w:r w:rsidRPr="00A367C5">
        <w:rPr>
          <w:szCs w:val="22"/>
        </w:rPr>
        <w:t>/kreatininu). Doporučuje se také terapeutické monitorování koncentrace gentamicinu v krvi z důvodu známého kolísání maximální a minimální plazmatické koncentrace gentamicinu u jednotlivých zvířat. V případech, kdy lze monitorovat krev, by měla být cílová maximální plazmatická koncentrace gentamicinu přibližně 16-20 µg/ml.</w:t>
      </w:r>
    </w:p>
    <w:p w14:paraId="7B3BE69D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Zvláštní obezřetnost je nutná při podávání gentamicinu s dalšími potenciálně nefrotoxickými léčivými přípravky (obsahujícími např. NSAID, furosemid nebo jiné aminoglykosidy).</w:t>
      </w:r>
    </w:p>
    <w:p w14:paraId="440B0AAC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U hříbat nebyla bezpečnost gentamicinu stanovena a chybí údaje o zvláštních účincích gentamicinu na ledviny hříbat, zvláště novorozených. Současné znalosti naznačují, že riziko nefrotoxicity navozené gentamicinem je u hříbat, zvláště novorozených, vyšší než u dospělých zvířat. Jedním z rozdílů na úrovni ledvin novorozených hříbat a dospělých zvířat je nižší clearance gentamicinu u hříbat. U novorozených hříbat jako takových nebyly stanoveny meze bezpečnosti. Používání přípravku u hříbat se proto nedoporučuje.</w:t>
      </w:r>
    </w:p>
    <w:p w14:paraId="76A54937" w14:textId="58B2628D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Vždy, kdy je to možné, by použití přípravku mělo vycházet </w:t>
      </w:r>
      <w:proofErr w:type="gramStart"/>
      <w:r w:rsidRPr="00A367C5">
        <w:rPr>
          <w:szCs w:val="22"/>
        </w:rPr>
        <w:t>z</w:t>
      </w:r>
      <w:r w:rsidR="0025743C" w:rsidRPr="00A367C5">
        <w:rPr>
          <w:szCs w:val="22"/>
        </w:rPr>
        <w:t>e</w:t>
      </w:r>
      <w:proofErr w:type="gramEnd"/>
      <w:r w:rsidR="0025743C" w:rsidRPr="00A367C5">
        <w:rPr>
          <w:szCs w:val="22"/>
        </w:rPr>
        <w:t xml:space="preserve"> stanovení</w:t>
      </w:r>
      <w:r w:rsidRPr="00A367C5">
        <w:rPr>
          <w:szCs w:val="22"/>
        </w:rPr>
        <w:t xml:space="preserve"> citlivosti bakterií izolovaných z daného zvířete. </w:t>
      </w:r>
      <w:r w:rsidRPr="0026558E">
        <w:rPr>
          <w:color w:val="000000" w:themeColor="text1"/>
          <w:szCs w:val="22"/>
        </w:rPr>
        <w:t>Gentamicin je baktericidní antimikrobikum proti úzkému spektru gramnegativních bakterií.</w:t>
      </w:r>
      <w:r w:rsidR="00DD5FFB" w:rsidRPr="00A367C5">
        <w:rPr>
          <w:color w:val="000000" w:themeColor="text1"/>
          <w:szCs w:val="22"/>
        </w:rPr>
        <w:t xml:space="preserve"> </w:t>
      </w:r>
      <w:r w:rsidRPr="0026558E">
        <w:rPr>
          <w:color w:val="000000" w:themeColor="text1"/>
          <w:szCs w:val="22"/>
        </w:rPr>
        <w:t xml:space="preserve"> </w:t>
      </w:r>
      <w:r w:rsidR="00DD5FFB" w:rsidRPr="00A367C5">
        <w:rPr>
          <w:color w:val="000000" w:themeColor="text1"/>
          <w:szCs w:val="22"/>
        </w:rPr>
        <w:t xml:space="preserve">Není účinný proti anaerobním bakteriím ani mykoplazmatům. </w:t>
      </w:r>
      <w:r w:rsidRPr="00A367C5">
        <w:rPr>
          <w:szCs w:val="22"/>
        </w:rPr>
        <w:t>Gentamicin nepenetruje do buněk ani do abscesů. V přítomnosti zánětlivého detritu, v prostředí s nízkým obsahem kyslíku a při nízkém pH je gentamicin deaktivován.</w:t>
      </w:r>
    </w:p>
    <w:p w14:paraId="3DF6AFED" w14:textId="07998959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Režim dávkování </w:t>
      </w:r>
      <w:r w:rsidR="00E015E3" w:rsidRPr="00A367C5">
        <w:rPr>
          <w:szCs w:val="22"/>
        </w:rPr>
        <w:t>nesmí být</w:t>
      </w:r>
      <w:r w:rsidRPr="00A367C5">
        <w:rPr>
          <w:szCs w:val="22"/>
        </w:rPr>
        <w:t xml:space="preserve"> </w:t>
      </w:r>
      <w:r w:rsidR="00E015E3" w:rsidRPr="00A367C5">
        <w:rPr>
          <w:szCs w:val="22"/>
        </w:rPr>
        <w:t>překračován</w:t>
      </w:r>
      <w:r w:rsidR="00102F4D">
        <w:rPr>
          <w:szCs w:val="22"/>
        </w:rPr>
        <w:t>.</w:t>
      </w:r>
      <w:r w:rsidRPr="00A367C5">
        <w:rPr>
          <w:szCs w:val="22"/>
        </w:rPr>
        <w:t xml:space="preserve"> Použití přípravku, které je odlišné od pokynů uvedených v tomto souhrnu údajů o přípravku (SPC), zvyšuje riziko nefrotoxicity a může zvýšit prevalenci bakterií rezistentních ke gentamicinu. </w:t>
      </w:r>
    </w:p>
    <w:p w14:paraId="3BC7F522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Zvláštní obezřetnost se doporučuje při použití gentamicinu u starých koní nebo koní s horečkou, endotoxémií, sepsí a dehydratací.</w:t>
      </w:r>
    </w:p>
    <w:p w14:paraId="0113F19F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29132F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Dávky antibiotika u renálních poruch musí být odpovídajícím způsobem přizpůsobeny tak, aby nezvyšovaly zátěž organismu léčeného zvířete z důvodu nedostatečné funkce ledvin a aby byl zachován účinek na původce onemocnění.</w:t>
      </w:r>
    </w:p>
    <w:p w14:paraId="43D1FBA5" w14:textId="77777777" w:rsidR="00F66321" w:rsidRPr="00A367C5" w:rsidRDefault="00F66321" w:rsidP="005C62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89A0CA" w14:textId="4C48CC21" w:rsidR="00CC6FEF" w:rsidRPr="00A367C5" w:rsidRDefault="00F66321" w:rsidP="00BA7AD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Při použití přípravku je nutno vzít v úvahu oficiální a místní pravidla antibiotické politiky. Přípravek má indikační omezení. To znamená, že by měl být použit pouze pro léčbu závažných infekcí, na základě klinických zkušeností podpořených diagnostikou původce onemocnění a zjištěním citlivosti k dané léčivé látce a rezistenci k běžným antibiotikům. Protože nemusí být dosaženo eradikace cílových patogenů, je zapotřebí léčbu kombinovat s dobrou zoohygienickou praxí, např. dobrou hygienou, správným větráním a dostatkem prostoru pro zvířata.</w:t>
      </w:r>
    </w:p>
    <w:p w14:paraId="1FCBE0C9" w14:textId="77777777" w:rsidR="00752194" w:rsidRPr="00A367C5" w:rsidRDefault="00752194" w:rsidP="00BA7AD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63212C" w14:textId="77777777" w:rsidR="00690FEC" w:rsidRPr="00A367C5" w:rsidRDefault="00690FEC" w:rsidP="00445CF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367C5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6DFC8B5E" w14:textId="77777777" w:rsidR="00690FEC" w:rsidRPr="00A367C5" w:rsidRDefault="00690FEC" w:rsidP="00445CF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6B55652" w14:textId="77777777" w:rsidR="00F66321" w:rsidRPr="00A367C5" w:rsidRDefault="00F66321" w:rsidP="00310A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Zabraňte kontaktu přípravku s kůží a očima. </w:t>
      </w:r>
    </w:p>
    <w:p w14:paraId="25BD72F0" w14:textId="77777777" w:rsidR="00F66321" w:rsidRPr="00A367C5" w:rsidRDefault="00F66321" w:rsidP="00310A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V případě náhodného kontaktu s přípravkem zasažená místa opláchněte velkým množstvím vody. </w:t>
      </w:r>
    </w:p>
    <w:p w14:paraId="6FEF316F" w14:textId="77777777" w:rsidR="00F66321" w:rsidRPr="00A367C5" w:rsidRDefault="00F66321" w:rsidP="00310A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Lidé se známou přecitlivělostí na gentamicin by se měli vyhnout kontaktu s veterinárním léčivým přípravkem.</w:t>
      </w:r>
    </w:p>
    <w:p w14:paraId="46485DC5" w14:textId="2836C704" w:rsidR="00F66321" w:rsidRPr="00A367C5" w:rsidRDefault="00F66321" w:rsidP="00310A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V případě náhodného sebepoškození injekčně </w:t>
      </w:r>
      <w:r w:rsidR="009D7A99" w:rsidRPr="00A367C5">
        <w:rPr>
          <w:szCs w:val="22"/>
        </w:rPr>
        <w:t xml:space="preserve">podaným </w:t>
      </w:r>
      <w:r w:rsidRPr="00A367C5">
        <w:rPr>
          <w:szCs w:val="22"/>
        </w:rPr>
        <w:t>přípravkem, vyhledejte ihned lékařskou pomoc a ukažte příbalovou informaci nebo etiketu praktickému lékaři.</w:t>
      </w:r>
    </w:p>
    <w:p w14:paraId="6E65FE24" w14:textId="61421E83" w:rsidR="00B468AA" w:rsidRPr="00A367C5" w:rsidRDefault="00F66321" w:rsidP="00D74F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Po použití si umyjte ruce.</w:t>
      </w:r>
    </w:p>
    <w:p w14:paraId="1C5F61A2" w14:textId="77777777" w:rsidR="00F66321" w:rsidRPr="00A367C5" w:rsidRDefault="00F66321" w:rsidP="00F66321">
      <w:pPr>
        <w:tabs>
          <w:tab w:val="clear" w:pos="567"/>
        </w:tabs>
        <w:spacing w:line="240" w:lineRule="auto"/>
        <w:rPr>
          <w:szCs w:val="22"/>
        </w:rPr>
      </w:pPr>
    </w:p>
    <w:p w14:paraId="572F7AD8" w14:textId="77777777" w:rsidR="00690FEC" w:rsidRPr="00A367C5" w:rsidRDefault="00690FEC" w:rsidP="00445CF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A367C5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A367C5" w:rsidRDefault="00690FEC" w:rsidP="00445CF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33F0D9" w14:textId="7032A01B" w:rsidR="00690FEC" w:rsidRPr="00A367C5" w:rsidRDefault="00B468AA" w:rsidP="00690FEC">
      <w:pPr>
        <w:tabs>
          <w:tab w:val="clear" w:pos="567"/>
        </w:tabs>
        <w:spacing w:line="240" w:lineRule="auto"/>
        <w:rPr>
          <w:szCs w:val="22"/>
        </w:rPr>
      </w:pPr>
      <w:r w:rsidRPr="00A367C5">
        <w:rPr>
          <w:szCs w:val="22"/>
        </w:rPr>
        <w:t>Neuplatňuje se.</w:t>
      </w:r>
    </w:p>
    <w:p w14:paraId="7FABA0BA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A367C5" w:rsidRDefault="00690FEC" w:rsidP="00690FEC">
      <w:pPr>
        <w:pStyle w:val="Style1"/>
      </w:pPr>
      <w:r w:rsidRPr="00A367C5">
        <w:t>3.6</w:t>
      </w:r>
      <w:r w:rsidRPr="00A367C5">
        <w:tab/>
        <w:t>Nežádoucí účinky</w:t>
      </w:r>
    </w:p>
    <w:p w14:paraId="5A7A3DA5" w14:textId="6F9DF6C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7BBC642" w14:textId="426D688E" w:rsidR="00BE4997" w:rsidRPr="00A367C5" w:rsidRDefault="00310AD9" w:rsidP="00BE4997">
      <w:pPr>
        <w:jc w:val="both"/>
      </w:pPr>
      <w:r w:rsidRPr="00A367C5">
        <w:t>T</w:t>
      </w:r>
      <w:r w:rsidR="00BE4997" w:rsidRPr="00A367C5">
        <w:t>elata skotu a selata v prvním měsíci života</w:t>
      </w:r>
      <w:r w:rsidR="000E0FB7" w:rsidRPr="00A367C5">
        <w:t xml:space="preserve">, </w:t>
      </w:r>
      <w:r w:rsidR="00BE4997" w:rsidRPr="00A367C5">
        <w:t>koně:</w:t>
      </w:r>
    </w:p>
    <w:p w14:paraId="30FD0212" w14:textId="09B1A2FA" w:rsidR="00F66321" w:rsidRPr="00A367C5" w:rsidRDefault="00F66321" w:rsidP="00F66321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F7443" w:rsidRPr="00A367C5" w14:paraId="00976FA1" w14:textId="77777777" w:rsidTr="00A3640A">
        <w:tc>
          <w:tcPr>
            <w:tcW w:w="4530" w:type="dxa"/>
          </w:tcPr>
          <w:p w14:paraId="4E97F272" w14:textId="77777777" w:rsidR="000F7443" w:rsidRPr="00A367C5" w:rsidRDefault="000F7443" w:rsidP="00A3640A">
            <w:bookmarkStart w:id="2" w:name="_Hlk180594439"/>
            <w:r w:rsidRPr="00A367C5">
              <w:t>Neurčená frekvence (nelze odhadnout z dostupných údajů)</w:t>
            </w:r>
          </w:p>
          <w:p w14:paraId="217724F1" w14:textId="40AACE09" w:rsidR="000F7443" w:rsidRPr="00A367C5" w:rsidRDefault="000F7443" w:rsidP="00A3640A"/>
        </w:tc>
        <w:tc>
          <w:tcPr>
            <w:tcW w:w="4531" w:type="dxa"/>
          </w:tcPr>
          <w:p w14:paraId="387259DE" w14:textId="77777777" w:rsidR="000F7443" w:rsidRPr="00A367C5" w:rsidRDefault="000F7443" w:rsidP="000F7443">
            <w:r w:rsidRPr="00A367C5">
              <w:t>Poruchy ledvin;</w:t>
            </w:r>
          </w:p>
          <w:p w14:paraId="557B91DB" w14:textId="15EE6182" w:rsidR="000F7443" w:rsidRPr="00A367C5" w:rsidRDefault="000F7443" w:rsidP="000F7443">
            <w:r w:rsidRPr="00A367C5">
              <w:t>Porucha vnitřního ucha.</w:t>
            </w:r>
          </w:p>
        </w:tc>
      </w:tr>
      <w:bookmarkEnd w:id="2"/>
    </w:tbl>
    <w:p w14:paraId="7294CDBC" w14:textId="77777777" w:rsidR="00524775" w:rsidRPr="00A367C5" w:rsidRDefault="00524775" w:rsidP="00690FEC">
      <w:pPr>
        <w:rPr>
          <w:szCs w:val="22"/>
        </w:rPr>
      </w:pPr>
    </w:p>
    <w:p w14:paraId="00574121" w14:textId="64C7F56A" w:rsidR="00690FEC" w:rsidRPr="00A367C5" w:rsidRDefault="00690FEC" w:rsidP="00690FEC">
      <w:pPr>
        <w:jc w:val="both"/>
      </w:pPr>
      <w:bookmarkStart w:id="3" w:name="_Hlk66891708"/>
      <w:r w:rsidRPr="00A367C5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A367C5">
        <w:t>i</w:t>
      </w:r>
      <w:r w:rsidRPr="00A367C5">
        <w:t>.</w:t>
      </w:r>
    </w:p>
    <w:bookmarkEnd w:id="3"/>
    <w:p w14:paraId="3BBE7556" w14:textId="3741BCFB" w:rsidR="00690FEC" w:rsidRPr="00A367C5" w:rsidRDefault="00690FEC" w:rsidP="00470C48">
      <w:pPr>
        <w:pStyle w:val="Style1"/>
        <w:ind w:left="0" w:firstLine="0"/>
      </w:pPr>
    </w:p>
    <w:p w14:paraId="1750E70F" w14:textId="77777777" w:rsidR="00690FEC" w:rsidRPr="00A367C5" w:rsidRDefault="00690FEC" w:rsidP="00690FEC">
      <w:pPr>
        <w:pStyle w:val="Style1"/>
      </w:pPr>
      <w:r w:rsidRPr="00A367C5">
        <w:t>3.7</w:t>
      </w:r>
      <w:r w:rsidRPr="00A367C5">
        <w:tab/>
        <w:t>Použití v průběhu březosti, laktace nebo snášky</w:t>
      </w:r>
    </w:p>
    <w:p w14:paraId="15BCF18F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7DA244F" w14:textId="6EEAEA3A" w:rsidR="00690FEC" w:rsidRPr="00A367C5" w:rsidRDefault="00E13E4B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367C5">
        <w:rPr>
          <w:szCs w:val="22"/>
          <w:u w:val="single"/>
        </w:rPr>
        <w:t>Březost a laktace:</w:t>
      </w:r>
    </w:p>
    <w:p w14:paraId="43EC7576" w14:textId="19C68DA2" w:rsidR="00931E5C" w:rsidRPr="00A367C5" w:rsidRDefault="00931E5C" w:rsidP="00E13E4B">
      <w:pPr>
        <w:tabs>
          <w:tab w:val="clear" w:pos="567"/>
        </w:tabs>
        <w:spacing w:line="240" w:lineRule="auto"/>
      </w:pPr>
    </w:p>
    <w:p w14:paraId="14289538" w14:textId="4B0B9C18" w:rsidR="00E13E4B" w:rsidRPr="00A367C5" w:rsidRDefault="00B456D2" w:rsidP="00E13E4B">
      <w:pPr>
        <w:tabs>
          <w:tab w:val="clear" w:pos="567"/>
        </w:tabs>
        <w:spacing w:line="240" w:lineRule="auto"/>
      </w:pPr>
      <w:r w:rsidRPr="00A367C5">
        <w:t>Nepoužívat</w:t>
      </w:r>
      <w:r w:rsidR="00E13E4B" w:rsidRPr="00A367C5">
        <w:t xml:space="preserve"> během </w:t>
      </w:r>
      <w:r w:rsidR="004660DB" w:rsidRPr="00A367C5">
        <w:t xml:space="preserve">březosti </w:t>
      </w:r>
      <w:r w:rsidR="008816B2" w:rsidRPr="00A367C5">
        <w:t xml:space="preserve">a </w:t>
      </w:r>
      <w:r w:rsidR="00E13E4B" w:rsidRPr="00A367C5">
        <w:t>laktace</w:t>
      </w:r>
      <w:r w:rsidR="004660DB" w:rsidRPr="00A367C5">
        <w:t>.</w:t>
      </w:r>
      <w:r w:rsidR="00E13E4B" w:rsidRPr="00A367C5">
        <w:t xml:space="preserve"> </w:t>
      </w:r>
    </w:p>
    <w:p w14:paraId="669E03A0" w14:textId="17702621" w:rsidR="00B9785F" w:rsidRPr="00A367C5" w:rsidRDefault="00B9785F" w:rsidP="00E13E4B">
      <w:pPr>
        <w:tabs>
          <w:tab w:val="clear" w:pos="567"/>
        </w:tabs>
        <w:spacing w:line="240" w:lineRule="auto"/>
      </w:pPr>
    </w:p>
    <w:p w14:paraId="7989A666" w14:textId="602543F4" w:rsidR="00E13E4B" w:rsidRPr="00A367C5" w:rsidRDefault="00E13E4B" w:rsidP="00E13E4B">
      <w:pPr>
        <w:tabs>
          <w:tab w:val="clear" w:pos="567"/>
        </w:tabs>
        <w:spacing w:line="240" w:lineRule="auto"/>
        <w:rPr>
          <w:u w:val="single"/>
        </w:rPr>
      </w:pPr>
      <w:r w:rsidRPr="00A367C5">
        <w:rPr>
          <w:u w:val="single"/>
        </w:rPr>
        <w:t xml:space="preserve">Koně: </w:t>
      </w:r>
    </w:p>
    <w:p w14:paraId="4CEDEEE7" w14:textId="0446436C" w:rsidR="00690FEC" w:rsidRPr="00A367C5" w:rsidRDefault="00E13E4B" w:rsidP="00E13E4B">
      <w:pPr>
        <w:tabs>
          <w:tab w:val="clear" w:pos="567"/>
        </w:tabs>
        <w:spacing w:line="240" w:lineRule="auto"/>
        <w:jc w:val="both"/>
      </w:pPr>
      <w:r w:rsidRPr="00A367C5">
        <w:t>Bezpečnost u březích klisen není známa. Studie u laboratorních zvířat nicméně poskytly důkazy o fetální nefrotoxicitě. Použít pouze po zvážení terapeutického prospěchu a rizika příslušným veterinárním lékařem.</w:t>
      </w:r>
    </w:p>
    <w:p w14:paraId="14770D67" w14:textId="77777777" w:rsidR="00E13E4B" w:rsidRPr="00A367C5" w:rsidRDefault="00E13E4B" w:rsidP="00E13E4B">
      <w:pPr>
        <w:tabs>
          <w:tab w:val="clear" w:pos="567"/>
        </w:tabs>
        <w:spacing w:line="240" w:lineRule="auto"/>
        <w:rPr>
          <w:szCs w:val="22"/>
        </w:rPr>
      </w:pPr>
    </w:p>
    <w:p w14:paraId="5EF2ECDB" w14:textId="77777777" w:rsidR="00690FEC" w:rsidRPr="00A367C5" w:rsidRDefault="00690FEC" w:rsidP="00690FEC">
      <w:pPr>
        <w:pStyle w:val="Style1"/>
      </w:pPr>
      <w:r w:rsidRPr="00A367C5">
        <w:t>3.8</w:t>
      </w:r>
      <w:r w:rsidRPr="00A367C5">
        <w:tab/>
        <w:t>Interakce s jinými léčivými přípravky a další formy interakce</w:t>
      </w:r>
    </w:p>
    <w:p w14:paraId="28757EB4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1FDADF4" w14:textId="4528389B" w:rsidR="00690FEC" w:rsidRPr="00A367C5" w:rsidRDefault="00E13E4B" w:rsidP="00E13E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 xml:space="preserve">Baktericidní účinek a spektrum </w:t>
      </w:r>
      <w:r w:rsidR="00E173FB" w:rsidRPr="00A367C5">
        <w:rPr>
          <w:szCs w:val="22"/>
        </w:rPr>
        <w:t xml:space="preserve">účinnosti </w:t>
      </w:r>
      <w:r w:rsidRPr="00A367C5">
        <w:rPr>
          <w:szCs w:val="22"/>
        </w:rPr>
        <w:t xml:space="preserve">mohou být zesíleny </w:t>
      </w:r>
      <w:r w:rsidR="00E173FB" w:rsidRPr="00A367C5">
        <w:rPr>
          <w:szCs w:val="22"/>
        </w:rPr>
        <w:t>při současném podání s ampicilinem</w:t>
      </w:r>
      <w:r w:rsidRPr="00A367C5">
        <w:rPr>
          <w:szCs w:val="22"/>
        </w:rPr>
        <w:t xml:space="preserve">, zejména </w:t>
      </w:r>
      <w:r w:rsidR="00E173FB" w:rsidRPr="00A367C5">
        <w:rPr>
          <w:szCs w:val="22"/>
        </w:rPr>
        <w:t xml:space="preserve">vůči kmenům </w:t>
      </w:r>
      <w:proofErr w:type="spellStart"/>
      <w:r w:rsidRPr="00A367C5">
        <w:rPr>
          <w:i/>
          <w:iCs/>
          <w:szCs w:val="22"/>
        </w:rPr>
        <w:t>Pseudomonas</w:t>
      </w:r>
      <w:proofErr w:type="spellEnd"/>
      <w:r w:rsidRPr="00A367C5">
        <w:rPr>
          <w:szCs w:val="22"/>
        </w:rPr>
        <w:t xml:space="preserve"> </w:t>
      </w:r>
      <w:proofErr w:type="spellStart"/>
      <w:r w:rsidRPr="00A367C5">
        <w:rPr>
          <w:szCs w:val="22"/>
        </w:rPr>
        <w:t>spp</w:t>
      </w:r>
      <w:proofErr w:type="spellEnd"/>
      <w:r w:rsidRPr="00A367C5">
        <w:rPr>
          <w:szCs w:val="22"/>
        </w:rPr>
        <w:t xml:space="preserve">. a enterokokům. </w:t>
      </w:r>
      <w:r w:rsidR="00E173FB" w:rsidRPr="00A367C5">
        <w:rPr>
          <w:szCs w:val="22"/>
        </w:rPr>
        <w:t>Při souběžném použití léčiv, která jsou eliminována převážně renální cestou, je však nutné zvážit možné nežádoucí účinky spojené se zvýšením renální zátěže, a to zejména u zvířat s poruchou funkce ledvin.</w:t>
      </w:r>
    </w:p>
    <w:p w14:paraId="005D1D1E" w14:textId="77777777" w:rsidR="00E13E4B" w:rsidRPr="00A367C5" w:rsidRDefault="00E13E4B" w:rsidP="00690FEC">
      <w:pPr>
        <w:pStyle w:val="Style1"/>
      </w:pPr>
    </w:p>
    <w:p w14:paraId="5C075FA7" w14:textId="10C8BF3C" w:rsidR="00690FEC" w:rsidRPr="00A367C5" w:rsidRDefault="00690FEC" w:rsidP="00690FEC">
      <w:pPr>
        <w:pStyle w:val="Style1"/>
      </w:pPr>
      <w:r w:rsidRPr="00A367C5">
        <w:t>3.9</w:t>
      </w:r>
      <w:r w:rsidRPr="00A367C5">
        <w:tab/>
        <w:t>Cesty podání a dávkování</w:t>
      </w:r>
    </w:p>
    <w:p w14:paraId="21ED66BB" w14:textId="77777777" w:rsidR="00690FEC" w:rsidRPr="00A367C5" w:rsidRDefault="00690FEC" w:rsidP="0071370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4C7186" w14:textId="7A635807" w:rsidR="00E13E4B" w:rsidRPr="00A367C5" w:rsidRDefault="00E13E4B" w:rsidP="00713706">
      <w:pPr>
        <w:jc w:val="both"/>
      </w:pPr>
      <w:bookmarkStart w:id="4" w:name="_Hlk169711834"/>
      <w:r w:rsidRPr="00A367C5">
        <w:t>Telata skotu v prvním měsíci života: intramuskulární nebo pomalé intravenózní podání.</w:t>
      </w:r>
    </w:p>
    <w:p w14:paraId="6EAC18BD" w14:textId="77777777" w:rsidR="00E13E4B" w:rsidRPr="00A367C5" w:rsidRDefault="00E13E4B" w:rsidP="00713706">
      <w:pPr>
        <w:jc w:val="both"/>
      </w:pPr>
      <w:r w:rsidRPr="00A367C5">
        <w:t xml:space="preserve">Selata v prvním měsíci života: intramuskulární podání. </w:t>
      </w:r>
    </w:p>
    <w:p w14:paraId="5B3DFCA0" w14:textId="4CEFE300" w:rsidR="00E13E4B" w:rsidRPr="00A367C5" w:rsidRDefault="00E13E4B" w:rsidP="00713706">
      <w:pPr>
        <w:jc w:val="both"/>
      </w:pPr>
      <w:r w:rsidRPr="00A367C5">
        <w:t>Koně: intravenózní podání</w:t>
      </w:r>
      <w:bookmarkEnd w:id="4"/>
      <w:r w:rsidR="00D71642" w:rsidRPr="00A367C5">
        <w:t>.</w:t>
      </w:r>
    </w:p>
    <w:p w14:paraId="74116A9A" w14:textId="77777777" w:rsidR="00E13E4B" w:rsidRPr="00A367C5" w:rsidRDefault="00E13E4B" w:rsidP="00713706">
      <w:pPr>
        <w:jc w:val="both"/>
        <w:rPr>
          <w:u w:val="single"/>
        </w:rPr>
      </w:pPr>
    </w:p>
    <w:p w14:paraId="62A9FD48" w14:textId="34837B27" w:rsidR="00E13E4B" w:rsidRPr="00A367C5" w:rsidRDefault="00E13E4B" w:rsidP="00713706">
      <w:pPr>
        <w:jc w:val="both"/>
        <w:rPr>
          <w:u w:val="single"/>
        </w:rPr>
      </w:pPr>
      <w:r w:rsidRPr="00A367C5">
        <w:rPr>
          <w:u w:val="single"/>
        </w:rPr>
        <w:t xml:space="preserve">Telata skotu a selata v prvním měsíci života: </w:t>
      </w:r>
      <w:r w:rsidRPr="00A367C5">
        <w:t>4 mg gentamicin báze / kg ž.hm./den, což odpovídá 0,8 ml přípravku/10 kg ž.hm./den po dobu 3 dnů.</w:t>
      </w:r>
    </w:p>
    <w:p w14:paraId="2E669038" w14:textId="148920FC" w:rsidR="00E13E4B" w:rsidRPr="00A367C5" w:rsidRDefault="0001638F" w:rsidP="00713706">
      <w:pPr>
        <w:jc w:val="both"/>
      </w:pPr>
      <w:r w:rsidRPr="00A367C5">
        <w:rPr>
          <w:u w:val="single"/>
        </w:rPr>
        <w:t>Selata v prvním měsíci života</w:t>
      </w:r>
      <w:r w:rsidR="00E13E4B" w:rsidRPr="00A367C5">
        <w:rPr>
          <w:u w:val="single"/>
        </w:rPr>
        <w:t xml:space="preserve">: </w:t>
      </w:r>
      <w:r w:rsidR="00E13E4B" w:rsidRPr="00A367C5">
        <w:t xml:space="preserve">Maximální objem aplikovaný do jednoho místa injekčního podání nesmí překročit 1 ml.   </w:t>
      </w:r>
    </w:p>
    <w:p w14:paraId="2FB77EC0" w14:textId="77777777" w:rsidR="00E13E4B" w:rsidRPr="00A367C5" w:rsidRDefault="00E13E4B" w:rsidP="00713706">
      <w:pPr>
        <w:jc w:val="both"/>
      </w:pPr>
      <w:r w:rsidRPr="00A367C5">
        <w:t xml:space="preserve">Opakovaná aplikace by měla být rozdělena do více míst injekčního podání.      </w:t>
      </w:r>
    </w:p>
    <w:p w14:paraId="692C30BF" w14:textId="292404B9" w:rsidR="00E13E4B" w:rsidRPr="00A367C5" w:rsidRDefault="00E13E4B" w:rsidP="00713706">
      <w:pPr>
        <w:jc w:val="both"/>
      </w:pPr>
      <w:r w:rsidRPr="00A367C5">
        <w:lastRenderedPageBreak/>
        <w:t xml:space="preserve">Podává se jedenkrát denně nebo v poloviční dávce dvakrát denně.  </w:t>
      </w:r>
    </w:p>
    <w:p w14:paraId="790F0987" w14:textId="77777777" w:rsidR="00855568" w:rsidRPr="00A367C5" w:rsidRDefault="00855568" w:rsidP="00713706">
      <w:pPr>
        <w:jc w:val="both"/>
        <w:rPr>
          <w:u w:val="single"/>
        </w:rPr>
      </w:pPr>
    </w:p>
    <w:p w14:paraId="5F56FE0E" w14:textId="6BC31872" w:rsidR="00E13E4B" w:rsidRPr="00A367C5" w:rsidRDefault="00E13E4B" w:rsidP="00713706">
      <w:pPr>
        <w:jc w:val="both"/>
      </w:pPr>
      <w:r w:rsidRPr="00A367C5">
        <w:rPr>
          <w:u w:val="single"/>
        </w:rPr>
        <w:t>Koně:</w:t>
      </w:r>
      <w:r w:rsidRPr="00A367C5">
        <w:t xml:space="preserve"> Podává se 6,6 mg gentamicin báze /kg ž.hm. intravenózně jednou denně, což odpovídá 1,3 ml přípravku / 10 kg ž.hm., dobu 3-5 po sobě následujících dnů.</w:t>
      </w:r>
    </w:p>
    <w:p w14:paraId="275D43CB" w14:textId="77777777" w:rsidR="00E13E4B" w:rsidRPr="00A367C5" w:rsidRDefault="00E13E4B" w:rsidP="00713706">
      <w:pPr>
        <w:jc w:val="both"/>
      </w:pPr>
    </w:p>
    <w:p w14:paraId="3FFE7B04" w14:textId="368DB065" w:rsidR="00E13E4B" w:rsidRPr="00A367C5" w:rsidRDefault="00E13E4B" w:rsidP="00713706">
      <w:pPr>
        <w:jc w:val="both"/>
      </w:pPr>
      <w:r w:rsidRPr="00A367C5">
        <w:t>Pro zajištění podání správné dávky by měla být co nejpřesněji stanovena živá hmotnost. Režim dávkování se nesmí překračovat.</w:t>
      </w:r>
    </w:p>
    <w:p w14:paraId="20C2321B" w14:textId="77777777" w:rsidR="00E13E4B" w:rsidRPr="00A367C5" w:rsidRDefault="00E13E4B" w:rsidP="00713706">
      <w:pPr>
        <w:jc w:val="both"/>
      </w:pPr>
    </w:p>
    <w:p w14:paraId="5508EDA1" w14:textId="77777777" w:rsidR="00E13E4B" w:rsidRPr="00A367C5" w:rsidRDefault="00E13E4B" w:rsidP="00713706">
      <w:pPr>
        <w:jc w:val="both"/>
      </w:pPr>
      <w:r w:rsidRPr="00A367C5">
        <w:t>Nedoporučuje se používání gentamicinu u hříbat a novorozených hříbat.</w:t>
      </w:r>
    </w:p>
    <w:p w14:paraId="3545747F" w14:textId="77777777" w:rsidR="00690FEC" w:rsidRPr="00A367C5" w:rsidRDefault="00690FEC" w:rsidP="00713706">
      <w:pPr>
        <w:pStyle w:val="Style1"/>
        <w:jc w:val="both"/>
        <w:rPr>
          <w:b w:val="0"/>
          <w:szCs w:val="20"/>
        </w:rPr>
      </w:pPr>
    </w:p>
    <w:p w14:paraId="2E9528C6" w14:textId="77777777" w:rsidR="00E13E4B" w:rsidRPr="00A367C5" w:rsidRDefault="00E13E4B" w:rsidP="00713706">
      <w:pPr>
        <w:jc w:val="both"/>
      </w:pPr>
      <w:r w:rsidRPr="00A367C5">
        <w:t>V případech, kdy nedojde k významnému zlepšení během 2-3 dnů od zahájení léčby, je vhodné znovu zvážit diagnózu a léčbu.</w:t>
      </w:r>
    </w:p>
    <w:p w14:paraId="2B49F738" w14:textId="77777777" w:rsidR="00E13E4B" w:rsidRPr="00A367C5" w:rsidRDefault="00E13E4B" w:rsidP="00713706">
      <w:pPr>
        <w:jc w:val="both"/>
      </w:pPr>
    </w:p>
    <w:p w14:paraId="4F9DD72A" w14:textId="77777777" w:rsidR="00E13E4B" w:rsidRPr="00A367C5" w:rsidRDefault="00E13E4B" w:rsidP="00713706">
      <w:pPr>
        <w:jc w:val="both"/>
      </w:pPr>
      <w:r w:rsidRPr="00A367C5">
        <w:t>Léčbu je třeba doplnit správnými chovatelskými a zoohygienickými postupy, aby se snížilo riziko infekce a bylo možné kontrolovat vytváření rezistence.</w:t>
      </w:r>
    </w:p>
    <w:p w14:paraId="7A57900D" w14:textId="77777777" w:rsidR="00E13E4B" w:rsidRPr="00A367C5" w:rsidRDefault="00E13E4B" w:rsidP="00690FEC">
      <w:pPr>
        <w:pStyle w:val="Style1"/>
        <w:rPr>
          <w:b w:val="0"/>
          <w:szCs w:val="20"/>
        </w:rPr>
      </w:pPr>
    </w:p>
    <w:p w14:paraId="449303A7" w14:textId="77777777" w:rsidR="00690FEC" w:rsidRPr="00A367C5" w:rsidRDefault="00690FEC" w:rsidP="00690FEC">
      <w:pPr>
        <w:pStyle w:val="Style1"/>
      </w:pPr>
      <w:r w:rsidRPr="00A367C5">
        <w:t>3.10</w:t>
      </w:r>
      <w:r w:rsidRPr="00A367C5">
        <w:tab/>
        <w:t xml:space="preserve">Příznaky předávkování (a kde je relevantní, první pomoc a antidota) </w:t>
      </w:r>
    </w:p>
    <w:p w14:paraId="56FFFD80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F3B79F6" w14:textId="77777777" w:rsidR="00EC59B5" w:rsidRPr="00A367C5" w:rsidRDefault="00EC59B5" w:rsidP="00EC59B5">
      <w:pPr>
        <w:jc w:val="both"/>
      </w:pPr>
      <w:r w:rsidRPr="00A367C5">
        <w:t>Při vyšších než doporučených dávkách nebo při protrahované léčbě může gentamicin, obdobně jako všechny aminoglykosidy, vyvolat nefrotoxicitu, ototoxicitu a neuromuskulární blokádu, která se může manifestovat v podobě svalové slabosti a respiratorní blokády.</w:t>
      </w:r>
    </w:p>
    <w:p w14:paraId="37C2A71D" w14:textId="74B4EA94" w:rsidR="00EC59B5" w:rsidRPr="00A367C5" w:rsidRDefault="00EC59B5" w:rsidP="00EC59B5">
      <w:pPr>
        <w:jc w:val="both"/>
      </w:pPr>
      <w:r w:rsidRPr="00A367C5">
        <w:t xml:space="preserve">Dále viz též bod </w:t>
      </w:r>
      <w:r w:rsidR="00927F9B" w:rsidRPr="00A367C5">
        <w:t>3</w:t>
      </w:r>
      <w:r w:rsidRPr="00A367C5">
        <w:t>.5.</w:t>
      </w:r>
    </w:p>
    <w:p w14:paraId="4887F332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A367C5" w:rsidRDefault="00690FEC" w:rsidP="00690FEC">
      <w:pPr>
        <w:pStyle w:val="Style1"/>
      </w:pPr>
      <w:r w:rsidRPr="00A367C5">
        <w:t>3.11</w:t>
      </w:r>
      <w:r w:rsidRPr="00A367C5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765FB5A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A367C5" w:rsidRDefault="005E6F1F" w:rsidP="005E6F1F">
      <w:pPr>
        <w:tabs>
          <w:tab w:val="clear" w:pos="567"/>
        </w:tabs>
        <w:spacing w:line="240" w:lineRule="auto"/>
        <w:rPr>
          <w:szCs w:val="22"/>
        </w:rPr>
      </w:pPr>
      <w:bookmarkStart w:id="5" w:name="_Hlk169112286"/>
      <w:r w:rsidRPr="00A367C5">
        <w:t>Neuplatňuje se.</w:t>
      </w:r>
    </w:p>
    <w:bookmarkEnd w:id="5"/>
    <w:p w14:paraId="48F1E04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A367C5" w:rsidRDefault="00690FEC" w:rsidP="00690FEC">
      <w:pPr>
        <w:pStyle w:val="Style1"/>
      </w:pPr>
      <w:r w:rsidRPr="00A367C5">
        <w:t>3.12</w:t>
      </w:r>
      <w:r w:rsidRPr="00A367C5">
        <w:tab/>
        <w:t>Ochranné lhůty</w:t>
      </w:r>
    </w:p>
    <w:p w14:paraId="0514ED03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114A1A8" w14:textId="77777777" w:rsidR="00766EAC" w:rsidRPr="00A367C5" w:rsidRDefault="00766EAC" w:rsidP="00766EA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t>Z důvodu akumulace gentamicinu v játrech, ledvinách a v místě injekčního podání, musí být zamezeno jakémukoli opakování léčby v průběhu ochranné lhůty.</w:t>
      </w:r>
    </w:p>
    <w:p w14:paraId="2C5F5A36" w14:textId="77777777" w:rsidR="00766EAC" w:rsidRPr="00A367C5" w:rsidRDefault="00766EAC" w:rsidP="007B22B3">
      <w:pPr>
        <w:jc w:val="both"/>
      </w:pPr>
    </w:p>
    <w:p w14:paraId="720D7873" w14:textId="61D92BE7" w:rsidR="00A367C5" w:rsidRDefault="00A367C5" w:rsidP="007B22B3">
      <w:pPr>
        <w:jc w:val="both"/>
      </w:pPr>
    </w:p>
    <w:p w14:paraId="476804EB" w14:textId="161656D2" w:rsidR="00EC59B5" w:rsidRPr="00A367C5" w:rsidRDefault="00EC59B5" w:rsidP="007B22B3">
      <w:pPr>
        <w:jc w:val="both"/>
      </w:pPr>
      <w:r w:rsidRPr="00A367C5">
        <w:t>Telata:</w:t>
      </w:r>
    </w:p>
    <w:p w14:paraId="7C91777F" w14:textId="77777777" w:rsidR="00EC59B5" w:rsidRPr="00A367C5" w:rsidRDefault="00EC59B5" w:rsidP="00EC59B5">
      <w:r w:rsidRPr="00A367C5">
        <w:t>Intramuskulární nebo intravenózní podání: Maso: 103 dnů.</w:t>
      </w:r>
    </w:p>
    <w:p w14:paraId="73A231F4" w14:textId="77777777" w:rsidR="00EC59B5" w:rsidRPr="00A367C5" w:rsidRDefault="00EC59B5" w:rsidP="00EC59B5"/>
    <w:p w14:paraId="3063505B" w14:textId="77777777" w:rsidR="00EC59B5" w:rsidRPr="00A367C5" w:rsidRDefault="00EC59B5" w:rsidP="00EC59B5">
      <w:r w:rsidRPr="00A367C5">
        <w:t>Selata:</w:t>
      </w:r>
    </w:p>
    <w:p w14:paraId="6D0E907E" w14:textId="63761FAC" w:rsidR="00EC59B5" w:rsidRPr="00A367C5" w:rsidRDefault="00EC59B5" w:rsidP="00EC59B5">
      <w:r w:rsidRPr="00A367C5">
        <w:t>Maso: 66 dnů.</w:t>
      </w:r>
    </w:p>
    <w:p w14:paraId="62CA1F04" w14:textId="77777777" w:rsidR="00EC59B5" w:rsidRPr="00A367C5" w:rsidRDefault="00EC59B5" w:rsidP="00EC59B5"/>
    <w:p w14:paraId="7F14D65C" w14:textId="77777777" w:rsidR="00EC59B5" w:rsidRPr="00A367C5" w:rsidRDefault="00EC59B5" w:rsidP="00EC59B5">
      <w:r w:rsidRPr="00A367C5">
        <w:t>Nepoužívat u koní, jejichž maso a mléko je určeno pro lidskou spotřebu.</w:t>
      </w:r>
    </w:p>
    <w:p w14:paraId="08B94331" w14:textId="77777777" w:rsidR="006C5244" w:rsidRPr="00A367C5" w:rsidRDefault="006C5244" w:rsidP="007B22B3">
      <w:pPr>
        <w:tabs>
          <w:tab w:val="clear" w:pos="567"/>
        </w:tabs>
        <w:spacing w:line="240" w:lineRule="auto"/>
        <w:jc w:val="both"/>
      </w:pPr>
    </w:p>
    <w:p w14:paraId="1287CBD3" w14:textId="043A7E7D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31339D5" w14:textId="77777777" w:rsidR="007B22B3" w:rsidRPr="00A367C5" w:rsidRDefault="007B22B3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7777777" w:rsidR="00690FEC" w:rsidRPr="00A367C5" w:rsidRDefault="00690FEC" w:rsidP="00445CF6">
      <w:pPr>
        <w:pStyle w:val="Style1"/>
        <w:keepNext/>
      </w:pPr>
      <w:r w:rsidRPr="00A367C5">
        <w:t>4.</w:t>
      </w:r>
      <w:r w:rsidRPr="00A367C5">
        <w:tab/>
        <w:t>FARMAKOLOGICKÉ INFORMACE</w:t>
      </w:r>
    </w:p>
    <w:p w14:paraId="39098569" w14:textId="7252B069" w:rsidR="00EC39DB" w:rsidRPr="00A367C5" w:rsidRDefault="00EC39DB" w:rsidP="00445CF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A8A458" w14:textId="5FBC36DA" w:rsidR="00690FEC" w:rsidRPr="00A367C5" w:rsidRDefault="00690FEC" w:rsidP="007B22B3">
      <w:pPr>
        <w:jc w:val="both"/>
      </w:pPr>
      <w:r w:rsidRPr="00A367C5">
        <w:rPr>
          <w:b/>
        </w:rPr>
        <w:t>4.1</w:t>
      </w:r>
      <w:r w:rsidRPr="00A367C5">
        <w:rPr>
          <w:b/>
        </w:rPr>
        <w:tab/>
      </w:r>
      <w:proofErr w:type="spellStart"/>
      <w:r w:rsidR="00EC59B5" w:rsidRPr="00A367C5">
        <w:rPr>
          <w:b/>
          <w:bCs/>
        </w:rPr>
        <w:t>ATCvet</w:t>
      </w:r>
      <w:proofErr w:type="spellEnd"/>
      <w:r w:rsidR="00EC59B5" w:rsidRPr="00A367C5">
        <w:rPr>
          <w:b/>
          <w:bCs/>
        </w:rPr>
        <w:t xml:space="preserve"> kód:</w:t>
      </w:r>
      <w:r w:rsidR="00EC59B5" w:rsidRPr="00A367C5">
        <w:rPr>
          <w:bCs/>
        </w:rPr>
        <w:t xml:space="preserve"> </w:t>
      </w:r>
      <w:r w:rsidR="00EC59B5" w:rsidRPr="00A367C5">
        <w:t>QJ01GB03</w:t>
      </w:r>
    </w:p>
    <w:p w14:paraId="536C0FDC" w14:textId="77777777" w:rsidR="00EC59B5" w:rsidRPr="00A367C5" w:rsidRDefault="00EC59B5" w:rsidP="00EC59B5">
      <w:pPr>
        <w:pStyle w:val="Style1"/>
      </w:pPr>
    </w:p>
    <w:p w14:paraId="3BB58216" w14:textId="77777777" w:rsidR="00690FEC" w:rsidRPr="00A367C5" w:rsidRDefault="00690FEC" w:rsidP="00690FEC">
      <w:pPr>
        <w:pStyle w:val="Style1"/>
      </w:pPr>
      <w:r w:rsidRPr="00A367C5">
        <w:t>4.2</w:t>
      </w:r>
      <w:r w:rsidRPr="00A367C5">
        <w:tab/>
        <w:t>Farmakodynamika</w:t>
      </w:r>
    </w:p>
    <w:p w14:paraId="3D4C4FB9" w14:textId="77777777" w:rsidR="00690FEC" w:rsidRPr="00A367C5" w:rsidRDefault="00690FEC" w:rsidP="00690FEC">
      <w:pPr>
        <w:pStyle w:val="Style1"/>
        <w:ind w:left="0" w:firstLine="0"/>
        <w:jc w:val="both"/>
        <w:rPr>
          <w:b w:val="0"/>
          <w:bCs/>
        </w:rPr>
      </w:pPr>
    </w:p>
    <w:p w14:paraId="0924DAE2" w14:textId="77777777" w:rsidR="002148A0" w:rsidRPr="00A367C5" w:rsidRDefault="002148A0" w:rsidP="002148A0">
      <w:pPr>
        <w:jc w:val="both"/>
      </w:pPr>
      <w:r w:rsidRPr="00A367C5">
        <w:t>Gentamicin sulfát účinkuje baktericidně v závislosti na koncentraci. Rychlost usmrcení bakterií se zvyšuje, když koncentrace gentamicinu překročí minimální inhibiční koncentraci (MIC) pro daný druh bakterie, přičemž poměr optimální maximální sérové koncentrace (</w:t>
      </w:r>
      <w:proofErr w:type="spellStart"/>
      <w:r w:rsidRPr="00A367C5">
        <w:t>C</w:t>
      </w:r>
      <w:r w:rsidRPr="00A367C5">
        <w:rPr>
          <w:vertAlign w:val="subscript"/>
        </w:rPr>
        <w:t>max</w:t>
      </w:r>
      <w:proofErr w:type="spellEnd"/>
      <w:r w:rsidRPr="00A367C5">
        <w:t>) vůči hodnotě MIC je vyšší či roven 8-10.</w:t>
      </w:r>
    </w:p>
    <w:p w14:paraId="65EDB9AF" w14:textId="52913C96" w:rsidR="002148A0" w:rsidRPr="00A367C5" w:rsidRDefault="002148A0" w:rsidP="002148A0">
      <w:pPr>
        <w:jc w:val="both"/>
      </w:pPr>
      <w:r w:rsidRPr="00A367C5">
        <w:lastRenderedPageBreak/>
        <w:t xml:space="preserve">Gentamicin sulfát působí baktericidně tak, že se ireverzibilně váže na ribozomální podjednotky </w:t>
      </w:r>
      <w:proofErr w:type="gramStart"/>
      <w:r w:rsidRPr="00A367C5">
        <w:t>30S</w:t>
      </w:r>
      <w:proofErr w:type="gramEnd"/>
      <w:r w:rsidRPr="00A367C5">
        <w:t xml:space="preserve"> a působí dvěma různými mechanizmy. V rámci jednoho mechanizmu může </w:t>
      </w:r>
      <w:proofErr w:type="spellStart"/>
      <w:r w:rsidR="00A367C5" w:rsidRPr="00A367C5">
        <w:t>gentamicin</w:t>
      </w:r>
      <w:proofErr w:type="spellEnd"/>
      <w:r w:rsidR="00A367C5" w:rsidRPr="00A367C5">
        <w:t xml:space="preserve"> </w:t>
      </w:r>
      <w:r w:rsidRPr="00A367C5">
        <w:t xml:space="preserve">zasahovat do správné polymerizace aminokyselin a prodlužování jejich řetězce. Tento mechanizmus se uplatňuje při vysokých koncentracích. Další mechanizmus převládá při nízkých koncentracích, při kterých jsou kodony aminokyselin chybně čteny </w:t>
      </w:r>
      <w:proofErr w:type="spellStart"/>
      <w:r w:rsidRPr="00A367C5">
        <w:t>tRNA</w:t>
      </w:r>
      <w:proofErr w:type="spellEnd"/>
      <w:r w:rsidRPr="00A367C5">
        <w:t xml:space="preserve"> a je narušen proces oprav chybného čtení. To vede k nesprávnému řazení aminokyselin, a tím k tvorbě nefunkčních proteinů.</w:t>
      </w:r>
    </w:p>
    <w:p w14:paraId="6BF96782" w14:textId="303A257B" w:rsidR="002148A0" w:rsidRPr="00A367C5" w:rsidRDefault="002148A0" w:rsidP="002148A0">
      <w:pPr>
        <w:jc w:val="both"/>
      </w:pPr>
      <w:r w:rsidRPr="00A367C5">
        <w:t xml:space="preserve">Gentamicin je vysoce polární a hydrofilní látka a její transport probíhá zřejmě aktivním procesem úzce spojeným s transportem elektronů, oxidativní fosforylací a chinony v buněčné membráně, které jsou zahrnuty v buněčné respiraci. Gentamicin by měl být přednostně považován za baktericidní antimikrobikum na úzké spektrum gramnegativních bakterií (např. </w:t>
      </w:r>
      <w:r w:rsidRPr="00A367C5">
        <w:rPr>
          <w:i/>
        </w:rPr>
        <w:t>E. coli</w:t>
      </w:r>
      <w:r w:rsidRPr="00A367C5">
        <w:t xml:space="preserve">, </w:t>
      </w:r>
      <w:r w:rsidRPr="00A367C5">
        <w:rPr>
          <w:i/>
        </w:rPr>
        <w:t xml:space="preserve">Proteus </w:t>
      </w:r>
      <w:r w:rsidRPr="00A367C5">
        <w:t xml:space="preserve">spp., </w:t>
      </w:r>
      <w:r w:rsidRPr="00A367C5">
        <w:rPr>
          <w:i/>
        </w:rPr>
        <w:t xml:space="preserve">Pseudomonas </w:t>
      </w:r>
      <w:r w:rsidRPr="00A367C5">
        <w:t xml:space="preserve">spp.). Gentamicin neúčinkuje na anaerobní bakterie a </w:t>
      </w:r>
      <w:proofErr w:type="spellStart"/>
      <w:r w:rsidRPr="00A367C5">
        <w:t>mykoplazmata</w:t>
      </w:r>
      <w:proofErr w:type="spellEnd"/>
      <w:r w:rsidRPr="00A367C5">
        <w:t xml:space="preserve">. </w:t>
      </w:r>
    </w:p>
    <w:p w14:paraId="5A04C682" w14:textId="5FB38BE4" w:rsidR="002148A0" w:rsidRPr="00A367C5" w:rsidRDefault="002148A0" w:rsidP="002148A0">
      <w:pPr>
        <w:jc w:val="both"/>
      </w:pPr>
      <w:r w:rsidRPr="00A367C5">
        <w:t xml:space="preserve">Existuje několik mechanizmů rezistence bakterií k aminoglykosidům, jako je gentamicin. Nejčastějším mechanizmem rezistence k aminoglykosidům je enzymatická modifikace. Bylo nalezeno více než 50 různých enzymů. Enzymatická modifikace vede k rezistenci k vysokým koncentracím aminoglykosidů. Geny kódující enzymy, které modifikují aminoglykosidy, se nacházejí obvykle </w:t>
      </w:r>
      <w:r w:rsidR="000D12A0" w:rsidRPr="00A367C5">
        <w:t>na</w:t>
      </w:r>
      <w:r w:rsidRPr="00A367C5">
        <w:t xml:space="preserve"> plazmidech a transpozonech. Existují tři typy enzymů modifikujících aminoglykosidy:</w:t>
      </w:r>
    </w:p>
    <w:p w14:paraId="044052CE" w14:textId="77777777" w:rsidR="002148A0" w:rsidRPr="00A367C5" w:rsidRDefault="002148A0" w:rsidP="002148A0">
      <w:pPr>
        <w:jc w:val="both"/>
      </w:pPr>
      <w:r w:rsidRPr="00A367C5">
        <w:t xml:space="preserve">1. N-acetyltransferázy (AAC) - katalyzují </w:t>
      </w:r>
      <w:proofErr w:type="spellStart"/>
      <w:r w:rsidRPr="00A367C5">
        <w:t>CoA</w:t>
      </w:r>
      <w:proofErr w:type="spellEnd"/>
      <w:r w:rsidRPr="00A367C5">
        <w:t>-dependentní acetylaci aminoskupiny</w:t>
      </w:r>
    </w:p>
    <w:p w14:paraId="32B559B1" w14:textId="77777777" w:rsidR="002148A0" w:rsidRPr="00A367C5" w:rsidRDefault="002148A0" w:rsidP="002148A0">
      <w:pPr>
        <w:jc w:val="both"/>
      </w:pPr>
      <w:r w:rsidRPr="00A367C5">
        <w:t xml:space="preserve">2. O-adenyltransferázy (ANT) – katalyzují ATP-dependentní adenylaci hydroxylové skupiny </w:t>
      </w:r>
    </w:p>
    <w:p w14:paraId="723E9F42" w14:textId="77777777" w:rsidR="002148A0" w:rsidRPr="00A367C5" w:rsidRDefault="002148A0" w:rsidP="002148A0">
      <w:pPr>
        <w:jc w:val="both"/>
      </w:pPr>
      <w:r w:rsidRPr="00A367C5">
        <w:t xml:space="preserve">3. O-fosfotransferázy (APH) - katalyzují ATP-dependentní fosforylaci hydroxylové skupiny. </w:t>
      </w:r>
    </w:p>
    <w:p w14:paraId="67709D83" w14:textId="28CE15D8" w:rsidR="002148A0" w:rsidRPr="00A367C5" w:rsidRDefault="002148A0" w:rsidP="002148A0">
      <w:pPr>
        <w:jc w:val="both"/>
      </w:pPr>
      <w:r w:rsidRPr="00A367C5">
        <w:t xml:space="preserve">Mezi další mechanismy rezistence u bakterií patří mutace způsobující změnu vazebného místa aminoglykosidů na ribozomu, na podjednotce </w:t>
      </w:r>
      <w:proofErr w:type="gramStart"/>
      <w:r w:rsidRPr="00A367C5">
        <w:t>30S</w:t>
      </w:r>
      <w:proofErr w:type="gramEnd"/>
      <w:r w:rsidRPr="00A367C5">
        <w:t xml:space="preserve">, a snižování permeability bakteriální </w:t>
      </w:r>
      <w:r w:rsidR="00C55F70" w:rsidRPr="00A367C5">
        <w:t>buněčné st</w:t>
      </w:r>
      <w:r w:rsidR="00A367C5">
        <w:t>ě</w:t>
      </w:r>
      <w:r w:rsidR="00C55F70" w:rsidRPr="00A367C5">
        <w:t>ny</w:t>
      </w:r>
      <w:r w:rsidRPr="00A367C5">
        <w:t xml:space="preserve"> pro aminoglykosidy.</w:t>
      </w:r>
    </w:p>
    <w:p w14:paraId="32485E42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D54E850" w14:textId="77777777" w:rsidR="00690FEC" w:rsidRPr="00A367C5" w:rsidRDefault="00690FEC" w:rsidP="00690FEC">
      <w:pPr>
        <w:pStyle w:val="Style1"/>
      </w:pPr>
      <w:r w:rsidRPr="00A367C5">
        <w:t>4.3</w:t>
      </w:r>
      <w:r w:rsidRPr="00A367C5">
        <w:tab/>
        <w:t>Farmakokinetika</w:t>
      </w:r>
    </w:p>
    <w:p w14:paraId="5D6112D6" w14:textId="77777777" w:rsidR="00690FEC" w:rsidRPr="00A367C5" w:rsidRDefault="00690FEC" w:rsidP="00690FEC">
      <w:pPr>
        <w:pStyle w:val="Style1"/>
      </w:pPr>
    </w:p>
    <w:p w14:paraId="3BBCCCCD" w14:textId="0528C0A9" w:rsidR="002148A0" w:rsidRPr="00A367C5" w:rsidRDefault="002148A0" w:rsidP="002148A0">
      <w:pPr>
        <w:jc w:val="both"/>
      </w:pPr>
      <w:proofErr w:type="spellStart"/>
      <w:r w:rsidRPr="00A367C5">
        <w:t>Gentamicin</w:t>
      </w:r>
      <w:proofErr w:type="spellEnd"/>
      <w:r w:rsidRPr="00A367C5">
        <w:t xml:space="preserve"> je </w:t>
      </w:r>
      <w:r w:rsidR="00985E1A" w:rsidRPr="00A367C5">
        <w:t xml:space="preserve">po parenterálním podání </w:t>
      </w:r>
      <w:r w:rsidRPr="00A367C5">
        <w:t xml:space="preserve">velmi rychle a většinou úplně absorbován (biologická dostupnost 90 %). Plazmatického vrcholu je dosaženo během 30-90 minut a terapeuticky účinná krevní hladina trvá po 6-10 hodin. Je primárně distribuován v extracelulárních tekutinách a vykazuje vynikající prostupnost v pleuře a plicích, synovii a peritoneu, zvláště při zánětlivých stavech. Gentamicin se nedistribuuje do mozkomíšního moku. Gentamicin nepenetruje do buněk ani do abscesů. V přítomnosti zánětlivého detritu, v prostředí s nízkým obsahem kyslíku a při nízkém pH je gentamicin deaktivován. Gentamicin je eliminován v nezměněné podobě ledvinami glomerulární filtrací, která odstraňuje 85-95 % dávky. </w:t>
      </w:r>
    </w:p>
    <w:p w14:paraId="11F6C2DA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29DDD77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A367C5" w:rsidRDefault="00690FEC" w:rsidP="00690FEC">
      <w:pPr>
        <w:pStyle w:val="Style1"/>
      </w:pPr>
      <w:r w:rsidRPr="00A367C5">
        <w:t>5.</w:t>
      </w:r>
      <w:r w:rsidRPr="00A367C5">
        <w:tab/>
        <w:t>FARMACEUTICKÉ ÚDAJE</w:t>
      </w:r>
    </w:p>
    <w:p w14:paraId="42A920E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A367C5" w:rsidRDefault="00690FEC" w:rsidP="00690FEC">
      <w:pPr>
        <w:pStyle w:val="Style1"/>
      </w:pPr>
      <w:r w:rsidRPr="00A367C5">
        <w:t>5.1</w:t>
      </w:r>
      <w:r w:rsidRPr="00A367C5">
        <w:tab/>
        <w:t>Hlavní inkompatibility</w:t>
      </w:r>
    </w:p>
    <w:p w14:paraId="39153EB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274D585" w14:textId="0773C7EC" w:rsidR="002148A0" w:rsidRPr="00A367C5" w:rsidRDefault="002148A0" w:rsidP="002148A0">
      <w:pPr>
        <w:jc w:val="both"/>
      </w:pPr>
      <w:r w:rsidRPr="00A367C5">
        <w:t>Studie kompatibility nejsou k dispozici, a proto tento veterinární léčivý přípravek nesmí být mísen s žádnými dalšími veterinárními léčivými přípravky.</w:t>
      </w:r>
    </w:p>
    <w:p w14:paraId="53D7DAC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A367C5" w:rsidRDefault="00690FEC" w:rsidP="00690FEC">
      <w:pPr>
        <w:pStyle w:val="Style1"/>
      </w:pPr>
      <w:r w:rsidRPr="00A367C5">
        <w:t>5.2</w:t>
      </w:r>
      <w:r w:rsidRPr="00A367C5">
        <w:tab/>
        <w:t>Doba použitelnosti</w:t>
      </w:r>
    </w:p>
    <w:p w14:paraId="4478AB9A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57CAC53" w14:textId="77777777" w:rsidR="002148A0" w:rsidRPr="00A367C5" w:rsidRDefault="002148A0" w:rsidP="002148A0">
      <w:pPr>
        <w:jc w:val="both"/>
      </w:pPr>
      <w:r w:rsidRPr="00A367C5">
        <w:t xml:space="preserve">Doba použitelnosti veterinárního léčivého přípravku v neporušeném obalu: 2 roky. </w:t>
      </w:r>
    </w:p>
    <w:p w14:paraId="3A019117" w14:textId="473CC0F2" w:rsidR="00690FEC" w:rsidRPr="00A367C5" w:rsidRDefault="002148A0" w:rsidP="002148A0">
      <w:pPr>
        <w:tabs>
          <w:tab w:val="clear" w:pos="567"/>
        </w:tabs>
        <w:spacing w:line="240" w:lineRule="auto"/>
      </w:pPr>
      <w:r w:rsidRPr="00A367C5">
        <w:t>Doba použitelnost</w:t>
      </w:r>
      <w:r w:rsidR="00CE3EB8" w:rsidRPr="00A367C5">
        <w:t>i</w:t>
      </w:r>
      <w:r w:rsidRPr="00A367C5">
        <w:t xml:space="preserve"> po prvním otevření vnitřního obalu: 28 dnů.</w:t>
      </w:r>
    </w:p>
    <w:p w14:paraId="5F7DF50A" w14:textId="6716DDE7" w:rsidR="006C5244" w:rsidRPr="00A367C5" w:rsidRDefault="006C5244" w:rsidP="002148A0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A367C5" w:rsidRDefault="00690FEC" w:rsidP="00690FEC">
      <w:pPr>
        <w:pStyle w:val="Style1"/>
      </w:pPr>
      <w:r w:rsidRPr="00A367C5">
        <w:t>5.3</w:t>
      </w:r>
      <w:r w:rsidRPr="00A367C5">
        <w:tab/>
        <w:t>Zvláštní opatření pro uchovávání</w:t>
      </w:r>
    </w:p>
    <w:p w14:paraId="3B7EDCA2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CE30341" w14:textId="77777777" w:rsidR="00690FEC" w:rsidRPr="00A367C5" w:rsidRDefault="00690FEC" w:rsidP="00690FEC">
      <w:pPr>
        <w:pStyle w:val="Style5"/>
      </w:pPr>
      <w:r w:rsidRPr="00A367C5">
        <w:t xml:space="preserve">Uchovávejte při teplotě do 25 °C.  </w:t>
      </w:r>
    </w:p>
    <w:p w14:paraId="7C008444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A367C5">
        <w:t>Chraňte před světlem.</w:t>
      </w:r>
    </w:p>
    <w:p w14:paraId="3ADF12A0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A367C5" w:rsidRDefault="00690FEC" w:rsidP="00690FEC">
      <w:pPr>
        <w:pStyle w:val="Style1"/>
      </w:pPr>
      <w:r w:rsidRPr="00A367C5">
        <w:t>5.4</w:t>
      </w:r>
      <w:r w:rsidRPr="00A367C5">
        <w:tab/>
        <w:t>Druh a složení vnitřního obalu</w:t>
      </w:r>
    </w:p>
    <w:p w14:paraId="4345C194" w14:textId="77777777" w:rsidR="00690FEC" w:rsidRPr="00A367C5" w:rsidRDefault="00690FEC" w:rsidP="00690FEC">
      <w:pPr>
        <w:pStyle w:val="Style1"/>
      </w:pPr>
    </w:p>
    <w:p w14:paraId="3DE744A2" w14:textId="6CC91F6E" w:rsidR="002148A0" w:rsidRPr="00A367C5" w:rsidRDefault="002148A0" w:rsidP="002148A0">
      <w:pPr>
        <w:jc w:val="both"/>
      </w:pPr>
      <w:r w:rsidRPr="00A367C5">
        <w:t>100 ml injekční lahvička</w:t>
      </w:r>
      <w:r w:rsidRPr="00A367C5">
        <w:rPr>
          <w:b/>
        </w:rPr>
        <w:t xml:space="preserve"> </w:t>
      </w:r>
      <w:r w:rsidRPr="00A367C5">
        <w:t xml:space="preserve">z čirého bezbarvého skla typu I, uzavřená propichovací gumovou zátkou typu I a hliníkovou </w:t>
      </w:r>
      <w:proofErr w:type="spellStart"/>
      <w:r w:rsidRPr="00A367C5">
        <w:t>pertlí</w:t>
      </w:r>
      <w:proofErr w:type="spellEnd"/>
      <w:r w:rsidR="004F71F2" w:rsidRPr="00A367C5">
        <w:t xml:space="preserve">, v papírové krabičce. </w:t>
      </w:r>
      <w:r w:rsidRPr="00A367C5">
        <w:t xml:space="preserve"> </w:t>
      </w:r>
    </w:p>
    <w:p w14:paraId="3CEB480F" w14:textId="05A30920" w:rsidR="0088159E" w:rsidRPr="00A367C5" w:rsidRDefault="0088159E" w:rsidP="002148A0">
      <w:pPr>
        <w:jc w:val="both"/>
      </w:pPr>
    </w:p>
    <w:p w14:paraId="0BFBD532" w14:textId="7AC7B8DE" w:rsidR="002148A0" w:rsidRPr="00A367C5" w:rsidRDefault="002148A0" w:rsidP="002148A0">
      <w:pPr>
        <w:jc w:val="both"/>
      </w:pPr>
      <w:r w:rsidRPr="00A367C5">
        <w:rPr>
          <w:u w:val="single"/>
        </w:rPr>
        <w:t>Velikost</w:t>
      </w:r>
      <w:r w:rsidR="00EE0FBF" w:rsidRPr="00A367C5">
        <w:rPr>
          <w:u w:val="single"/>
        </w:rPr>
        <w:t>i</w:t>
      </w:r>
      <w:r w:rsidRPr="00A367C5">
        <w:rPr>
          <w:u w:val="single"/>
        </w:rPr>
        <w:t xml:space="preserve"> balení:</w:t>
      </w:r>
      <w:r w:rsidRPr="00A367C5">
        <w:t xml:space="preserve"> </w:t>
      </w:r>
    </w:p>
    <w:p w14:paraId="3FDAA6F6" w14:textId="5E7C54C7" w:rsidR="00940FFA" w:rsidRPr="00A367C5" w:rsidRDefault="002D2909" w:rsidP="00690FEC">
      <w:pPr>
        <w:tabs>
          <w:tab w:val="clear" w:pos="567"/>
        </w:tabs>
        <w:spacing w:line="240" w:lineRule="auto"/>
      </w:pPr>
      <w:r w:rsidRPr="00A367C5">
        <w:t>Papírová k</w:t>
      </w:r>
      <w:r w:rsidR="00826B27" w:rsidRPr="00A367C5">
        <w:t>rabička s</w:t>
      </w:r>
      <w:r w:rsidR="004F71F2" w:rsidRPr="00A367C5">
        <w:t> 1</w:t>
      </w:r>
      <w:r w:rsidR="00826B27" w:rsidRPr="00A367C5">
        <w:t xml:space="preserve"> x </w:t>
      </w:r>
      <w:r w:rsidR="004F71F2" w:rsidRPr="00A367C5">
        <w:t>100 ml lahvičkou</w:t>
      </w:r>
      <w:r w:rsidR="00826B27" w:rsidRPr="00A367C5">
        <w:t>.</w:t>
      </w:r>
    </w:p>
    <w:p w14:paraId="62CD3D51" w14:textId="77777777" w:rsidR="00C44972" w:rsidRPr="00A367C5" w:rsidRDefault="00C44972" w:rsidP="00690FEC">
      <w:pPr>
        <w:tabs>
          <w:tab w:val="clear" w:pos="567"/>
        </w:tabs>
        <w:spacing w:line="240" w:lineRule="auto"/>
      </w:pPr>
    </w:p>
    <w:p w14:paraId="24E4FB62" w14:textId="77777777" w:rsidR="00690FEC" w:rsidRPr="00A367C5" w:rsidRDefault="00690FEC" w:rsidP="00445CF6">
      <w:pPr>
        <w:pStyle w:val="Style1"/>
        <w:keepNext/>
        <w:jc w:val="both"/>
      </w:pPr>
      <w:r w:rsidRPr="00A367C5">
        <w:t>5.5</w:t>
      </w:r>
      <w:r w:rsidRPr="00A367C5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A367C5" w:rsidRDefault="00690FEC" w:rsidP="00445CF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92475" w14:textId="6B488D64" w:rsidR="00966B82" w:rsidRPr="00A367C5" w:rsidRDefault="00966B82" w:rsidP="00445C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Léčivé přípravky se nesmí likvidovat prostřednictvím odpadní vody</w:t>
      </w:r>
      <w:r w:rsidR="00CC56A1" w:rsidRPr="00A367C5">
        <w:rPr>
          <w:szCs w:val="22"/>
        </w:rPr>
        <w:t xml:space="preserve"> či domovního odpadu</w:t>
      </w:r>
      <w:r w:rsidRPr="00A367C5">
        <w:rPr>
          <w:szCs w:val="22"/>
        </w:rPr>
        <w:t>.</w:t>
      </w:r>
    </w:p>
    <w:p w14:paraId="757E657E" w14:textId="77777777" w:rsidR="006C5244" w:rsidRPr="00A367C5" w:rsidRDefault="006C5244" w:rsidP="00445C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7809C7FA" w:rsidR="00966B82" w:rsidRPr="00A367C5" w:rsidRDefault="00966B82" w:rsidP="00445C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367C5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5BCDB07" w14:textId="77777777" w:rsidR="00966B82" w:rsidRPr="00A367C5" w:rsidRDefault="00966B82" w:rsidP="008231B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9BD049" w14:textId="77777777" w:rsidR="00966B82" w:rsidRPr="00A367C5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A367C5" w:rsidRDefault="00690FEC" w:rsidP="00690FEC">
      <w:pPr>
        <w:pStyle w:val="Style1"/>
      </w:pPr>
      <w:r w:rsidRPr="00A367C5">
        <w:t>6.</w:t>
      </w:r>
      <w:r w:rsidRPr="00A367C5">
        <w:tab/>
        <w:t>JMÉNO DRŽITELE ROZHODNUTÍ O REGISTRACI</w:t>
      </w:r>
    </w:p>
    <w:p w14:paraId="6A890ECC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70994AF" w14:textId="6A5D553B" w:rsidR="00690FEC" w:rsidRPr="00A367C5" w:rsidRDefault="00966B82" w:rsidP="00690FEC">
      <w:pPr>
        <w:tabs>
          <w:tab w:val="clear" w:pos="567"/>
        </w:tabs>
        <w:spacing w:line="240" w:lineRule="auto"/>
        <w:rPr>
          <w:szCs w:val="22"/>
        </w:rPr>
      </w:pPr>
      <w:r w:rsidRPr="00A367C5">
        <w:t xml:space="preserve">FATRO </w:t>
      </w:r>
      <w:proofErr w:type="spellStart"/>
      <w:r w:rsidRPr="00A367C5">
        <w:t>S.p.A</w:t>
      </w:r>
      <w:proofErr w:type="spellEnd"/>
      <w:r w:rsidRPr="00A367C5">
        <w:t>.</w:t>
      </w:r>
      <w:r w:rsidR="002614AA" w:rsidRPr="00A367C5">
        <w:t xml:space="preserve"> </w:t>
      </w:r>
    </w:p>
    <w:p w14:paraId="3599B89E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54C6455" w14:textId="77777777" w:rsidR="00690FEC" w:rsidRPr="00A367C5" w:rsidRDefault="00690FEC" w:rsidP="00690FEC">
      <w:pPr>
        <w:pStyle w:val="Style1"/>
      </w:pPr>
    </w:p>
    <w:p w14:paraId="3EB1F00A" w14:textId="77777777" w:rsidR="00690FEC" w:rsidRPr="00A367C5" w:rsidRDefault="00690FEC" w:rsidP="00690FEC">
      <w:pPr>
        <w:pStyle w:val="Style1"/>
      </w:pPr>
      <w:r w:rsidRPr="00A367C5">
        <w:t>7.</w:t>
      </w:r>
      <w:r w:rsidRPr="00A367C5">
        <w:tab/>
        <w:t>REGISTRAČNÍ ČÍSLO</w:t>
      </w:r>
    </w:p>
    <w:p w14:paraId="4B527D55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69F0D95" w14:textId="15B1E9B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bookmarkStart w:id="6" w:name="_Hlk147417259"/>
      <w:r w:rsidRPr="00A367C5">
        <w:rPr>
          <w:szCs w:val="22"/>
        </w:rPr>
        <w:t>96/</w:t>
      </w:r>
      <w:r w:rsidR="002148A0" w:rsidRPr="00A367C5">
        <w:rPr>
          <w:szCs w:val="22"/>
        </w:rPr>
        <w:t>370</w:t>
      </w:r>
      <w:r w:rsidRPr="00A367C5">
        <w:rPr>
          <w:szCs w:val="22"/>
        </w:rPr>
        <w:t>/</w:t>
      </w:r>
      <w:proofErr w:type="gramStart"/>
      <w:r w:rsidRPr="00A367C5">
        <w:rPr>
          <w:szCs w:val="22"/>
        </w:rPr>
        <w:t>9</w:t>
      </w:r>
      <w:r w:rsidR="002148A0" w:rsidRPr="00A367C5">
        <w:rPr>
          <w:szCs w:val="22"/>
        </w:rPr>
        <w:t>3</w:t>
      </w:r>
      <w:r w:rsidRPr="00A367C5">
        <w:rPr>
          <w:szCs w:val="22"/>
        </w:rPr>
        <w:t>-C</w:t>
      </w:r>
      <w:proofErr w:type="gramEnd"/>
    </w:p>
    <w:bookmarkEnd w:id="6"/>
    <w:p w14:paraId="0ED8CF98" w14:textId="3141BB3E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1B8F46B" w14:textId="77777777" w:rsidR="007B223E" w:rsidRPr="00A367C5" w:rsidRDefault="007B223E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A367C5" w:rsidRDefault="00690FEC" w:rsidP="00690FEC">
      <w:pPr>
        <w:pStyle w:val="Style1"/>
      </w:pPr>
      <w:r w:rsidRPr="00A367C5">
        <w:t>8.</w:t>
      </w:r>
      <w:r w:rsidRPr="00A367C5">
        <w:tab/>
        <w:t>DATUM PRVNÍ REGISTRACE</w:t>
      </w:r>
    </w:p>
    <w:p w14:paraId="65DDEFB4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C08C115" w14:textId="083FB7C8" w:rsidR="002148A0" w:rsidRPr="00A367C5" w:rsidRDefault="00A6027A" w:rsidP="002148A0">
      <w:pPr>
        <w:jc w:val="both"/>
      </w:pPr>
      <w:r w:rsidRPr="00A367C5">
        <w:rPr>
          <w:szCs w:val="22"/>
        </w:rPr>
        <w:t>Datum první r</w:t>
      </w:r>
      <w:r w:rsidR="00C33286" w:rsidRPr="00A367C5">
        <w:rPr>
          <w:szCs w:val="22"/>
        </w:rPr>
        <w:t xml:space="preserve">egistrace: </w:t>
      </w:r>
      <w:r w:rsidR="002148A0" w:rsidRPr="00A367C5">
        <w:t>28</w:t>
      </w:r>
      <w:r w:rsidR="00CC56A1" w:rsidRPr="00A367C5">
        <w:t>/</w:t>
      </w:r>
      <w:r w:rsidR="002148A0" w:rsidRPr="00A367C5">
        <w:t>04</w:t>
      </w:r>
      <w:r w:rsidR="00CC56A1" w:rsidRPr="00A367C5">
        <w:t>/</w:t>
      </w:r>
      <w:r w:rsidR="002148A0" w:rsidRPr="00A367C5">
        <w:t>1993</w:t>
      </w:r>
    </w:p>
    <w:p w14:paraId="7DE3D697" w14:textId="77777777" w:rsidR="00C33286" w:rsidRPr="00A367C5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E70C47" w14:textId="77777777" w:rsidR="00C33286" w:rsidRPr="00A367C5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A367C5" w:rsidRDefault="00690FEC" w:rsidP="00690FEC">
      <w:pPr>
        <w:pStyle w:val="Style1"/>
      </w:pPr>
      <w:r w:rsidRPr="00A367C5">
        <w:t>9.</w:t>
      </w:r>
      <w:r w:rsidRPr="00A367C5">
        <w:tab/>
        <w:t>DATUM POSLEDNÍ AKTUALIZACE SOUHRNU ÚDAJŮ O PŘÍPRAVKU</w:t>
      </w:r>
    </w:p>
    <w:p w14:paraId="6A553578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9F00234" w14:textId="7CF45AE2" w:rsidR="00690FEC" w:rsidRPr="00A367C5" w:rsidRDefault="0026558E" w:rsidP="00690FE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r w:rsidR="00985E1A" w:rsidRPr="00A367C5">
        <w:rPr>
          <w:szCs w:val="22"/>
        </w:rPr>
        <w:t>/2025</w:t>
      </w:r>
    </w:p>
    <w:p w14:paraId="00447017" w14:textId="07830A77" w:rsidR="00CB16B6" w:rsidRPr="00A367C5" w:rsidRDefault="00CB16B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A367C5" w:rsidRDefault="00690FEC" w:rsidP="00690FEC">
      <w:pPr>
        <w:pStyle w:val="Style1"/>
      </w:pPr>
      <w:r w:rsidRPr="00A367C5">
        <w:t>10.</w:t>
      </w:r>
      <w:r w:rsidRPr="00A367C5">
        <w:tab/>
        <w:t>KLASIFIKACE VETERINÁRNÍCH LÉČIVÝCH PŘÍPRAVKŮ</w:t>
      </w:r>
    </w:p>
    <w:p w14:paraId="642D4114" w14:textId="77777777" w:rsidR="00690FEC" w:rsidRPr="00A367C5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269187" w14:textId="296BA88D" w:rsidR="00690FEC" w:rsidRPr="00A367C5" w:rsidRDefault="00690FEC" w:rsidP="00FA05E6">
      <w:pPr>
        <w:numPr>
          <w:ilvl w:val="12"/>
          <w:numId w:val="0"/>
        </w:numPr>
        <w:jc w:val="both"/>
      </w:pPr>
      <w:bookmarkStart w:id="7" w:name="_Hlk147417173"/>
      <w:r w:rsidRPr="00A367C5">
        <w:t>Veterinární léčivý přípravek je vydáván pouze na předpis.</w:t>
      </w:r>
    </w:p>
    <w:p w14:paraId="222DE5C4" w14:textId="55774D7B" w:rsidR="00C94E47" w:rsidRPr="00A367C5" w:rsidRDefault="00C94E47" w:rsidP="00FA05E6">
      <w:pPr>
        <w:numPr>
          <w:ilvl w:val="12"/>
          <w:numId w:val="0"/>
        </w:numPr>
        <w:jc w:val="both"/>
        <w:rPr>
          <w:szCs w:val="22"/>
        </w:rPr>
      </w:pPr>
    </w:p>
    <w:p w14:paraId="5CE45A66" w14:textId="4C857E5F" w:rsidR="00C94E47" w:rsidRPr="00A367C5" w:rsidRDefault="00C94E47" w:rsidP="00FA05E6">
      <w:pPr>
        <w:numPr>
          <w:ilvl w:val="12"/>
          <w:numId w:val="0"/>
        </w:numPr>
        <w:jc w:val="both"/>
        <w:rPr>
          <w:szCs w:val="22"/>
        </w:rPr>
      </w:pPr>
      <w:r w:rsidRPr="00A367C5">
        <w:rPr>
          <w:szCs w:val="22"/>
        </w:rPr>
        <w:t>Přípravek s indikačním omezením.</w:t>
      </w:r>
    </w:p>
    <w:bookmarkEnd w:id="7"/>
    <w:p w14:paraId="5DA9CC25" w14:textId="77777777" w:rsidR="00690FEC" w:rsidRPr="00A367C5" w:rsidRDefault="00690FEC" w:rsidP="0026558E">
      <w:pPr>
        <w:jc w:val="both"/>
        <w:rPr>
          <w:szCs w:val="22"/>
        </w:rPr>
      </w:pPr>
    </w:p>
    <w:p w14:paraId="22ACEE5F" w14:textId="207E7F20" w:rsidR="00736DAC" w:rsidRPr="00A367C5" w:rsidRDefault="00736DAC" w:rsidP="0026558E">
      <w:pPr>
        <w:jc w:val="both"/>
        <w:rPr>
          <w:i/>
          <w:szCs w:val="22"/>
        </w:rPr>
      </w:pPr>
      <w:bookmarkStart w:id="8" w:name="_Hlk73467306"/>
      <w:r w:rsidRPr="00A367C5">
        <w:t xml:space="preserve">Podrobné informace o tomto veterinárním léčivém přípravku jsou k dispozici v databázi přípravků Unie </w:t>
      </w:r>
      <w:r w:rsidRPr="00A367C5">
        <w:rPr>
          <w:szCs w:val="22"/>
        </w:rPr>
        <w:t>(</w:t>
      </w:r>
      <w:hyperlink r:id="rId8" w:history="1">
        <w:r w:rsidRPr="00A367C5">
          <w:rPr>
            <w:rStyle w:val="Hypertextovodkaz"/>
            <w:szCs w:val="22"/>
          </w:rPr>
          <w:t>https://medicines.health.europa.eu/veterinary</w:t>
        </w:r>
      </w:hyperlink>
      <w:r w:rsidRPr="00A367C5">
        <w:rPr>
          <w:szCs w:val="22"/>
        </w:rPr>
        <w:t>)</w:t>
      </w:r>
      <w:r w:rsidRPr="00A367C5">
        <w:rPr>
          <w:i/>
          <w:szCs w:val="22"/>
        </w:rPr>
        <w:t>.</w:t>
      </w:r>
      <w:bookmarkEnd w:id="8"/>
    </w:p>
    <w:p w14:paraId="256C5FEF" w14:textId="77777777" w:rsidR="005A3008" w:rsidRPr="00A367C5" w:rsidRDefault="005A3008" w:rsidP="0026558E">
      <w:pPr>
        <w:jc w:val="both"/>
        <w:rPr>
          <w:szCs w:val="22"/>
        </w:rPr>
      </w:pPr>
    </w:p>
    <w:p w14:paraId="507BA3BB" w14:textId="77777777" w:rsidR="00B65ABA" w:rsidRPr="00B65ABA" w:rsidRDefault="00B65ABA" w:rsidP="00B65ABA">
      <w:pPr>
        <w:spacing w:line="240" w:lineRule="auto"/>
        <w:jc w:val="both"/>
      </w:pPr>
      <w:bookmarkStart w:id="9" w:name="_Hlk148433929"/>
      <w:r w:rsidRPr="00B65ABA">
        <w:t>Podrobné informace o tomto veterinárním léčivém přípravku naleznete také v národní databázi (</w:t>
      </w:r>
      <w:hyperlink r:id="rId9" w:history="1">
        <w:r w:rsidRPr="00B65ABA">
          <w:rPr>
            <w:rStyle w:val="Hypertextovodkaz"/>
          </w:rPr>
          <w:t>https://www.uskvbl.cz</w:t>
        </w:r>
      </w:hyperlink>
      <w:r w:rsidRPr="00B65ABA">
        <w:t>).</w:t>
      </w:r>
      <w:bookmarkEnd w:id="9"/>
    </w:p>
    <w:p w14:paraId="446D1C59" w14:textId="6F793CFD" w:rsidR="00736529" w:rsidRPr="00A367C5" w:rsidRDefault="00736529" w:rsidP="00AD6747">
      <w:pPr>
        <w:tabs>
          <w:tab w:val="clear" w:pos="567"/>
        </w:tabs>
        <w:spacing w:line="240" w:lineRule="auto"/>
        <w:rPr>
          <w:szCs w:val="22"/>
        </w:rPr>
      </w:pPr>
      <w:bookmarkStart w:id="10" w:name="_GoBack"/>
      <w:bookmarkEnd w:id="10"/>
    </w:p>
    <w:sectPr w:rsidR="00736529" w:rsidRPr="00A367C5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90306A" w16cex:dateUtc="2024-10-23T1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83F8" w14:textId="77777777" w:rsidR="008F494C" w:rsidRDefault="008F494C">
      <w:pPr>
        <w:spacing w:line="240" w:lineRule="auto"/>
      </w:pPr>
      <w:r>
        <w:separator/>
      </w:r>
    </w:p>
  </w:endnote>
  <w:endnote w:type="continuationSeparator" w:id="0">
    <w:p w14:paraId="202F6B52" w14:textId="77777777" w:rsidR="008F494C" w:rsidRDefault="008F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0FBFCE2" w:rsidR="00D72F6D" w:rsidRPr="00E0068C" w:rsidRDefault="00D72F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11BE9">
      <w:rPr>
        <w:rFonts w:ascii="Times New Roman" w:hAnsi="Times New Roman"/>
        <w:noProof/>
      </w:rPr>
      <w:t>20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72F6D" w:rsidRPr="00E0068C" w:rsidRDefault="00D72F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E675" w14:textId="77777777" w:rsidR="008F494C" w:rsidRDefault="008F494C">
      <w:pPr>
        <w:spacing w:line="240" w:lineRule="auto"/>
      </w:pPr>
      <w:r>
        <w:separator/>
      </w:r>
    </w:p>
  </w:footnote>
  <w:footnote w:type="continuationSeparator" w:id="0">
    <w:p w14:paraId="63CCE1CE" w14:textId="77777777" w:rsidR="008F494C" w:rsidRDefault="008F49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D2C"/>
    <w:rsid w:val="0001638F"/>
    <w:rsid w:val="00021B82"/>
    <w:rsid w:val="00024777"/>
    <w:rsid w:val="00024E21"/>
    <w:rsid w:val="00027100"/>
    <w:rsid w:val="000349AA"/>
    <w:rsid w:val="00036C50"/>
    <w:rsid w:val="000429AB"/>
    <w:rsid w:val="0004784D"/>
    <w:rsid w:val="00052D2B"/>
    <w:rsid w:val="00053D4C"/>
    <w:rsid w:val="00054F55"/>
    <w:rsid w:val="0005687F"/>
    <w:rsid w:val="00056EE7"/>
    <w:rsid w:val="00062945"/>
    <w:rsid w:val="00063946"/>
    <w:rsid w:val="0007146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CD4"/>
    <w:rsid w:val="000B03EC"/>
    <w:rsid w:val="000B0486"/>
    <w:rsid w:val="000B7873"/>
    <w:rsid w:val="000C02A1"/>
    <w:rsid w:val="000C1D4F"/>
    <w:rsid w:val="000C3ED7"/>
    <w:rsid w:val="000C55E6"/>
    <w:rsid w:val="000C687A"/>
    <w:rsid w:val="000C6CDF"/>
    <w:rsid w:val="000D12A0"/>
    <w:rsid w:val="000D26C9"/>
    <w:rsid w:val="000D67D0"/>
    <w:rsid w:val="000E0FB7"/>
    <w:rsid w:val="000E115E"/>
    <w:rsid w:val="000E195C"/>
    <w:rsid w:val="000E3602"/>
    <w:rsid w:val="000E705A"/>
    <w:rsid w:val="000F38DA"/>
    <w:rsid w:val="000F5822"/>
    <w:rsid w:val="000F7443"/>
    <w:rsid w:val="000F796B"/>
    <w:rsid w:val="0010031E"/>
    <w:rsid w:val="001012EB"/>
    <w:rsid w:val="00102F4D"/>
    <w:rsid w:val="001070F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70EE"/>
    <w:rsid w:val="00164543"/>
    <w:rsid w:val="00164C48"/>
    <w:rsid w:val="001674D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810"/>
    <w:rsid w:val="001A0BC6"/>
    <w:rsid w:val="001A0E2C"/>
    <w:rsid w:val="001A1238"/>
    <w:rsid w:val="001A28C9"/>
    <w:rsid w:val="001A34BC"/>
    <w:rsid w:val="001A621E"/>
    <w:rsid w:val="001A6FD8"/>
    <w:rsid w:val="001B1C77"/>
    <w:rsid w:val="001B26EB"/>
    <w:rsid w:val="001B3611"/>
    <w:rsid w:val="001B6F4A"/>
    <w:rsid w:val="001B79F2"/>
    <w:rsid w:val="001B7B38"/>
    <w:rsid w:val="001C5288"/>
    <w:rsid w:val="001C5B03"/>
    <w:rsid w:val="001D4CE4"/>
    <w:rsid w:val="001D5AF2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B0A"/>
    <w:rsid w:val="00202A85"/>
    <w:rsid w:val="00202EA3"/>
    <w:rsid w:val="002100FC"/>
    <w:rsid w:val="00213890"/>
    <w:rsid w:val="002148A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3C"/>
    <w:rsid w:val="0025748D"/>
    <w:rsid w:val="0026068F"/>
    <w:rsid w:val="002614AA"/>
    <w:rsid w:val="0026558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9A6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909"/>
    <w:rsid w:val="002D300D"/>
    <w:rsid w:val="002D36A1"/>
    <w:rsid w:val="002E0CD4"/>
    <w:rsid w:val="002E3A90"/>
    <w:rsid w:val="002E40AF"/>
    <w:rsid w:val="002E46CC"/>
    <w:rsid w:val="002E4F48"/>
    <w:rsid w:val="002E62CB"/>
    <w:rsid w:val="002E6DF1"/>
    <w:rsid w:val="002E6ED9"/>
    <w:rsid w:val="002E7F97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AD9"/>
    <w:rsid w:val="00315A70"/>
    <w:rsid w:val="00316E87"/>
    <w:rsid w:val="0032126B"/>
    <w:rsid w:val="0032453E"/>
    <w:rsid w:val="00325053"/>
    <w:rsid w:val="003256AC"/>
    <w:rsid w:val="00330CC1"/>
    <w:rsid w:val="0033129D"/>
    <w:rsid w:val="003320ED"/>
    <w:rsid w:val="0033480E"/>
    <w:rsid w:val="0033602B"/>
    <w:rsid w:val="00337123"/>
    <w:rsid w:val="00341866"/>
    <w:rsid w:val="00342C0C"/>
    <w:rsid w:val="00344B57"/>
    <w:rsid w:val="003535E0"/>
    <w:rsid w:val="003543AC"/>
    <w:rsid w:val="00355AB8"/>
    <w:rsid w:val="00355D02"/>
    <w:rsid w:val="00361607"/>
    <w:rsid w:val="00365C0D"/>
    <w:rsid w:val="00366F56"/>
    <w:rsid w:val="00367540"/>
    <w:rsid w:val="003679FE"/>
    <w:rsid w:val="003703C6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45AD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1D9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6E7"/>
    <w:rsid w:val="00406F33"/>
    <w:rsid w:val="00407210"/>
    <w:rsid w:val="00407C22"/>
    <w:rsid w:val="00411250"/>
    <w:rsid w:val="00412BBE"/>
    <w:rsid w:val="0041304F"/>
    <w:rsid w:val="00414B20"/>
    <w:rsid w:val="0041628A"/>
    <w:rsid w:val="0041672E"/>
    <w:rsid w:val="00417A5A"/>
    <w:rsid w:val="00417DE3"/>
    <w:rsid w:val="00420850"/>
    <w:rsid w:val="00423968"/>
    <w:rsid w:val="00426675"/>
    <w:rsid w:val="00427054"/>
    <w:rsid w:val="004304B1"/>
    <w:rsid w:val="00432DA8"/>
    <w:rsid w:val="0043320A"/>
    <w:rsid w:val="004332E3"/>
    <w:rsid w:val="0043586F"/>
    <w:rsid w:val="00436B42"/>
    <w:rsid w:val="004371A3"/>
    <w:rsid w:val="00445CF6"/>
    <w:rsid w:val="00446960"/>
    <w:rsid w:val="00446F37"/>
    <w:rsid w:val="00447D4A"/>
    <w:rsid w:val="004518A6"/>
    <w:rsid w:val="00453E1D"/>
    <w:rsid w:val="00454589"/>
    <w:rsid w:val="00454B20"/>
    <w:rsid w:val="00456ED0"/>
    <w:rsid w:val="00457550"/>
    <w:rsid w:val="00457B74"/>
    <w:rsid w:val="00461B2A"/>
    <w:rsid w:val="004620A4"/>
    <w:rsid w:val="004660DB"/>
    <w:rsid w:val="00466C98"/>
    <w:rsid w:val="00470C48"/>
    <w:rsid w:val="00472A3D"/>
    <w:rsid w:val="00474C50"/>
    <w:rsid w:val="004768DB"/>
    <w:rsid w:val="004771F9"/>
    <w:rsid w:val="00486006"/>
    <w:rsid w:val="004865A1"/>
    <w:rsid w:val="00486BAD"/>
    <w:rsid w:val="00486BBE"/>
    <w:rsid w:val="00487123"/>
    <w:rsid w:val="00495A75"/>
    <w:rsid w:val="00495CAE"/>
    <w:rsid w:val="0049641F"/>
    <w:rsid w:val="004A005B"/>
    <w:rsid w:val="004A1BD5"/>
    <w:rsid w:val="004A29E1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4E20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6AAE"/>
    <w:rsid w:val="005070C8"/>
    <w:rsid w:val="00514BE4"/>
    <w:rsid w:val="00517756"/>
    <w:rsid w:val="005202C6"/>
    <w:rsid w:val="005211E5"/>
    <w:rsid w:val="00522394"/>
    <w:rsid w:val="00522CDB"/>
    <w:rsid w:val="00523C53"/>
    <w:rsid w:val="00524775"/>
    <w:rsid w:val="005272F4"/>
    <w:rsid w:val="00527B8F"/>
    <w:rsid w:val="00533D58"/>
    <w:rsid w:val="00536031"/>
    <w:rsid w:val="0054134B"/>
    <w:rsid w:val="00542012"/>
    <w:rsid w:val="00543DF5"/>
    <w:rsid w:val="00545A61"/>
    <w:rsid w:val="0055260D"/>
    <w:rsid w:val="00554009"/>
    <w:rsid w:val="005546CE"/>
    <w:rsid w:val="00554DEA"/>
    <w:rsid w:val="00555422"/>
    <w:rsid w:val="00555810"/>
    <w:rsid w:val="00562715"/>
    <w:rsid w:val="00562DCA"/>
    <w:rsid w:val="0056568F"/>
    <w:rsid w:val="0057436C"/>
    <w:rsid w:val="00575DE3"/>
    <w:rsid w:val="005769B8"/>
    <w:rsid w:val="00577DA1"/>
    <w:rsid w:val="00580B08"/>
    <w:rsid w:val="00582578"/>
    <w:rsid w:val="00584EA7"/>
    <w:rsid w:val="0058513F"/>
    <w:rsid w:val="0058621D"/>
    <w:rsid w:val="00586904"/>
    <w:rsid w:val="005A3008"/>
    <w:rsid w:val="005A4CBE"/>
    <w:rsid w:val="005A5EC8"/>
    <w:rsid w:val="005B04A8"/>
    <w:rsid w:val="005B0B59"/>
    <w:rsid w:val="005B1FD0"/>
    <w:rsid w:val="005B28AD"/>
    <w:rsid w:val="005B328D"/>
    <w:rsid w:val="005B3503"/>
    <w:rsid w:val="005B3EE7"/>
    <w:rsid w:val="005B4DCD"/>
    <w:rsid w:val="005B4FAD"/>
    <w:rsid w:val="005C276A"/>
    <w:rsid w:val="005C3470"/>
    <w:rsid w:val="005C5F5C"/>
    <w:rsid w:val="005C625A"/>
    <w:rsid w:val="005D380C"/>
    <w:rsid w:val="005D3F79"/>
    <w:rsid w:val="005D6E04"/>
    <w:rsid w:val="005D7A12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610"/>
    <w:rsid w:val="00623795"/>
    <w:rsid w:val="0062387A"/>
    <w:rsid w:val="00624670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320F"/>
    <w:rsid w:val="00653D64"/>
    <w:rsid w:val="00654E13"/>
    <w:rsid w:val="0066230B"/>
    <w:rsid w:val="00666D8B"/>
    <w:rsid w:val="00667489"/>
    <w:rsid w:val="00670D44"/>
    <w:rsid w:val="00673F4C"/>
    <w:rsid w:val="00676AFC"/>
    <w:rsid w:val="00676FAF"/>
    <w:rsid w:val="006807CD"/>
    <w:rsid w:val="00682D43"/>
    <w:rsid w:val="00684D17"/>
    <w:rsid w:val="0068507D"/>
    <w:rsid w:val="00685BAF"/>
    <w:rsid w:val="006870F5"/>
    <w:rsid w:val="00690289"/>
    <w:rsid w:val="00690463"/>
    <w:rsid w:val="00690FEC"/>
    <w:rsid w:val="00691981"/>
    <w:rsid w:val="0069307F"/>
    <w:rsid w:val="00693DE5"/>
    <w:rsid w:val="006961E7"/>
    <w:rsid w:val="006A0D03"/>
    <w:rsid w:val="006A41E9"/>
    <w:rsid w:val="006A46ED"/>
    <w:rsid w:val="006B12CB"/>
    <w:rsid w:val="006B2030"/>
    <w:rsid w:val="006B5916"/>
    <w:rsid w:val="006C3425"/>
    <w:rsid w:val="006C4775"/>
    <w:rsid w:val="006C4F4A"/>
    <w:rsid w:val="006C5244"/>
    <w:rsid w:val="006C5E80"/>
    <w:rsid w:val="006C7CEE"/>
    <w:rsid w:val="006D075E"/>
    <w:rsid w:val="006D09DC"/>
    <w:rsid w:val="006D3509"/>
    <w:rsid w:val="006D388D"/>
    <w:rsid w:val="006D74F5"/>
    <w:rsid w:val="006D7C6E"/>
    <w:rsid w:val="006E15A2"/>
    <w:rsid w:val="006E2A97"/>
    <w:rsid w:val="006E2F95"/>
    <w:rsid w:val="006E4C52"/>
    <w:rsid w:val="006E4C6C"/>
    <w:rsid w:val="006F148B"/>
    <w:rsid w:val="00705EAF"/>
    <w:rsid w:val="0070773E"/>
    <w:rsid w:val="007101CC"/>
    <w:rsid w:val="00713706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6529"/>
    <w:rsid w:val="00736B1E"/>
    <w:rsid w:val="00736DAC"/>
    <w:rsid w:val="007439DB"/>
    <w:rsid w:val="007464DA"/>
    <w:rsid w:val="00752194"/>
    <w:rsid w:val="007568D8"/>
    <w:rsid w:val="007616B4"/>
    <w:rsid w:val="00765316"/>
    <w:rsid w:val="00766EAC"/>
    <w:rsid w:val="007708C8"/>
    <w:rsid w:val="00773734"/>
    <w:rsid w:val="0077719D"/>
    <w:rsid w:val="00780DF0"/>
    <w:rsid w:val="007810B7"/>
    <w:rsid w:val="00782F0F"/>
    <w:rsid w:val="0078538F"/>
    <w:rsid w:val="00787482"/>
    <w:rsid w:val="00791908"/>
    <w:rsid w:val="007A286D"/>
    <w:rsid w:val="007A2B13"/>
    <w:rsid w:val="007A30A0"/>
    <w:rsid w:val="007A314D"/>
    <w:rsid w:val="007A38DF"/>
    <w:rsid w:val="007A3E92"/>
    <w:rsid w:val="007B00E5"/>
    <w:rsid w:val="007B20CF"/>
    <w:rsid w:val="007B223E"/>
    <w:rsid w:val="007B22B3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8009B2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154A4"/>
    <w:rsid w:val="008160FB"/>
    <w:rsid w:val="0082153D"/>
    <w:rsid w:val="008231BA"/>
    <w:rsid w:val="00824321"/>
    <w:rsid w:val="008255AA"/>
    <w:rsid w:val="00826B27"/>
    <w:rsid w:val="00826C14"/>
    <w:rsid w:val="00827517"/>
    <w:rsid w:val="00830FF3"/>
    <w:rsid w:val="008334BF"/>
    <w:rsid w:val="00836B8C"/>
    <w:rsid w:val="00840062"/>
    <w:rsid w:val="008407C7"/>
    <w:rsid w:val="008410C5"/>
    <w:rsid w:val="00846C08"/>
    <w:rsid w:val="00850794"/>
    <w:rsid w:val="00852FF2"/>
    <w:rsid w:val="008530E7"/>
    <w:rsid w:val="00854E71"/>
    <w:rsid w:val="00855568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59E"/>
    <w:rsid w:val="008816B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2A0"/>
    <w:rsid w:val="00895A2F"/>
    <w:rsid w:val="00896EBD"/>
    <w:rsid w:val="008A026F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2EF8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94C"/>
    <w:rsid w:val="008F4DEF"/>
    <w:rsid w:val="008F6D75"/>
    <w:rsid w:val="00903D0D"/>
    <w:rsid w:val="009048E1"/>
    <w:rsid w:val="0090598C"/>
    <w:rsid w:val="00905CAB"/>
    <w:rsid w:val="00906905"/>
    <w:rsid w:val="009071BB"/>
    <w:rsid w:val="00911BE9"/>
    <w:rsid w:val="0091276C"/>
    <w:rsid w:val="0091301F"/>
    <w:rsid w:val="00913885"/>
    <w:rsid w:val="00915ABF"/>
    <w:rsid w:val="00921CAD"/>
    <w:rsid w:val="0092455E"/>
    <w:rsid w:val="00927F9B"/>
    <w:rsid w:val="009311ED"/>
    <w:rsid w:val="009319B7"/>
    <w:rsid w:val="00931B37"/>
    <w:rsid w:val="00931D41"/>
    <w:rsid w:val="00931E5C"/>
    <w:rsid w:val="00933D18"/>
    <w:rsid w:val="00940FFA"/>
    <w:rsid w:val="00942221"/>
    <w:rsid w:val="00950FBB"/>
    <w:rsid w:val="00951118"/>
    <w:rsid w:val="0095122F"/>
    <w:rsid w:val="009518D8"/>
    <w:rsid w:val="00953349"/>
    <w:rsid w:val="00953E4C"/>
    <w:rsid w:val="00954E0C"/>
    <w:rsid w:val="009568E5"/>
    <w:rsid w:val="00961156"/>
    <w:rsid w:val="00963F72"/>
    <w:rsid w:val="00964F03"/>
    <w:rsid w:val="00966B82"/>
    <w:rsid w:val="00966F1F"/>
    <w:rsid w:val="00972A64"/>
    <w:rsid w:val="00975676"/>
    <w:rsid w:val="00975F45"/>
    <w:rsid w:val="00976467"/>
    <w:rsid w:val="00976D32"/>
    <w:rsid w:val="009844F7"/>
    <w:rsid w:val="00985E1A"/>
    <w:rsid w:val="0098707D"/>
    <w:rsid w:val="009938F7"/>
    <w:rsid w:val="009956C1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507"/>
    <w:rsid w:val="009D0C05"/>
    <w:rsid w:val="009D7A99"/>
    <w:rsid w:val="009E24B7"/>
    <w:rsid w:val="009E2C00"/>
    <w:rsid w:val="009E3EF5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47F9"/>
    <w:rsid w:val="00A265BF"/>
    <w:rsid w:val="00A26F44"/>
    <w:rsid w:val="00A30E3A"/>
    <w:rsid w:val="00A34FAB"/>
    <w:rsid w:val="00A3640A"/>
    <w:rsid w:val="00A367C5"/>
    <w:rsid w:val="00A42C43"/>
    <w:rsid w:val="00A4313D"/>
    <w:rsid w:val="00A50120"/>
    <w:rsid w:val="00A55283"/>
    <w:rsid w:val="00A6027A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5E27"/>
    <w:rsid w:val="00A82AA0"/>
    <w:rsid w:val="00A82F8A"/>
    <w:rsid w:val="00A84622"/>
    <w:rsid w:val="00A84BF0"/>
    <w:rsid w:val="00A8702B"/>
    <w:rsid w:val="00A9226B"/>
    <w:rsid w:val="00A9575C"/>
    <w:rsid w:val="00A95B56"/>
    <w:rsid w:val="00A95E81"/>
    <w:rsid w:val="00A969AF"/>
    <w:rsid w:val="00AB14D6"/>
    <w:rsid w:val="00AB1A2E"/>
    <w:rsid w:val="00AB328A"/>
    <w:rsid w:val="00AB4918"/>
    <w:rsid w:val="00AB4BC8"/>
    <w:rsid w:val="00AB4C25"/>
    <w:rsid w:val="00AB550C"/>
    <w:rsid w:val="00AB6BA7"/>
    <w:rsid w:val="00AB7BE8"/>
    <w:rsid w:val="00AC2384"/>
    <w:rsid w:val="00AD0710"/>
    <w:rsid w:val="00AD1192"/>
    <w:rsid w:val="00AD325E"/>
    <w:rsid w:val="00AD4DB9"/>
    <w:rsid w:val="00AD63C0"/>
    <w:rsid w:val="00AD6747"/>
    <w:rsid w:val="00AD6DA0"/>
    <w:rsid w:val="00AD77A6"/>
    <w:rsid w:val="00AE35B2"/>
    <w:rsid w:val="00AE6AA0"/>
    <w:rsid w:val="00AE6AA7"/>
    <w:rsid w:val="00AF406C"/>
    <w:rsid w:val="00AF45ED"/>
    <w:rsid w:val="00B00CA4"/>
    <w:rsid w:val="00B01331"/>
    <w:rsid w:val="00B02195"/>
    <w:rsid w:val="00B075D6"/>
    <w:rsid w:val="00B113B9"/>
    <w:rsid w:val="00B119A2"/>
    <w:rsid w:val="00B1246E"/>
    <w:rsid w:val="00B13B6D"/>
    <w:rsid w:val="00B1652C"/>
    <w:rsid w:val="00B177F2"/>
    <w:rsid w:val="00B201F1"/>
    <w:rsid w:val="00B2603F"/>
    <w:rsid w:val="00B304E7"/>
    <w:rsid w:val="00B30A74"/>
    <w:rsid w:val="00B318B6"/>
    <w:rsid w:val="00B3499B"/>
    <w:rsid w:val="00B36E65"/>
    <w:rsid w:val="00B41D57"/>
    <w:rsid w:val="00B41F47"/>
    <w:rsid w:val="00B44468"/>
    <w:rsid w:val="00B456D2"/>
    <w:rsid w:val="00B468AA"/>
    <w:rsid w:val="00B52ED4"/>
    <w:rsid w:val="00B60AC9"/>
    <w:rsid w:val="00B65ABA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A53"/>
    <w:rsid w:val="00B81C95"/>
    <w:rsid w:val="00B82330"/>
    <w:rsid w:val="00B82ED4"/>
    <w:rsid w:val="00B8424F"/>
    <w:rsid w:val="00B86896"/>
    <w:rsid w:val="00B875A6"/>
    <w:rsid w:val="00B93E4C"/>
    <w:rsid w:val="00B94A1B"/>
    <w:rsid w:val="00B964FD"/>
    <w:rsid w:val="00B9784D"/>
    <w:rsid w:val="00B9785F"/>
    <w:rsid w:val="00BA19AF"/>
    <w:rsid w:val="00BA5C89"/>
    <w:rsid w:val="00BA7ADF"/>
    <w:rsid w:val="00BB04EB"/>
    <w:rsid w:val="00BB2539"/>
    <w:rsid w:val="00BB3BA8"/>
    <w:rsid w:val="00BB4CE2"/>
    <w:rsid w:val="00BB5EF0"/>
    <w:rsid w:val="00BB6724"/>
    <w:rsid w:val="00BC0EFB"/>
    <w:rsid w:val="00BC2E39"/>
    <w:rsid w:val="00BD2364"/>
    <w:rsid w:val="00BD28E3"/>
    <w:rsid w:val="00BD4551"/>
    <w:rsid w:val="00BE117E"/>
    <w:rsid w:val="00BE205B"/>
    <w:rsid w:val="00BE3261"/>
    <w:rsid w:val="00BE4997"/>
    <w:rsid w:val="00BF00EF"/>
    <w:rsid w:val="00BF1F06"/>
    <w:rsid w:val="00BF40D8"/>
    <w:rsid w:val="00BF58C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2CB"/>
    <w:rsid w:val="00C40928"/>
    <w:rsid w:val="00C40CFF"/>
    <w:rsid w:val="00C41861"/>
    <w:rsid w:val="00C42697"/>
    <w:rsid w:val="00C43F01"/>
    <w:rsid w:val="00C44972"/>
    <w:rsid w:val="00C47552"/>
    <w:rsid w:val="00C55F70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D62"/>
    <w:rsid w:val="00C73F6D"/>
    <w:rsid w:val="00C74F6E"/>
    <w:rsid w:val="00C75A5C"/>
    <w:rsid w:val="00C75D7F"/>
    <w:rsid w:val="00C77FA4"/>
    <w:rsid w:val="00C77FFA"/>
    <w:rsid w:val="00C80401"/>
    <w:rsid w:val="00C81C97"/>
    <w:rsid w:val="00C828CF"/>
    <w:rsid w:val="00C82EEA"/>
    <w:rsid w:val="00C840C2"/>
    <w:rsid w:val="00C84101"/>
    <w:rsid w:val="00C8535F"/>
    <w:rsid w:val="00C87F9A"/>
    <w:rsid w:val="00C90EDA"/>
    <w:rsid w:val="00C94E47"/>
    <w:rsid w:val="00C959E7"/>
    <w:rsid w:val="00CA28D8"/>
    <w:rsid w:val="00CB16B6"/>
    <w:rsid w:val="00CC1E65"/>
    <w:rsid w:val="00CC567A"/>
    <w:rsid w:val="00CC56A1"/>
    <w:rsid w:val="00CC6FEF"/>
    <w:rsid w:val="00CD4059"/>
    <w:rsid w:val="00CD4E5A"/>
    <w:rsid w:val="00CD6AFD"/>
    <w:rsid w:val="00CE03CE"/>
    <w:rsid w:val="00CE0F5D"/>
    <w:rsid w:val="00CE14BE"/>
    <w:rsid w:val="00CE1A6A"/>
    <w:rsid w:val="00CE3EB8"/>
    <w:rsid w:val="00CE3F47"/>
    <w:rsid w:val="00CE4139"/>
    <w:rsid w:val="00CF069C"/>
    <w:rsid w:val="00CF0DFF"/>
    <w:rsid w:val="00CF3F49"/>
    <w:rsid w:val="00CF7563"/>
    <w:rsid w:val="00D01931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A9A"/>
    <w:rsid w:val="00D42DCB"/>
    <w:rsid w:val="00D45482"/>
    <w:rsid w:val="00D46DF2"/>
    <w:rsid w:val="00D47674"/>
    <w:rsid w:val="00D5338C"/>
    <w:rsid w:val="00D606B2"/>
    <w:rsid w:val="00D625A7"/>
    <w:rsid w:val="00D62BF1"/>
    <w:rsid w:val="00D63575"/>
    <w:rsid w:val="00D64074"/>
    <w:rsid w:val="00D65777"/>
    <w:rsid w:val="00D71177"/>
    <w:rsid w:val="00D7148D"/>
    <w:rsid w:val="00D71642"/>
    <w:rsid w:val="00D72292"/>
    <w:rsid w:val="00D728A0"/>
    <w:rsid w:val="00D72F6D"/>
    <w:rsid w:val="00D74018"/>
    <w:rsid w:val="00D74F60"/>
    <w:rsid w:val="00D83661"/>
    <w:rsid w:val="00D9216A"/>
    <w:rsid w:val="00D95BBB"/>
    <w:rsid w:val="00D97133"/>
    <w:rsid w:val="00D97E7D"/>
    <w:rsid w:val="00DA2A06"/>
    <w:rsid w:val="00DB1C8C"/>
    <w:rsid w:val="00DB3439"/>
    <w:rsid w:val="00DB3618"/>
    <w:rsid w:val="00DB468A"/>
    <w:rsid w:val="00DB73C4"/>
    <w:rsid w:val="00DC2581"/>
    <w:rsid w:val="00DC2946"/>
    <w:rsid w:val="00DC4340"/>
    <w:rsid w:val="00DC550F"/>
    <w:rsid w:val="00DC64FD"/>
    <w:rsid w:val="00DD53C3"/>
    <w:rsid w:val="00DD5FFB"/>
    <w:rsid w:val="00DD669D"/>
    <w:rsid w:val="00DE127F"/>
    <w:rsid w:val="00DE424A"/>
    <w:rsid w:val="00DE4419"/>
    <w:rsid w:val="00DE67C4"/>
    <w:rsid w:val="00DF0593"/>
    <w:rsid w:val="00DF0ACA"/>
    <w:rsid w:val="00DF2245"/>
    <w:rsid w:val="00DF35C8"/>
    <w:rsid w:val="00DF4CE9"/>
    <w:rsid w:val="00DF4F68"/>
    <w:rsid w:val="00DF77CF"/>
    <w:rsid w:val="00E0068C"/>
    <w:rsid w:val="00E015E3"/>
    <w:rsid w:val="00E026E8"/>
    <w:rsid w:val="00E04AD1"/>
    <w:rsid w:val="00E060F7"/>
    <w:rsid w:val="00E10E96"/>
    <w:rsid w:val="00E124D3"/>
    <w:rsid w:val="00E1267F"/>
    <w:rsid w:val="00E13E4B"/>
    <w:rsid w:val="00E14C47"/>
    <w:rsid w:val="00E173FB"/>
    <w:rsid w:val="00E22698"/>
    <w:rsid w:val="00E25B7C"/>
    <w:rsid w:val="00E3076B"/>
    <w:rsid w:val="00E33224"/>
    <w:rsid w:val="00E3725B"/>
    <w:rsid w:val="00E434D1"/>
    <w:rsid w:val="00E4495F"/>
    <w:rsid w:val="00E547B6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7FF7"/>
    <w:rsid w:val="00E82496"/>
    <w:rsid w:val="00E834CD"/>
    <w:rsid w:val="00E846DC"/>
    <w:rsid w:val="00E84E9D"/>
    <w:rsid w:val="00E86CEE"/>
    <w:rsid w:val="00E87DD5"/>
    <w:rsid w:val="00E935AF"/>
    <w:rsid w:val="00E969C1"/>
    <w:rsid w:val="00EA0FF6"/>
    <w:rsid w:val="00EB0784"/>
    <w:rsid w:val="00EB0E20"/>
    <w:rsid w:val="00EB1682"/>
    <w:rsid w:val="00EB1A80"/>
    <w:rsid w:val="00EB376C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C72EB"/>
    <w:rsid w:val="00ED594D"/>
    <w:rsid w:val="00ED7195"/>
    <w:rsid w:val="00ED7597"/>
    <w:rsid w:val="00EE0FBF"/>
    <w:rsid w:val="00EE36E1"/>
    <w:rsid w:val="00EE36F4"/>
    <w:rsid w:val="00EE6228"/>
    <w:rsid w:val="00EE7AC7"/>
    <w:rsid w:val="00EE7B3F"/>
    <w:rsid w:val="00EF1073"/>
    <w:rsid w:val="00EF2247"/>
    <w:rsid w:val="00EF3A8A"/>
    <w:rsid w:val="00F0054D"/>
    <w:rsid w:val="00F01E84"/>
    <w:rsid w:val="00F02467"/>
    <w:rsid w:val="00F0327A"/>
    <w:rsid w:val="00F04CE5"/>
    <w:rsid w:val="00F04D0E"/>
    <w:rsid w:val="00F05A7E"/>
    <w:rsid w:val="00F067F2"/>
    <w:rsid w:val="00F12214"/>
    <w:rsid w:val="00F12565"/>
    <w:rsid w:val="00F144BE"/>
    <w:rsid w:val="00F14ACA"/>
    <w:rsid w:val="00F15E13"/>
    <w:rsid w:val="00F17A0C"/>
    <w:rsid w:val="00F21FAF"/>
    <w:rsid w:val="00F23927"/>
    <w:rsid w:val="00F26644"/>
    <w:rsid w:val="00F26A05"/>
    <w:rsid w:val="00F26B28"/>
    <w:rsid w:val="00F27E6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6A1"/>
    <w:rsid w:val="00F520FE"/>
    <w:rsid w:val="00F52EAB"/>
    <w:rsid w:val="00F55A04"/>
    <w:rsid w:val="00F572EF"/>
    <w:rsid w:val="00F61A31"/>
    <w:rsid w:val="00F62DEC"/>
    <w:rsid w:val="00F66321"/>
    <w:rsid w:val="00F66F00"/>
    <w:rsid w:val="00F67A2D"/>
    <w:rsid w:val="00F70A1B"/>
    <w:rsid w:val="00F72FDF"/>
    <w:rsid w:val="00F75960"/>
    <w:rsid w:val="00F77881"/>
    <w:rsid w:val="00F801AF"/>
    <w:rsid w:val="00F82526"/>
    <w:rsid w:val="00F84672"/>
    <w:rsid w:val="00F84802"/>
    <w:rsid w:val="00F84AED"/>
    <w:rsid w:val="00F92D12"/>
    <w:rsid w:val="00F94330"/>
    <w:rsid w:val="00F95A8C"/>
    <w:rsid w:val="00F9785F"/>
    <w:rsid w:val="00FA05E6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23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26B2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55C6-F999-4DAC-B60D-F455E6A7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2109</Words>
  <Characters>12444</Characters>
  <Application>Microsoft Office Word</Application>
  <DocSecurity>0</DocSecurity>
  <Lines>103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39</cp:revision>
  <cp:lastPrinted>2024-11-28T14:56:00Z</cp:lastPrinted>
  <dcterms:created xsi:type="dcterms:W3CDTF">2024-12-12T08:33:00Z</dcterms:created>
  <dcterms:modified xsi:type="dcterms:W3CDTF">2025-10-09T10:41:00Z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