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44" w:rsidRPr="00220DDE" w:rsidRDefault="004F1344" w:rsidP="004F1344">
      <w:pPr>
        <w:pStyle w:val="Nzev"/>
        <w:rPr>
          <w:u w:val="single"/>
        </w:rPr>
      </w:pPr>
    </w:p>
    <w:p w:rsidR="00701F10" w:rsidRPr="00220DDE" w:rsidRDefault="00701F10" w:rsidP="00701F10">
      <w:pPr>
        <w:pStyle w:val="Nzev"/>
        <w:rPr>
          <w:u w:val="single"/>
        </w:rPr>
      </w:pPr>
      <w:r w:rsidRPr="00220DDE">
        <w:rPr>
          <w:u w:val="single"/>
        </w:rPr>
        <w:t>SOUHRN ÚDAJŮ O PŘÍPRAVKU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numPr>
          <w:ilvl w:val="0"/>
          <w:numId w:val="1"/>
        </w:numPr>
        <w:tabs>
          <w:tab w:val="left" w:pos="3544"/>
        </w:tabs>
      </w:pPr>
      <w:r w:rsidRPr="00220DDE">
        <w:rPr>
          <w:b/>
        </w:rPr>
        <w:t>NÁZEV VETERINÁRNÍHO LÉČIVÉHO PŘÍPRAVKU</w:t>
      </w:r>
    </w:p>
    <w:p w:rsidR="00701F10" w:rsidRPr="00220DDE" w:rsidRDefault="00701F10" w:rsidP="00701F10">
      <w:pPr>
        <w:rPr>
          <w:b/>
        </w:rPr>
      </w:pPr>
    </w:p>
    <w:p w:rsidR="00701F10" w:rsidRPr="00220DDE" w:rsidRDefault="00701F10" w:rsidP="00701F10">
      <w:pPr>
        <w:tabs>
          <w:tab w:val="left" w:pos="3544"/>
        </w:tabs>
        <w:ind w:firstLine="2"/>
        <w:rPr>
          <w:b/>
          <w:sz w:val="28"/>
        </w:rPr>
      </w:pPr>
      <w:r w:rsidRPr="00220DDE">
        <w:rPr>
          <w:b/>
          <w:sz w:val="28"/>
        </w:rPr>
        <w:t>AMOXID 800 mg/g prášek pro perorální roztok</w:t>
      </w:r>
    </w:p>
    <w:p w:rsidR="00701F10" w:rsidRPr="00220DDE" w:rsidRDefault="00701F10" w:rsidP="00701F10"/>
    <w:p w:rsidR="00701F10" w:rsidRPr="00220DDE" w:rsidRDefault="00701F10" w:rsidP="00701F10"/>
    <w:p w:rsidR="00701F10" w:rsidRPr="00220DDE" w:rsidRDefault="00701F10" w:rsidP="00701F10">
      <w:pPr>
        <w:numPr>
          <w:ilvl w:val="0"/>
          <w:numId w:val="1"/>
        </w:numPr>
        <w:tabs>
          <w:tab w:val="left" w:pos="3544"/>
        </w:tabs>
        <w:rPr>
          <w:b/>
        </w:rPr>
      </w:pPr>
      <w:r w:rsidRPr="00220DDE">
        <w:rPr>
          <w:b/>
        </w:rPr>
        <w:t>KVALITATIVNÍ A KVANTITATIVNÍ SLOŽENÍ</w:t>
      </w:r>
    </w:p>
    <w:p w:rsidR="00701F10" w:rsidRPr="00220DDE" w:rsidRDefault="00701F10" w:rsidP="00701F10">
      <w:pPr>
        <w:pStyle w:val="Nadpis1"/>
        <w:ind w:left="709"/>
        <w:rPr>
          <w:b w:val="0"/>
          <w:u w:val="single"/>
        </w:rPr>
      </w:pPr>
    </w:p>
    <w:p w:rsidR="00701F10" w:rsidRPr="00220DDE" w:rsidRDefault="00701F10" w:rsidP="00701F10">
      <w:pPr>
        <w:pStyle w:val="Nadpis1"/>
        <w:ind w:left="709"/>
        <w:rPr>
          <w:b w:val="0"/>
          <w:u w:val="single"/>
        </w:rPr>
      </w:pPr>
      <w:r w:rsidRPr="00220DDE">
        <w:rPr>
          <w:b w:val="0"/>
          <w:u w:val="single"/>
        </w:rPr>
        <w:t>Přípravek obsahuje</w:t>
      </w:r>
      <w:r w:rsidRPr="00220DDE">
        <w:rPr>
          <w:b w:val="0"/>
          <w:u w:val="single"/>
        </w:rPr>
        <w:tab/>
        <w:t>v 1 g:</w:t>
      </w:r>
    </w:p>
    <w:p w:rsidR="00701F10" w:rsidRPr="00220DDE" w:rsidRDefault="00701F10" w:rsidP="00701F10">
      <w:pPr>
        <w:tabs>
          <w:tab w:val="left" w:pos="0"/>
        </w:tabs>
      </w:pPr>
      <w:r w:rsidRPr="00220DDE">
        <w:tab/>
        <w:t>Léčivá látka</w:t>
      </w:r>
      <w:r w:rsidRPr="00220DDE">
        <w:tab/>
      </w:r>
      <w:r w:rsidRPr="00220DDE">
        <w:tab/>
        <w:t xml:space="preserve">Amoxicillinum </w:t>
      </w:r>
      <w:r w:rsidRPr="00220DDE">
        <w:rPr>
          <w:b/>
        </w:rPr>
        <w:t xml:space="preserve"> </w:t>
      </w:r>
      <w:r w:rsidRPr="00220DDE">
        <w:t>trihydricum</w:t>
      </w:r>
      <w:r w:rsidRPr="00220DDE">
        <w:tab/>
      </w:r>
      <w:r w:rsidRPr="00220DDE">
        <w:tab/>
        <w:t>800 mg</w:t>
      </w:r>
    </w:p>
    <w:p w:rsidR="00701F10" w:rsidRPr="00220DDE" w:rsidRDefault="00701F10" w:rsidP="00701F10">
      <w:pPr>
        <w:tabs>
          <w:tab w:val="left" w:pos="0"/>
        </w:tabs>
      </w:pPr>
      <w:r w:rsidRPr="00220DDE">
        <w:tab/>
      </w:r>
      <w:r w:rsidRPr="00220DDE">
        <w:tab/>
      </w:r>
      <w:r w:rsidRPr="00220DDE">
        <w:tab/>
      </w:r>
      <w:r w:rsidRPr="00220DDE">
        <w:tab/>
        <w:t>(odpovídá 696,8 mg Amoxicillinum báze)</w:t>
      </w:r>
    </w:p>
    <w:p w:rsidR="00701F10" w:rsidRPr="00220DDE" w:rsidRDefault="00701F10" w:rsidP="00701F10">
      <w:pPr>
        <w:pStyle w:val="Zkladntextodsazen"/>
        <w:tabs>
          <w:tab w:val="left" w:pos="2880"/>
        </w:tabs>
        <w:ind w:left="2880" w:hanging="2160"/>
      </w:pPr>
      <w:r w:rsidRPr="00220DDE">
        <w:t>Úplný seznam pomocných látek viz bod 6.1.</w:t>
      </w:r>
    </w:p>
    <w:p w:rsidR="00701F10" w:rsidRPr="00220DDE" w:rsidRDefault="00701F10" w:rsidP="00701F10">
      <w:r w:rsidRPr="00220DDE">
        <w:tab/>
      </w:r>
      <w:r w:rsidRPr="00220DDE">
        <w:tab/>
      </w:r>
      <w:r w:rsidRPr="00220DDE">
        <w:tab/>
      </w:r>
      <w:r w:rsidRPr="00220DDE">
        <w:tab/>
      </w:r>
    </w:p>
    <w:p w:rsidR="00701F10" w:rsidRPr="00220DDE" w:rsidRDefault="00701F10" w:rsidP="00701F10">
      <w:pPr>
        <w:numPr>
          <w:ilvl w:val="0"/>
          <w:numId w:val="1"/>
        </w:numPr>
        <w:tabs>
          <w:tab w:val="left" w:pos="3544"/>
        </w:tabs>
        <w:rPr>
          <w:b/>
        </w:rPr>
      </w:pPr>
      <w:r w:rsidRPr="00220DDE">
        <w:rPr>
          <w:b/>
        </w:rPr>
        <w:t>LÉKOVÁ FORMA:</w:t>
      </w:r>
    </w:p>
    <w:p w:rsidR="00701F10" w:rsidRPr="00220DDE" w:rsidRDefault="00701F10" w:rsidP="00701F10">
      <w:pPr>
        <w:tabs>
          <w:tab w:val="left" w:pos="3544"/>
        </w:tabs>
        <w:ind w:left="708"/>
      </w:pPr>
    </w:p>
    <w:p w:rsidR="00701F10" w:rsidRPr="00220DDE" w:rsidRDefault="00701F10" w:rsidP="00701F10">
      <w:pPr>
        <w:tabs>
          <w:tab w:val="left" w:pos="3544"/>
        </w:tabs>
        <w:ind w:left="708"/>
      </w:pPr>
      <w:r w:rsidRPr="00220DDE">
        <w:t>Prášek pro perorální roztok.</w:t>
      </w:r>
    </w:p>
    <w:p w:rsidR="00701F10" w:rsidRPr="00220DDE" w:rsidRDefault="00701F10" w:rsidP="00701F10">
      <w:pPr>
        <w:tabs>
          <w:tab w:val="left" w:pos="3544"/>
        </w:tabs>
        <w:ind w:left="708"/>
      </w:pPr>
      <w:r w:rsidRPr="00220DDE">
        <w:t>Bílý až světle žlutý prášek.</w:t>
      </w:r>
    </w:p>
    <w:p w:rsidR="00701F10" w:rsidRPr="00220DDE" w:rsidRDefault="00701F10" w:rsidP="00701F10">
      <w:pPr>
        <w:pStyle w:val="Zkladntextodsazen3"/>
        <w:tabs>
          <w:tab w:val="left" w:pos="3544"/>
        </w:tabs>
        <w:ind w:left="0"/>
      </w:pPr>
    </w:p>
    <w:p w:rsidR="00701F10" w:rsidRPr="00220DDE" w:rsidRDefault="00701F10" w:rsidP="00701F10">
      <w:pPr>
        <w:numPr>
          <w:ilvl w:val="0"/>
          <w:numId w:val="1"/>
        </w:numPr>
        <w:tabs>
          <w:tab w:val="left" w:pos="3544"/>
        </w:tabs>
        <w:rPr>
          <w:b/>
        </w:rPr>
      </w:pPr>
      <w:r w:rsidRPr="00220DDE">
        <w:rPr>
          <w:b/>
        </w:rPr>
        <w:t>KLINICKÉ ÚDAJE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4.1. Cílové druhy zvířat</w:t>
      </w:r>
    </w:p>
    <w:p w:rsidR="00701F10" w:rsidRPr="00220DDE" w:rsidRDefault="00701F10" w:rsidP="00701F10">
      <w:pPr>
        <w:tabs>
          <w:tab w:val="left" w:pos="3544"/>
        </w:tabs>
        <w:ind w:firstLine="709"/>
      </w:pPr>
    </w:p>
    <w:p w:rsidR="00701F10" w:rsidRPr="00220DDE" w:rsidRDefault="00701F10" w:rsidP="00701F10">
      <w:pPr>
        <w:tabs>
          <w:tab w:val="left" w:pos="3544"/>
        </w:tabs>
        <w:ind w:firstLine="709"/>
      </w:pPr>
      <w:r w:rsidRPr="00220DDE">
        <w:t xml:space="preserve">Telata skotu, prasata, brojleři kura domácího </w:t>
      </w:r>
    </w:p>
    <w:p w:rsidR="00701F10" w:rsidRPr="00220DDE" w:rsidRDefault="00701F10" w:rsidP="00701F10">
      <w:pPr>
        <w:tabs>
          <w:tab w:val="left" w:pos="3544"/>
        </w:tabs>
        <w:ind w:firstLine="709"/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4.2. Indikace s upřesněním pro cílový druh zvířat</w:t>
      </w:r>
    </w:p>
    <w:p w:rsidR="00701F10" w:rsidRPr="00220DDE" w:rsidRDefault="00701F10" w:rsidP="00701F10">
      <w:pPr>
        <w:ind w:left="709"/>
        <w:rPr>
          <w:b/>
          <w:i/>
        </w:rPr>
      </w:pPr>
    </w:p>
    <w:p w:rsidR="00701F10" w:rsidRPr="00220DDE" w:rsidRDefault="00701F10" w:rsidP="00701F10">
      <w:pPr>
        <w:ind w:left="709"/>
      </w:pPr>
      <w:r w:rsidRPr="00220DDE">
        <w:t xml:space="preserve">Lokální a septikemické infekce prasat způsobených Gram-pozitivními a Gram-negativními bakteriemi citlivými na amoxicilin. Jde především o salmonelózu, diplokokové a pasteurelové infekce telat, onemocnění prasat způsobovaná </w:t>
      </w:r>
      <w:r w:rsidRPr="00220DDE">
        <w:rPr>
          <w:i/>
        </w:rPr>
        <w:t>Actinobacillus pleuropneumoniae</w:t>
      </w:r>
      <w:r w:rsidRPr="00220DDE">
        <w:t>,</w:t>
      </w:r>
      <w:r w:rsidRPr="00220DDE">
        <w:rPr>
          <w:i/>
        </w:rPr>
        <w:t xml:space="preserve"> </w:t>
      </w:r>
      <w:r w:rsidRPr="00220DDE">
        <w:t>pasteurelóza, salmonelóza a kolibacilóza u prasat, pasteurelóza a kolibacilóza u brojlerů.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 xml:space="preserve">4.3. Kontraindikace 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8"/>
        <w:rPr>
          <w:b/>
        </w:rPr>
      </w:pPr>
      <w:r w:rsidRPr="00220DDE">
        <w:rPr>
          <w:b/>
        </w:rPr>
        <w:tab/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8"/>
      </w:pPr>
      <w:r w:rsidRPr="00220DDE">
        <w:t>Amoxicilin, obdobně jako všechna ostatní beta-laktamátová antibiotika, je potenciální alergen. Podle dostupných literárních údajů a na základě experimentů z použití amoxicilinu u cílových druhů zvířat lze říci, že tento efekt nebyl prakticky prokázán.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8"/>
      </w:pPr>
      <w:r w:rsidRPr="00220DDE">
        <w:t xml:space="preserve">Amoxicilin nesmí být podáván zvířatům se známou citlivostí na penicilin a cefalosporiny. 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8"/>
      </w:pPr>
      <w:r w:rsidRPr="00220DDE">
        <w:rPr>
          <w:b/>
        </w:rPr>
        <w:tab/>
      </w:r>
      <w:r w:rsidRPr="00220DDE">
        <w:t xml:space="preserve">Přípravek nesmí být podáván morčatům a králíkům. 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9"/>
      </w:pPr>
      <w:r w:rsidRPr="00220DDE">
        <w:t>Přípravek se nesmí podávat nosnicím, jejichž vejce jsou určena k lidskému konzumu.</w:t>
      </w:r>
    </w:p>
    <w:p w:rsidR="00701F10" w:rsidRPr="00220DDE" w:rsidRDefault="00701F10" w:rsidP="00701F10">
      <w:pPr>
        <w:tabs>
          <w:tab w:val="left" w:pos="3544"/>
        </w:tabs>
        <w:ind w:left="709" w:hanging="1"/>
      </w:pPr>
      <w:r w:rsidRPr="00220DDE">
        <w:t>Přípravek se nesmí podávat zvířatům s funkčními předžaludky.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8"/>
      </w:pPr>
      <w:r w:rsidRPr="00220DDE">
        <w:t>Vzhledem k tomu, že amoxicilin přechází do mléka, nedoporučuje se podávat přípravek v laktaci.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rPr>
          <w:b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4.4. Zvláštní upozornění</w:t>
      </w:r>
    </w:p>
    <w:p w:rsidR="00701F10" w:rsidRPr="00220DDE" w:rsidRDefault="00701F10" w:rsidP="00701F10">
      <w:pPr>
        <w:pStyle w:val="Zkladntextodsazen2"/>
        <w:tabs>
          <w:tab w:val="clear" w:pos="1134"/>
          <w:tab w:val="left" w:pos="0"/>
          <w:tab w:val="left" w:pos="3544"/>
        </w:tabs>
        <w:ind w:left="709" w:firstLine="0"/>
      </w:pPr>
    </w:p>
    <w:p w:rsidR="00701F10" w:rsidRPr="00220DDE" w:rsidRDefault="00701F10" w:rsidP="00701F10">
      <w:pPr>
        <w:pStyle w:val="Zkladntextodsazen2"/>
        <w:tabs>
          <w:tab w:val="clear" w:pos="1134"/>
          <w:tab w:val="left" w:pos="0"/>
          <w:tab w:val="left" w:pos="3544"/>
        </w:tabs>
        <w:ind w:left="709" w:firstLine="0"/>
      </w:pPr>
      <w:r w:rsidRPr="00220DDE">
        <w:t>Nejsou.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lastRenderedPageBreak/>
        <w:t>4.5. Zvláštní opatření pro použití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ind w:left="709"/>
      </w:pPr>
      <w:r w:rsidRPr="00220DDE">
        <w:rPr>
          <w:b/>
        </w:rPr>
        <w:t>Zvláštní opatření pro použití u zvířat</w:t>
      </w:r>
    </w:p>
    <w:p w:rsidR="00701F10" w:rsidRPr="00220DDE" w:rsidRDefault="00701F10" w:rsidP="00701F10">
      <w:pPr>
        <w:tabs>
          <w:tab w:val="left" w:pos="3544"/>
        </w:tabs>
        <w:ind w:left="709"/>
      </w:pPr>
    </w:p>
    <w:p w:rsidR="00701F10" w:rsidRPr="00220DDE" w:rsidRDefault="00701F10" w:rsidP="00701F10">
      <w:pPr>
        <w:tabs>
          <w:tab w:val="left" w:pos="3544"/>
        </w:tabs>
        <w:ind w:left="709" w:hanging="1"/>
      </w:pPr>
      <w:r w:rsidRPr="00220DDE">
        <w:t>Přípravek se nesmí podávat zvířatům s funkčními předžaludky.</w:t>
      </w: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9"/>
      </w:pPr>
      <w:r w:rsidRPr="00220DDE">
        <w:t>Přípravek se nesmí podávat nosnicím, jejichž vejce jsou určena k lidskému konzumu.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ab/>
        <w:t xml:space="preserve"> </w:t>
      </w:r>
    </w:p>
    <w:p w:rsidR="00701F10" w:rsidRPr="00220DDE" w:rsidRDefault="00701F10" w:rsidP="00701F10">
      <w:pPr>
        <w:tabs>
          <w:tab w:val="left" w:pos="709"/>
        </w:tabs>
        <w:ind w:left="708"/>
      </w:pPr>
    </w:p>
    <w:p w:rsidR="00701F10" w:rsidRPr="00220DDE" w:rsidRDefault="00701F10" w:rsidP="00701F10">
      <w:pPr>
        <w:tabs>
          <w:tab w:val="left" w:pos="709"/>
        </w:tabs>
        <w:ind w:left="708"/>
        <w:rPr>
          <w:b/>
        </w:rPr>
      </w:pPr>
      <w:r w:rsidRPr="00220DDE">
        <w:rPr>
          <w:b/>
        </w:rPr>
        <w:t>Zvláštní opatření určené osobám, které podávají veterinární léčivý přípravek zvířatům</w:t>
      </w:r>
    </w:p>
    <w:p w:rsidR="00701F10" w:rsidRPr="00220DDE" w:rsidRDefault="00701F10" w:rsidP="00701F10">
      <w:pPr>
        <w:tabs>
          <w:tab w:val="left" w:pos="709"/>
        </w:tabs>
        <w:ind w:left="708"/>
        <w:rPr>
          <w:b/>
        </w:rPr>
      </w:pP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 xml:space="preserve">V průběhu aplikace nekuřte, nejezte a nepijte. 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>Po použití přípravku si důkladně umyjte ruce vodou a mýdlem.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>Peniciliny a cefalosporiny mohou po injekci, inhalaci, požití nebo po kožním kontaktu vyvolat hypersensitivitu (alergii). Hypersensitivita na peniciliny může vést ke zkříženým reakcím s cefalosporiny a naopak. Příležitostně mohou být alergické reakce na tyto látky i vážné a mohou vyústit až v těžký alergický šok.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>Lidé se známou přecitlivělostí na peniciliny a/nebo cefalosporiny by se měli vyhnout kontaktu s veterinárním léčivým přípravkem.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 xml:space="preserve">Pokud se rozvinou postexpoziční příznaky jako kožní vyrážka, vyhledejte lékařskou pomoc a ukažte příbalovou informaci nebo etiketu praktickému lékaři. Otok obličeje, rtů, očí nebo potíže s dýcháním jsou vážné symptomy a je doporučeno v těchto případech vyhledat lékařské ošetření. </w:t>
      </w:r>
    </w:p>
    <w:p w:rsidR="00701F10" w:rsidRPr="00220DDE" w:rsidRDefault="00701F10" w:rsidP="00701F10">
      <w:pPr>
        <w:tabs>
          <w:tab w:val="left" w:pos="709"/>
        </w:tabs>
        <w:ind w:left="708"/>
      </w:pPr>
      <w:r w:rsidRPr="00220DDE">
        <w:t>S přípravkem zacházejte obezřetně, zamezte možné inhalaci přípravku, požití nebo kontaktu s pokožkou a s očima. Při nakládání s veterinárním léčivým přípravkem by se měly používat osobní ochranné prostředky skládající se z ochranného oděvu, masky, gumových či latexových rukavic a ochranných brýlí.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426"/>
        </w:tabs>
        <w:rPr>
          <w:b/>
          <w:u w:val="single"/>
        </w:rPr>
      </w:pPr>
      <w:r w:rsidRPr="00220DDE">
        <w:rPr>
          <w:b/>
          <w:u w:val="single"/>
        </w:rPr>
        <w:t>4.6. Nežádoucí účinky (frekvence a závažnost)</w:t>
      </w:r>
    </w:p>
    <w:p w:rsidR="00701F10" w:rsidRPr="00220DDE" w:rsidRDefault="00701F10" w:rsidP="00701F10">
      <w:pPr>
        <w:tabs>
          <w:tab w:val="left" w:pos="3544"/>
        </w:tabs>
        <w:ind w:firstLine="708"/>
      </w:pPr>
    </w:p>
    <w:p w:rsidR="00701F10" w:rsidRPr="00220DDE" w:rsidRDefault="00701F10" w:rsidP="00701F10">
      <w:pPr>
        <w:tabs>
          <w:tab w:val="left" w:pos="709"/>
          <w:tab w:val="left" w:pos="3544"/>
          <w:tab w:val="left" w:pos="3969"/>
        </w:tabs>
        <w:ind w:left="709"/>
      </w:pPr>
      <w:r w:rsidRPr="00220DDE">
        <w:t>Nejsou známy.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 xml:space="preserve">4.7. Použití v průběhu březosti, laktace nebo snášky </w:t>
      </w:r>
    </w:p>
    <w:p w:rsidR="00701F10" w:rsidRPr="00220DDE" w:rsidRDefault="00701F10" w:rsidP="00701F10">
      <w:pPr>
        <w:pStyle w:val="Zkladntextodsazen2"/>
        <w:tabs>
          <w:tab w:val="clear" w:pos="1134"/>
          <w:tab w:val="left" w:pos="-142"/>
          <w:tab w:val="left" w:pos="3544"/>
        </w:tabs>
        <w:ind w:left="709" w:firstLine="0"/>
      </w:pPr>
    </w:p>
    <w:p w:rsidR="00701F10" w:rsidRPr="00220DDE" w:rsidRDefault="00701F10" w:rsidP="00701F10">
      <w:pPr>
        <w:pStyle w:val="Zkladntextodsazen2"/>
        <w:tabs>
          <w:tab w:val="clear" w:pos="1134"/>
          <w:tab w:val="left" w:pos="-142"/>
          <w:tab w:val="left" w:pos="3544"/>
        </w:tabs>
        <w:ind w:left="709" w:firstLine="0"/>
        <w:jc w:val="left"/>
      </w:pPr>
      <w:r w:rsidRPr="00220DDE">
        <w:t>Vzhledem k tomu, že amoxicilin přechází do mléka, nedoporučuje se podávat přípravek v laktaci.</w:t>
      </w:r>
    </w:p>
    <w:p w:rsidR="00701F10" w:rsidRPr="00220DDE" w:rsidRDefault="00701F10" w:rsidP="00701F10">
      <w:pPr>
        <w:pStyle w:val="Zkladntextodsazen2"/>
        <w:tabs>
          <w:tab w:val="clear" w:pos="1134"/>
          <w:tab w:val="left" w:pos="-142"/>
          <w:tab w:val="left" w:pos="3544"/>
        </w:tabs>
        <w:ind w:left="709" w:firstLine="0"/>
        <w:jc w:val="left"/>
      </w:pPr>
      <w:r w:rsidRPr="00220DDE">
        <w:t>Amoxicilin nemá teratogenní nebo embryotoxické účinky.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4.8. Interakce s dalšími léčivými přípravky a další formy interakce</w:t>
      </w:r>
    </w:p>
    <w:p w:rsidR="00701F10" w:rsidRPr="00220DDE" w:rsidRDefault="00701F10" w:rsidP="00701F10">
      <w:pPr>
        <w:pStyle w:val="Zkladntextodsazen2"/>
        <w:tabs>
          <w:tab w:val="clear" w:pos="1134"/>
          <w:tab w:val="left" w:pos="-142"/>
          <w:tab w:val="left" w:pos="3544"/>
        </w:tabs>
        <w:ind w:left="709" w:firstLine="0"/>
      </w:pPr>
    </w:p>
    <w:p w:rsidR="00701F10" w:rsidRPr="00220DDE" w:rsidRDefault="00701F10" w:rsidP="00701F10">
      <w:pPr>
        <w:pStyle w:val="Zkladntextodsazen2"/>
        <w:tabs>
          <w:tab w:val="clear" w:pos="1134"/>
          <w:tab w:val="left" w:pos="-142"/>
          <w:tab w:val="left" w:pos="3544"/>
        </w:tabs>
        <w:ind w:left="709" w:firstLine="0"/>
      </w:pPr>
      <w:r w:rsidRPr="00220DDE">
        <w:t>Nedoporučuje se podávat současně s přípravkem jiná bakteriostatická léčiva.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 xml:space="preserve">4.9. Podávané množství a způsob podání 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</w:pP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  <w:rPr>
          <w:u w:val="single"/>
        </w:rPr>
      </w:pPr>
      <w:r w:rsidRPr="00220DDE">
        <w:t>Přípravek AMOXID se podává rozpuštěný v pitné vodě (prasata, brojleři) nebo mléce (telata).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  <w:jc w:val="left"/>
      </w:pPr>
      <w:r w:rsidRPr="00220DDE">
        <w:rPr>
          <w:i/>
          <w:u w:val="single"/>
        </w:rPr>
        <w:t>Telata a prasata:</w:t>
      </w:r>
      <w:r w:rsidRPr="00220DDE">
        <w:t xml:space="preserve"> 20 – 30 mg /kg ž.hm. amoxicilinu trihydrátu, což odpovídá 2,5 – </w:t>
      </w:r>
      <w:smartTag w:uri="urn:schemas-microsoft-com:office:smarttags" w:element="metricconverter">
        <w:smartTagPr>
          <w:attr w:name="ProductID" w:val="3,75 g"/>
        </w:smartTagPr>
        <w:r w:rsidRPr="00220DDE">
          <w:t>3,75 g</w:t>
        </w:r>
      </w:smartTag>
      <w:r w:rsidRPr="00220DDE">
        <w:t xml:space="preserve"> přípravku na </w:t>
      </w:r>
      <w:smartTag w:uri="urn:schemas-microsoft-com:office:smarttags" w:element="metricconverter">
        <w:smartTagPr>
          <w:attr w:name="ProductID" w:val="100 kg"/>
        </w:smartTagPr>
        <w:r w:rsidRPr="00220DDE">
          <w:t>100 kg</w:t>
        </w:r>
      </w:smartTag>
      <w:r w:rsidRPr="00220DDE">
        <w:t xml:space="preserve"> ž.hm., rozděleno do dvou dávek na den.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  <w:jc w:val="left"/>
      </w:pPr>
      <w:r w:rsidRPr="00220DDE">
        <w:rPr>
          <w:i/>
          <w:u w:val="single"/>
        </w:rPr>
        <w:t>Brojleři:</w:t>
      </w:r>
      <w:r w:rsidRPr="00220DDE">
        <w:t xml:space="preserve"> 20 – 30 mg /kg ž.hm. amoxicilinu trihydrátu, což odpovídá 15 – </w:t>
      </w:r>
      <w:smartTag w:uri="urn:schemas-microsoft-com:office:smarttags" w:element="metricconverter">
        <w:smartTagPr>
          <w:attr w:name="ProductID" w:val="20 g"/>
        </w:smartTagPr>
        <w:r w:rsidRPr="00220DDE">
          <w:t>20 g</w:t>
        </w:r>
      </w:smartTag>
      <w:r w:rsidRPr="00220DDE">
        <w:t xml:space="preserve"> přípravku na </w:t>
      </w:r>
      <w:smartTag w:uri="urn:schemas-microsoft-com:office:smarttags" w:element="metricconverter">
        <w:smartTagPr>
          <w:attr w:name="ProductID" w:val="100 litrů"/>
        </w:smartTagPr>
        <w:r w:rsidRPr="00220DDE">
          <w:t>100 litrů</w:t>
        </w:r>
      </w:smartTag>
      <w:r w:rsidRPr="00220DDE">
        <w:t xml:space="preserve"> pitné vody, rozděleno do dvou dávek na den.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  <w:jc w:val="left"/>
      </w:pPr>
      <w:r w:rsidRPr="00220DDE">
        <w:t>Přípravek se podává zvířatům do pitné vody (prasata, brojleři) nebo mléka (telata) podle denního příjmu vody a živé hmotnosti, aby byla dosažena uvedená koncentrace přípravku.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  <w:jc w:val="left"/>
      </w:pPr>
      <w:r w:rsidRPr="00220DDE">
        <w:lastRenderedPageBreak/>
        <w:t>Doporučuje se připravené množství přípravku rozpustit ve vodě, v koncentraci přibližně 2 g/litr, potom rozmíchat v pitné vodě, mléce do požadované konečné koncentrace.</w:t>
      </w:r>
    </w:p>
    <w:p w:rsidR="00701F10" w:rsidRPr="00220DDE" w:rsidRDefault="00701F10" w:rsidP="00701F10">
      <w:pPr>
        <w:pStyle w:val="Zkladntextodsazen2"/>
        <w:tabs>
          <w:tab w:val="left" w:pos="-142"/>
        </w:tabs>
        <w:ind w:left="709" w:firstLine="0"/>
      </w:pPr>
      <w:r w:rsidRPr="00220DDE">
        <w:t>Léčba se opakuje po dobu 3 - 5 dnů.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4.10. Předávkování (symptomy, první pomoc, antidota), pokud je to nutné</w:t>
      </w:r>
    </w:p>
    <w:p w:rsidR="00701F10" w:rsidRPr="00220DDE" w:rsidRDefault="00701F10" w:rsidP="00701F10">
      <w:pPr>
        <w:pStyle w:val="Zkladntextodsazen3"/>
        <w:tabs>
          <w:tab w:val="left" w:pos="3544"/>
        </w:tabs>
        <w:ind w:left="708"/>
      </w:pPr>
    </w:p>
    <w:p w:rsidR="00701F10" w:rsidRPr="00220DDE" w:rsidRDefault="00701F10" w:rsidP="00701F10">
      <w:pPr>
        <w:pStyle w:val="Zkladntextodsazen3"/>
        <w:tabs>
          <w:tab w:val="left" w:pos="3544"/>
        </w:tabs>
        <w:ind w:left="708"/>
      </w:pPr>
      <w:r w:rsidRPr="00220DDE">
        <w:t xml:space="preserve">Amoxicilin je prasaty dobře snášen. Ani </w:t>
      </w:r>
      <w:r w:rsidR="00DA4D96" w:rsidRPr="00220DDE">
        <w:t>vyšší,</w:t>
      </w:r>
      <w:r w:rsidRPr="00220DDE">
        <w:t xml:space="preserve"> než doporučené dávky přípravku nevyvolávají nežádoucí reakce. Dostaví-li se u citlivých zvířat alergická reakce, doporučuje se ošetření adrenalinem a přípravky s kortisonem.</w:t>
      </w:r>
    </w:p>
    <w:p w:rsidR="00701F10" w:rsidRPr="00220DDE" w:rsidRDefault="00701F10" w:rsidP="00701F10">
      <w:pPr>
        <w:tabs>
          <w:tab w:val="left" w:pos="3544"/>
        </w:tabs>
        <w:ind w:firstLine="708"/>
        <w:rPr>
          <w:b/>
          <w:u w:val="single"/>
        </w:rPr>
      </w:pPr>
      <w:r w:rsidRPr="00220DDE">
        <w:t xml:space="preserve">  </w:t>
      </w:r>
    </w:p>
    <w:p w:rsidR="00701F10" w:rsidRPr="00220DDE" w:rsidRDefault="00701F10" w:rsidP="00701F10">
      <w:pPr>
        <w:rPr>
          <w:b/>
          <w:u w:val="single"/>
        </w:rPr>
      </w:pPr>
      <w:r w:rsidRPr="00220DDE">
        <w:rPr>
          <w:b/>
          <w:u w:val="single"/>
        </w:rPr>
        <w:t>4.11. Ochranné lhůty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pStyle w:val="Zhlav"/>
        <w:tabs>
          <w:tab w:val="clear" w:pos="4153"/>
          <w:tab w:val="clear" w:pos="8306"/>
        </w:tabs>
        <w:ind w:left="709" w:hanging="709"/>
      </w:pPr>
      <w:r w:rsidRPr="00220DDE">
        <w:tab/>
        <w:t>Maso telat:</w:t>
      </w:r>
      <w:r w:rsidRPr="00220DDE">
        <w:tab/>
      </w:r>
      <w:r w:rsidRPr="00220DDE">
        <w:tab/>
      </w:r>
      <w:r w:rsidRPr="00220DDE">
        <w:tab/>
      </w:r>
      <w:r w:rsidRPr="00220DDE">
        <w:tab/>
        <w:t>2 dny</w:t>
      </w:r>
    </w:p>
    <w:p w:rsidR="00701F10" w:rsidRPr="00220DDE" w:rsidRDefault="00701F10" w:rsidP="00701F10">
      <w:pPr>
        <w:pStyle w:val="Zhlav"/>
        <w:tabs>
          <w:tab w:val="clear" w:pos="4153"/>
          <w:tab w:val="clear" w:pos="8306"/>
        </w:tabs>
        <w:ind w:left="709" w:hanging="709"/>
      </w:pPr>
      <w:r w:rsidRPr="00220DDE">
        <w:tab/>
        <w:t>Maso prasat:</w:t>
      </w:r>
      <w:r w:rsidRPr="00220DDE">
        <w:tab/>
      </w:r>
      <w:r w:rsidRPr="00220DDE">
        <w:tab/>
      </w:r>
      <w:r w:rsidRPr="00220DDE">
        <w:tab/>
      </w:r>
      <w:r w:rsidRPr="00220DDE">
        <w:tab/>
        <w:t>1 den</w:t>
      </w:r>
    </w:p>
    <w:p w:rsidR="00701F10" w:rsidRPr="00220DDE" w:rsidRDefault="00701F10" w:rsidP="00701F10">
      <w:pPr>
        <w:pStyle w:val="Zhlav"/>
        <w:tabs>
          <w:tab w:val="clear" w:pos="4153"/>
          <w:tab w:val="clear" w:pos="8306"/>
        </w:tabs>
        <w:ind w:left="709" w:hanging="709"/>
      </w:pPr>
      <w:r w:rsidRPr="00220DDE">
        <w:tab/>
        <w:t>Maso kura domácího-brojleři:</w:t>
      </w:r>
      <w:r w:rsidRPr="00220DDE">
        <w:tab/>
        <w:t>1 den</w:t>
      </w:r>
    </w:p>
    <w:p w:rsidR="00701F10" w:rsidRPr="00220DDE" w:rsidRDefault="00701F10" w:rsidP="00701F10">
      <w:pPr>
        <w:pStyle w:val="Zhlav"/>
        <w:tabs>
          <w:tab w:val="clear" w:pos="4153"/>
          <w:tab w:val="clear" w:pos="8306"/>
        </w:tabs>
        <w:ind w:left="709" w:hanging="709"/>
      </w:pPr>
      <w:r w:rsidRPr="00220DDE">
        <w:tab/>
        <w:t>Nepoužívat u nosnic, jejichž vejce jsou určena pro lidský konzum.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numPr>
          <w:ilvl w:val="0"/>
          <w:numId w:val="1"/>
        </w:numPr>
        <w:tabs>
          <w:tab w:val="left" w:pos="3544"/>
        </w:tabs>
        <w:rPr>
          <w:b/>
        </w:rPr>
      </w:pPr>
      <w:r w:rsidRPr="00220DDE">
        <w:rPr>
          <w:b/>
        </w:rPr>
        <w:t>FARMAKOLOGICKÉ VLASTNOSTI</w:t>
      </w:r>
    </w:p>
    <w:p w:rsidR="00701F10" w:rsidRPr="00220DDE" w:rsidRDefault="00701F10" w:rsidP="00701F10">
      <w:pPr>
        <w:tabs>
          <w:tab w:val="left" w:pos="3544"/>
        </w:tabs>
        <w:ind w:left="708" w:firstLine="1"/>
      </w:pP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>Farmakoterapeutická skupina: Peniciliny se širokým spektrem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>ATCvet kód: QJ01CA04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rPr>
          <w:b/>
        </w:rPr>
        <w:t>5.1 Farmakodynamické vlastnosti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>Přípravek AMOXID obsahuje jako aktivní složku amoxicilin, polosyntetický penicilin, který má baktericidní vlastnosti jako penicilin s typicky stejně nízkou toxicitou. Jako další charakteristiku lze uvést odolnost vůči prostředí v žaludku a širší spektrum v porovnání s jinými, přirozenými peniciliny. Tyto vlastnosti představují vhodnou možnost pro perorální uplatnění amoxicilinu k léčbě různých infekčních chorob způsobovaných jak Gram-pozitivními, tak Gram-negativními bakteriemi.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 xml:space="preserve">Mechanismus účinku amoxicilinu spočívá v blokádě enzymatické aktivity pro stavbu bakteriálních buněk (např. transpeptidázy). Tato aktivita vede k zeslabení až k rozpadu bakteriálních buněčných stěn, které nejsou s to udržet vnitrobuněčný tlak. 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>K amoxicilinu nejcitlivějším mikroorganizmům patří z patogenů z Gram-</w:t>
      </w:r>
      <w:r w:rsidR="002751F6" w:rsidRPr="00220DDE">
        <w:t>pozitivních</w:t>
      </w:r>
      <w:r w:rsidRPr="00220DDE">
        <w:t xml:space="preserve"> bakterií </w:t>
      </w:r>
      <w:r w:rsidR="00BD48EB" w:rsidRPr="00220DDE">
        <w:t>např. stafylokoky</w:t>
      </w:r>
      <w:r w:rsidRPr="00220DDE">
        <w:t xml:space="preserve"> (mimo ty, které tvoří beta-lak</w:t>
      </w:r>
      <w:r w:rsidR="002751F6" w:rsidRPr="00220DDE">
        <w:t>t</w:t>
      </w:r>
      <w:r w:rsidRPr="00220DDE">
        <w:t xml:space="preserve">amázu), dále streptokoky a klostridia. Z Gram-negativních bakterií jsou to např. pasteurely, salmonely, hemofily a rovněž kmeny </w:t>
      </w:r>
      <w:r w:rsidRPr="00220DDE">
        <w:rPr>
          <w:i/>
        </w:rPr>
        <w:t>E. coli.</w:t>
      </w:r>
    </w:p>
    <w:p w:rsidR="00701F10" w:rsidRPr="00220DDE" w:rsidRDefault="00701F10" w:rsidP="00701F10">
      <w:pPr>
        <w:pStyle w:val="Zkladntextodsazen3"/>
        <w:tabs>
          <w:tab w:val="left" w:pos="3544"/>
        </w:tabs>
        <w:ind w:left="0" w:firstLine="709"/>
      </w:pPr>
      <w:r w:rsidRPr="00220DDE">
        <w:t>MIC a rezistence k hlavním patogenům:</w:t>
      </w:r>
    </w:p>
    <w:p w:rsidR="00701F10" w:rsidRPr="00220DDE" w:rsidRDefault="00701F10" w:rsidP="00701F10">
      <w:pPr>
        <w:pStyle w:val="Zkladntextodsazen3"/>
        <w:tabs>
          <w:tab w:val="left" w:pos="3544"/>
        </w:tabs>
        <w:ind w:left="0" w:firstLine="709"/>
      </w:pPr>
      <w:r w:rsidRPr="00220DD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190"/>
        <w:gridCol w:w="3054"/>
      </w:tblGrid>
      <w:tr w:rsidR="00701F10" w:rsidRPr="00220DDE">
        <w:tc>
          <w:tcPr>
            <w:tcW w:w="393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  <w:rPr>
                <w:b/>
              </w:rPr>
            </w:pPr>
            <w:r w:rsidRPr="00220DDE">
              <w:rPr>
                <w:b/>
              </w:rPr>
              <w:t>Hlavní patogeny</w:t>
            </w: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  <w:rPr>
                <w:b/>
              </w:rPr>
            </w:pPr>
            <w:r w:rsidRPr="00220DDE">
              <w:rPr>
                <w:b/>
              </w:rPr>
              <w:t>MIC (mg/l)</w:t>
            </w:r>
          </w:p>
        </w:tc>
        <w:tc>
          <w:tcPr>
            <w:tcW w:w="309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  <w:rPr>
                <w:b/>
              </w:rPr>
            </w:pPr>
            <w:r w:rsidRPr="00220DDE">
              <w:rPr>
                <w:b/>
              </w:rPr>
              <w:t>Poznámky k rezistenci</w:t>
            </w:r>
          </w:p>
        </w:tc>
      </w:tr>
      <w:tr w:rsidR="00701F10" w:rsidRPr="00220DDE">
        <w:trPr>
          <w:cantSplit/>
        </w:trPr>
        <w:tc>
          <w:tcPr>
            <w:tcW w:w="3936" w:type="dxa"/>
            <w:vMerge w:val="restart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 xml:space="preserve">Kmeny </w:t>
            </w:r>
            <w:r w:rsidRPr="00220DDE">
              <w:rPr>
                <w:i/>
              </w:rPr>
              <w:t xml:space="preserve">E. coli </w:t>
            </w:r>
            <w:r w:rsidRPr="00220DDE">
              <w:t>izolovaných z prasat</w:t>
            </w: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&lt;, 0</w:t>
            </w:r>
          </w:p>
        </w:tc>
        <w:tc>
          <w:tcPr>
            <w:tcW w:w="3096" w:type="dxa"/>
            <w:vMerge w:val="restart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 xml:space="preserve">Procento rezistentních kmenů </w:t>
            </w:r>
            <w:r w:rsidRPr="00220DDE">
              <w:rPr>
                <w:i/>
              </w:rPr>
              <w:t>E. coli</w:t>
            </w:r>
            <w:r w:rsidRPr="00220DDE">
              <w:t xml:space="preserve"> k antimikrobiálnímu přípravku AMOXID se rovná </w:t>
            </w:r>
            <w:r w:rsidR="00DA4D96" w:rsidRPr="00220DDE">
              <w:t>72,2 %</w:t>
            </w:r>
            <w:r w:rsidRPr="00220DDE">
              <w:t xml:space="preserve"> a hraniční koncentrace (breakpoint) je 16 mg/l</w:t>
            </w: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2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1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18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33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3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0</w:t>
            </w:r>
            <w:r w:rsidRPr="00220DDE">
              <w:rPr>
                <w:rtl/>
                <w:lang w:bidi="he-IL"/>
              </w:rPr>
              <w:t>׀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1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0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2, &gt;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  <w:tr w:rsidR="00701F10" w:rsidRPr="00220DDE">
        <w:trPr>
          <w:cantSplit/>
        </w:trPr>
        <w:tc>
          <w:tcPr>
            <w:tcW w:w="393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  <w:tc>
          <w:tcPr>
            <w:tcW w:w="2256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145</w:t>
            </w:r>
          </w:p>
        </w:tc>
        <w:tc>
          <w:tcPr>
            <w:tcW w:w="3096" w:type="dxa"/>
            <w:vMerge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</w:p>
        </w:tc>
      </w:tr>
    </w:tbl>
    <w:p w:rsidR="00701F10" w:rsidRPr="00220DDE" w:rsidRDefault="00701F10" w:rsidP="00701F10">
      <w:pPr>
        <w:pStyle w:val="Zkladntextodsazen3"/>
        <w:tabs>
          <w:tab w:val="left" w:pos="3544"/>
        </w:tabs>
        <w:ind w:left="0"/>
      </w:pPr>
    </w:p>
    <w:p w:rsidR="00701F10" w:rsidRPr="00220DDE" w:rsidRDefault="00701F10" w:rsidP="00701F10">
      <w:pPr>
        <w:pStyle w:val="Zkladntextodsazen3"/>
        <w:tabs>
          <w:tab w:val="left" w:pos="3544"/>
        </w:tabs>
        <w:ind w:left="0"/>
      </w:pPr>
      <w:r w:rsidRPr="00220DD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46"/>
        <w:gridCol w:w="2271"/>
        <w:gridCol w:w="2265"/>
      </w:tblGrid>
      <w:tr w:rsidR="00701F10" w:rsidRPr="00220DDE"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rPr>
                <w:b/>
              </w:rPr>
              <w:lastRenderedPageBreak/>
              <w:t>Hlavní patogeny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rPr>
                <w:b/>
              </w:rPr>
              <w:t xml:space="preserve">Rozsah MIC 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rPr>
                <w:b/>
              </w:rPr>
              <w:t>MIC</w:t>
            </w:r>
            <w:r w:rsidRPr="00220DDE">
              <w:rPr>
                <w:b/>
                <w:vertAlign w:val="subscript"/>
              </w:rPr>
              <w:t xml:space="preserve">90 </w:t>
            </w:r>
            <w:r w:rsidRPr="00220DDE">
              <w:rPr>
                <w:b/>
              </w:rPr>
              <w:t>ve vztahu k amoxicilinu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rPr>
                <w:b/>
              </w:rPr>
              <w:t>Poznámky k rezistenci</w:t>
            </w:r>
          </w:p>
        </w:tc>
      </w:tr>
      <w:tr w:rsidR="00701F10" w:rsidRPr="00220DDE"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rPr>
                <w:i/>
              </w:rPr>
            </w:pPr>
            <w:r w:rsidRPr="00220DDE">
              <w:rPr>
                <w:i/>
              </w:rPr>
              <w:t>Streptococcus suis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≤0,006 – 3,12 μg/ml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0,025 / 0,1 μg/ml</w:t>
            </w:r>
          </w:p>
        </w:tc>
        <w:tc>
          <w:tcPr>
            <w:tcW w:w="2322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</w:pPr>
            <w:r w:rsidRPr="00220DDE">
              <w:t>Procento rezistence se rovná nule.</w:t>
            </w:r>
          </w:p>
        </w:tc>
      </w:tr>
    </w:tbl>
    <w:p w:rsidR="00701F10" w:rsidRPr="00220DDE" w:rsidRDefault="00701F10" w:rsidP="00701F10">
      <w:pPr>
        <w:pStyle w:val="Zkladntextodsazen3"/>
        <w:tabs>
          <w:tab w:val="left" w:pos="3544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701F10" w:rsidRPr="00220DDE"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  <w:rPr>
                <w:b/>
              </w:rPr>
            </w:pPr>
            <w:r w:rsidRPr="00220DDE">
              <w:rPr>
                <w:b/>
              </w:rPr>
              <w:t>Bakteriální kmen</w:t>
            </w:r>
          </w:p>
        </w:tc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  <w:rPr>
                <w:b/>
              </w:rPr>
            </w:pPr>
            <w:r w:rsidRPr="00220DDE">
              <w:rPr>
                <w:b/>
              </w:rPr>
              <w:t>Citlivost kmenů izolovaných z prasat k amoxicilinu – v %</w:t>
            </w:r>
          </w:p>
        </w:tc>
      </w:tr>
      <w:tr w:rsidR="00701F10" w:rsidRPr="00220DDE"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rPr>
                <w:i/>
              </w:rPr>
            </w:pPr>
            <w:r w:rsidRPr="00220DDE">
              <w:rPr>
                <w:i/>
              </w:rPr>
              <w:t>A. pleuropneumoniae</w:t>
            </w:r>
          </w:p>
        </w:tc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t>94,5, 97,9</w:t>
            </w:r>
          </w:p>
        </w:tc>
      </w:tr>
      <w:tr w:rsidR="00701F10" w:rsidRPr="00220DDE"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rPr>
                <w:i/>
              </w:rPr>
            </w:pPr>
            <w:r w:rsidRPr="00220DDE">
              <w:rPr>
                <w:i/>
              </w:rPr>
              <w:t>P. multocida</w:t>
            </w:r>
          </w:p>
        </w:tc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t>90</w:t>
            </w:r>
          </w:p>
        </w:tc>
      </w:tr>
      <w:tr w:rsidR="00701F10" w:rsidRPr="00220DDE"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rPr>
                <w:i/>
              </w:rPr>
            </w:pPr>
            <w:r w:rsidRPr="00220DDE">
              <w:rPr>
                <w:i/>
              </w:rPr>
              <w:t>S. suis</w:t>
            </w:r>
          </w:p>
        </w:tc>
        <w:tc>
          <w:tcPr>
            <w:tcW w:w="4644" w:type="dxa"/>
          </w:tcPr>
          <w:p w:rsidR="00701F10" w:rsidRPr="00220DDE" w:rsidRDefault="00701F10" w:rsidP="00013331">
            <w:pPr>
              <w:pStyle w:val="Zkladntextodsazen3"/>
              <w:tabs>
                <w:tab w:val="left" w:pos="3544"/>
              </w:tabs>
              <w:ind w:left="0"/>
              <w:jc w:val="center"/>
            </w:pPr>
            <w:r w:rsidRPr="00220DDE">
              <w:t xml:space="preserve">83,1, </w:t>
            </w:r>
            <w:bookmarkStart w:id="0" w:name="_GoBack"/>
            <w:bookmarkEnd w:id="0"/>
            <w:r w:rsidRPr="00220DDE">
              <w:t>93,4</w:t>
            </w:r>
          </w:p>
        </w:tc>
      </w:tr>
    </w:tbl>
    <w:p w:rsidR="00701F10" w:rsidRPr="00220DDE" w:rsidRDefault="00701F10" w:rsidP="00701F10">
      <w:pPr>
        <w:tabs>
          <w:tab w:val="left" w:pos="3544"/>
        </w:tabs>
        <w:rPr>
          <w:b/>
        </w:rPr>
      </w:pPr>
    </w:p>
    <w:p w:rsidR="00701F10" w:rsidRPr="00220DDE" w:rsidRDefault="00701F10" w:rsidP="00701F10">
      <w:pPr>
        <w:tabs>
          <w:tab w:val="left" w:pos="3544"/>
        </w:tabs>
        <w:rPr>
          <w:b/>
        </w:rPr>
      </w:pPr>
      <w:r w:rsidRPr="00220DDE">
        <w:rPr>
          <w:b/>
        </w:rPr>
        <w:t>5.2 Farmakokinetické údaje</w:t>
      </w:r>
    </w:p>
    <w:p w:rsidR="00701F10" w:rsidRPr="00220DDE" w:rsidRDefault="00701F10" w:rsidP="00701F10">
      <w:pPr>
        <w:tabs>
          <w:tab w:val="left" w:pos="3544"/>
        </w:tabs>
        <w:ind w:left="708" w:firstLine="1"/>
        <w:jc w:val="both"/>
      </w:pPr>
      <w:r w:rsidRPr="00220DDE">
        <w:t>Z hlediska farmakokinetiky je amoxicilin účinně absorbován v zažívacím traktu, dostává se do krevního oběhu, kde dosahuje maximální hladiny v průběhu 2 – 3 hodin po aplikaci. V průběhu 12 hodin po aplikaci je amoxicilin vylučován ledvinami.</w:t>
      </w:r>
    </w:p>
    <w:p w:rsidR="00701F10" w:rsidRPr="00220DDE" w:rsidRDefault="00701F10" w:rsidP="00701F10">
      <w:pPr>
        <w:tabs>
          <w:tab w:val="left" w:pos="3544"/>
        </w:tabs>
        <w:rPr>
          <w:b/>
        </w:rPr>
      </w:pPr>
    </w:p>
    <w:p w:rsidR="00701F10" w:rsidRPr="00220DDE" w:rsidRDefault="00701F10" w:rsidP="00701F10">
      <w:pPr>
        <w:tabs>
          <w:tab w:val="left" w:pos="3544"/>
        </w:tabs>
      </w:pPr>
      <w:r w:rsidRPr="00220DDE">
        <w:rPr>
          <w:b/>
        </w:rPr>
        <w:t>6. FARMACEUTICKÉ ÚDAJE</w:t>
      </w:r>
      <w:r w:rsidRPr="00220DDE">
        <w:t xml:space="preserve"> </w:t>
      </w:r>
    </w:p>
    <w:p w:rsidR="00701F10" w:rsidRPr="00220DDE" w:rsidRDefault="00701F10" w:rsidP="00701F10">
      <w:pPr>
        <w:tabs>
          <w:tab w:val="left" w:pos="3544"/>
        </w:tabs>
        <w:ind w:left="426" w:hanging="426"/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ind w:left="426" w:hanging="426"/>
        <w:rPr>
          <w:b/>
          <w:u w:val="single"/>
        </w:rPr>
      </w:pPr>
      <w:r w:rsidRPr="00220DDE">
        <w:rPr>
          <w:b/>
          <w:u w:val="single"/>
        </w:rPr>
        <w:t>6.1. Seznam pomocných látek</w:t>
      </w:r>
    </w:p>
    <w:p w:rsidR="00701F10" w:rsidRPr="00220DDE" w:rsidRDefault="00701F10" w:rsidP="00701F10">
      <w:pPr>
        <w:tabs>
          <w:tab w:val="left" w:pos="3544"/>
        </w:tabs>
        <w:ind w:left="426" w:hanging="426"/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 xml:space="preserve">Uhličitan sodný 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 xml:space="preserve">Dekahydrát tetraboritanu sodného 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 xml:space="preserve">Glycin 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 xml:space="preserve">Koloidní hydratovaný oxid křemičitý 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>Natrium-lauryl-sulfát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>Dinatrium-edetát</w:t>
      </w:r>
    </w:p>
    <w:p w:rsidR="00701F10" w:rsidRPr="00220DDE" w:rsidRDefault="00701F10" w:rsidP="00701F10">
      <w:pPr>
        <w:tabs>
          <w:tab w:val="left" w:pos="3544"/>
        </w:tabs>
        <w:ind w:left="540"/>
      </w:pPr>
      <w:r w:rsidRPr="00220DDE">
        <w:t>Monohydrát laktosy</w:t>
      </w:r>
    </w:p>
    <w:p w:rsidR="00701F10" w:rsidRPr="00220DDE" w:rsidRDefault="00701F10" w:rsidP="00701F10">
      <w:pPr>
        <w:tabs>
          <w:tab w:val="left" w:pos="3544"/>
        </w:tabs>
        <w:ind w:left="426" w:hanging="426"/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ind w:left="426" w:hanging="426"/>
      </w:pPr>
      <w:r w:rsidRPr="00220DDE">
        <w:rPr>
          <w:b/>
          <w:u w:val="single"/>
        </w:rPr>
        <w:t xml:space="preserve">6.2. </w:t>
      </w:r>
      <w:r w:rsidR="00FB0282" w:rsidRPr="00220DDE">
        <w:rPr>
          <w:b/>
          <w:u w:val="single"/>
        </w:rPr>
        <w:t>Hlavní i</w:t>
      </w:r>
      <w:r w:rsidRPr="00220DDE">
        <w:rPr>
          <w:b/>
          <w:u w:val="single"/>
        </w:rPr>
        <w:t xml:space="preserve">nkompatibility </w:t>
      </w:r>
    </w:p>
    <w:p w:rsidR="00701F10" w:rsidRPr="00220DDE" w:rsidRDefault="00701F10" w:rsidP="00701F10">
      <w:pPr>
        <w:pStyle w:val="Zkladntextodsazen3"/>
        <w:tabs>
          <w:tab w:val="left" w:pos="3544"/>
        </w:tabs>
        <w:ind w:left="708"/>
      </w:pPr>
    </w:p>
    <w:p w:rsidR="00701F10" w:rsidRPr="00220DDE" w:rsidRDefault="00701F10" w:rsidP="00701F10">
      <w:pPr>
        <w:pStyle w:val="Zkladntextodsazen3"/>
        <w:tabs>
          <w:tab w:val="left" w:pos="3544"/>
        </w:tabs>
        <w:ind w:left="708"/>
      </w:pPr>
      <w:r w:rsidRPr="00220DDE">
        <w:t>Nejsou známy.</w:t>
      </w:r>
    </w:p>
    <w:p w:rsidR="00701F10" w:rsidRPr="00220DDE" w:rsidRDefault="00701F10" w:rsidP="00701F10">
      <w:pPr>
        <w:tabs>
          <w:tab w:val="left" w:pos="3544"/>
        </w:tabs>
        <w:ind w:left="360"/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6.3. Doba použitelnosti</w:t>
      </w:r>
    </w:p>
    <w:p w:rsidR="00701F10" w:rsidRPr="00220DDE" w:rsidRDefault="00701F10" w:rsidP="00701F10">
      <w:pPr>
        <w:tabs>
          <w:tab w:val="left" w:pos="3544"/>
        </w:tabs>
        <w:ind w:left="708"/>
      </w:pPr>
    </w:p>
    <w:p w:rsidR="00701F10" w:rsidRPr="00220DDE" w:rsidRDefault="00701F10" w:rsidP="00701F10">
      <w:pPr>
        <w:tabs>
          <w:tab w:val="left" w:pos="3544"/>
        </w:tabs>
        <w:ind w:left="708"/>
      </w:pPr>
      <w:r w:rsidRPr="00220DDE">
        <w:t>Doba použitelnosti veterinárního léčivého přípravku v neporušeném obalu: 2 roky</w:t>
      </w:r>
    </w:p>
    <w:p w:rsidR="00701F10" w:rsidRPr="00220DDE" w:rsidRDefault="00701F10" w:rsidP="00701F10">
      <w:pPr>
        <w:tabs>
          <w:tab w:val="left" w:pos="3544"/>
        </w:tabs>
        <w:ind w:left="708"/>
      </w:pPr>
      <w:r w:rsidRPr="00220DDE">
        <w:t>Doba použitelnosti po prvním otevření vnitřního obalu: 3 měsíce</w:t>
      </w:r>
    </w:p>
    <w:p w:rsidR="00701F10" w:rsidRPr="00220DDE" w:rsidRDefault="00701F10" w:rsidP="00701F10">
      <w:pPr>
        <w:tabs>
          <w:tab w:val="left" w:pos="3544"/>
        </w:tabs>
        <w:ind w:left="708"/>
      </w:pPr>
      <w:r w:rsidRPr="00220DDE">
        <w:t>Doba použitelnosti po rozpuštění nebo rekonstituci podle návodu: 6 hodin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6.4. Zvláštní opatření pro uchovávání</w:t>
      </w:r>
    </w:p>
    <w:p w:rsidR="00701F10" w:rsidRPr="00220DDE" w:rsidRDefault="00701F10" w:rsidP="00701F10">
      <w:pPr>
        <w:ind w:left="709"/>
      </w:pPr>
    </w:p>
    <w:p w:rsidR="00701F10" w:rsidRPr="00220DDE" w:rsidRDefault="00701F10" w:rsidP="00701F10">
      <w:pPr>
        <w:ind w:left="709"/>
      </w:pPr>
      <w:r w:rsidRPr="00220DDE">
        <w:t>Uchovávejte při teplotě do 25</w:t>
      </w:r>
      <w:r w:rsidR="00627A04" w:rsidRPr="00220DDE">
        <w:t xml:space="preserve"> </w:t>
      </w:r>
      <w:r w:rsidRPr="00220DDE">
        <w:t>°C.</w:t>
      </w:r>
    </w:p>
    <w:p w:rsidR="00701F10" w:rsidRPr="00220DDE" w:rsidRDefault="00701F10" w:rsidP="00701F10">
      <w:pPr>
        <w:ind w:left="709"/>
      </w:pPr>
      <w:r w:rsidRPr="00220DDE">
        <w:t>Uchovávejte v suchu.</w:t>
      </w:r>
    </w:p>
    <w:p w:rsidR="00701F10" w:rsidRPr="00220DDE" w:rsidRDefault="00701F10" w:rsidP="00701F10">
      <w:pPr>
        <w:tabs>
          <w:tab w:val="left" w:pos="3544"/>
        </w:tabs>
        <w:ind w:left="420"/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t>6.5. Druh a složení vnitřního obalu</w:t>
      </w:r>
    </w:p>
    <w:p w:rsidR="00701F10" w:rsidRPr="00220DDE" w:rsidRDefault="00701F10" w:rsidP="00701F10">
      <w:pPr>
        <w:tabs>
          <w:tab w:val="left" w:pos="3544"/>
        </w:tabs>
        <w:ind w:left="709"/>
      </w:pPr>
    </w:p>
    <w:p w:rsidR="00701F10" w:rsidRPr="00220DDE" w:rsidRDefault="00701F10" w:rsidP="00701F10">
      <w:pPr>
        <w:tabs>
          <w:tab w:val="left" w:pos="2694"/>
        </w:tabs>
        <w:ind w:left="709"/>
        <w:rPr>
          <w:i/>
          <w:u w:val="single"/>
        </w:rPr>
      </w:pPr>
      <w:r w:rsidRPr="00220DDE">
        <w:t>HDPE l</w:t>
      </w:r>
      <w:r w:rsidR="00627A04" w:rsidRPr="00220DDE">
        <w:t>a</w:t>
      </w:r>
      <w:r w:rsidRPr="00220DDE">
        <w:t xml:space="preserve">hev s LDPE/PP uzávěrem  </w:t>
      </w:r>
    </w:p>
    <w:p w:rsidR="00701F10" w:rsidRPr="00220DDE" w:rsidRDefault="00701F10" w:rsidP="00701F10">
      <w:pPr>
        <w:tabs>
          <w:tab w:val="left" w:pos="2694"/>
        </w:tabs>
        <w:ind w:left="709"/>
      </w:pPr>
      <w:r w:rsidRPr="00220DDE">
        <w:rPr>
          <w:i/>
          <w:u w:val="single"/>
        </w:rPr>
        <w:t>Balení:</w:t>
      </w:r>
      <w:r w:rsidRPr="00220DDE">
        <w:t xml:space="preserve">    1 x </w:t>
      </w:r>
      <w:smartTag w:uri="urn:schemas-microsoft-com:office:smarttags" w:element="metricconverter">
        <w:smartTagPr>
          <w:attr w:name="ProductID" w:val="1000 g"/>
        </w:smartTagPr>
        <w:r w:rsidRPr="00220DDE">
          <w:t>1000 g</w:t>
        </w:r>
      </w:smartTag>
      <w:r w:rsidRPr="00220DDE">
        <w:t xml:space="preserve">, 1 x </w:t>
      </w:r>
      <w:smartTag w:uri="urn:schemas-microsoft-com:office:smarttags" w:element="metricconverter">
        <w:smartTagPr>
          <w:attr w:name="ProductID" w:val="143 g"/>
        </w:smartTagPr>
        <w:r w:rsidRPr="00220DDE">
          <w:t>143 g</w:t>
        </w:r>
      </w:smartTag>
      <w:r w:rsidRPr="00220DDE">
        <w:t xml:space="preserve">, 1 x </w:t>
      </w:r>
      <w:smartTag w:uri="urn:schemas-microsoft-com:office:smarttags" w:element="metricconverter">
        <w:smartTagPr>
          <w:attr w:name="ProductID" w:val="358 g"/>
        </w:smartTagPr>
        <w:r w:rsidRPr="00220DDE">
          <w:t>358 g</w:t>
        </w:r>
      </w:smartTag>
      <w:r w:rsidRPr="00220DDE">
        <w:t xml:space="preserve"> a 1 x </w:t>
      </w:r>
      <w:smartTag w:uri="urn:schemas-microsoft-com:office:smarttags" w:element="metricconverter">
        <w:smartTagPr>
          <w:attr w:name="ProductID" w:val="1430 g"/>
        </w:smartTagPr>
        <w:r w:rsidRPr="00220DDE">
          <w:t>1430 g</w:t>
        </w:r>
      </w:smartTag>
      <w:r w:rsidRPr="00220DDE">
        <w:t xml:space="preserve"> </w:t>
      </w:r>
    </w:p>
    <w:p w:rsidR="00701F10" w:rsidRPr="00220DDE" w:rsidRDefault="00701F10" w:rsidP="00701F10">
      <w:pPr>
        <w:tabs>
          <w:tab w:val="left" w:pos="2694"/>
        </w:tabs>
        <w:ind w:left="709"/>
      </w:pPr>
    </w:p>
    <w:p w:rsidR="00701F10" w:rsidRPr="00220DDE" w:rsidRDefault="00701F10" w:rsidP="00701F10">
      <w:pPr>
        <w:tabs>
          <w:tab w:val="left" w:pos="2694"/>
        </w:tabs>
        <w:ind w:left="709"/>
      </w:pPr>
      <w:r w:rsidRPr="00220DDE">
        <w:t>Polyester/</w:t>
      </w:r>
      <w:r w:rsidR="00627A04" w:rsidRPr="00220DDE">
        <w:t>hliník</w:t>
      </w:r>
      <w:r w:rsidRPr="00220DDE">
        <w:t>/</w:t>
      </w:r>
      <w:r w:rsidR="00627A04" w:rsidRPr="00220DDE">
        <w:t>p</w:t>
      </w:r>
      <w:r w:rsidR="00FB0282" w:rsidRPr="00220DDE">
        <w:t>olyester/</w:t>
      </w:r>
      <w:r w:rsidRPr="00220DDE">
        <w:t>LDPE vak</w:t>
      </w:r>
    </w:p>
    <w:p w:rsidR="00701F10" w:rsidRPr="00220DDE" w:rsidRDefault="00701F10" w:rsidP="00701F10">
      <w:pPr>
        <w:tabs>
          <w:tab w:val="left" w:pos="2694"/>
        </w:tabs>
        <w:ind w:left="709"/>
      </w:pPr>
      <w:r w:rsidRPr="00220DDE">
        <w:rPr>
          <w:i/>
          <w:u w:val="single"/>
        </w:rPr>
        <w:t>Balení:</w:t>
      </w:r>
      <w:r w:rsidRPr="00220DDE">
        <w:t xml:space="preserve">    </w:t>
      </w:r>
      <w:r w:rsidR="00627A04" w:rsidRPr="00220DDE">
        <w:t xml:space="preserve">1 x </w:t>
      </w:r>
      <w:smartTag w:uri="urn:schemas-microsoft-com:office:smarttags" w:element="metricconverter">
        <w:smartTagPr>
          <w:attr w:name="ProductID" w:val="1000 g"/>
        </w:smartTagPr>
        <w:r w:rsidR="00627A04" w:rsidRPr="00220DDE">
          <w:t>1000 g</w:t>
        </w:r>
      </w:smartTag>
      <w:r w:rsidR="00627A04" w:rsidRPr="00220DDE">
        <w:t xml:space="preserve">, 1 x </w:t>
      </w:r>
      <w:smartTag w:uri="urn:schemas-microsoft-com:office:smarttags" w:element="metricconverter">
        <w:smartTagPr>
          <w:attr w:name="ProductID" w:val="1430 g"/>
        </w:smartTagPr>
        <w:r w:rsidR="00627A04" w:rsidRPr="00220DDE">
          <w:t>1430 g</w:t>
        </w:r>
      </w:smartTag>
      <w:r w:rsidR="00627A04" w:rsidRPr="00220DDE">
        <w:t xml:space="preserve"> a </w:t>
      </w:r>
      <w:r w:rsidRPr="00220DDE">
        <w:t xml:space="preserve">1 x </w:t>
      </w:r>
      <w:smartTag w:uri="urn:schemas-microsoft-com:office:smarttags" w:element="metricconverter">
        <w:smartTagPr>
          <w:attr w:name="ProductID" w:val="4290 g"/>
        </w:smartTagPr>
        <w:r w:rsidRPr="00220DDE">
          <w:t>4290 g</w:t>
        </w:r>
      </w:smartTag>
    </w:p>
    <w:p w:rsidR="00701F10" w:rsidRPr="00220DDE" w:rsidRDefault="00701F10" w:rsidP="00701F10">
      <w:pPr>
        <w:tabs>
          <w:tab w:val="left" w:pos="2694"/>
        </w:tabs>
        <w:ind w:left="709"/>
      </w:pPr>
    </w:p>
    <w:p w:rsidR="00701F10" w:rsidRPr="00220DDE" w:rsidRDefault="00701F10" w:rsidP="00701F10">
      <w:pPr>
        <w:tabs>
          <w:tab w:val="left" w:pos="2694"/>
        </w:tabs>
        <w:ind w:left="709"/>
      </w:pPr>
      <w:r w:rsidRPr="00220DDE">
        <w:t>Na trhu nemusí být všechny velikosti balení.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  <w:r w:rsidRPr="00220DDE">
        <w:rPr>
          <w:b/>
          <w:u w:val="single"/>
        </w:rPr>
        <w:lastRenderedPageBreak/>
        <w:t>6.6. Zvláštní opatření pro likvidaci nespotřebovaného přípravku</w:t>
      </w:r>
    </w:p>
    <w:p w:rsidR="00701F10" w:rsidRPr="00220DDE" w:rsidRDefault="00701F10" w:rsidP="00701F10">
      <w:pPr>
        <w:tabs>
          <w:tab w:val="left" w:pos="-284"/>
        </w:tabs>
        <w:ind w:left="709"/>
      </w:pPr>
    </w:p>
    <w:p w:rsidR="00701F10" w:rsidRPr="00220DDE" w:rsidRDefault="00701F10" w:rsidP="00701F10">
      <w:pPr>
        <w:tabs>
          <w:tab w:val="left" w:pos="-284"/>
        </w:tabs>
        <w:ind w:left="709"/>
      </w:pPr>
      <w:r w:rsidRPr="00220DDE">
        <w:t>Všechen nepoužitý veterinární léčivý přípravek nebo odpad, který pochází z tohoto přípravku, musí být likvidován podle místních právních předpisů.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</w:rPr>
      </w:pPr>
      <w:r w:rsidRPr="00220DDE">
        <w:rPr>
          <w:b/>
        </w:rPr>
        <w:t>7. DRŽITEL ROZHODNUTÍ O REGISTRACI</w:t>
      </w:r>
    </w:p>
    <w:p w:rsidR="00701F10" w:rsidRPr="00220DDE" w:rsidRDefault="00701F10" w:rsidP="00701F10">
      <w:pPr>
        <w:tabs>
          <w:tab w:val="left" w:pos="3544"/>
        </w:tabs>
        <w:ind w:left="708"/>
        <w:rPr>
          <w:bCs/>
        </w:rPr>
      </w:pPr>
      <w:r w:rsidRPr="00220DDE">
        <w:rPr>
          <w:bCs/>
        </w:rPr>
        <w:t>INDUSTRIA ITALIANA INTEGRATORI TREI S.p.A.</w:t>
      </w:r>
    </w:p>
    <w:p w:rsidR="00701F10" w:rsidRPr="00220DDE" w:rsidRDefault="00701F10" w:rsidP="00DA4D96">
      <w:pPr>
        <w:pStyle w:val="Zkladntext2"/>
        <w:ind w:firstLine="708"/>
        <w:rPr>
          <w:bCs/>
        </w:rPr>
      </w:pPr>
      <w:r w:rsidRPr="00220DDE">
        <w:t>Via Corassori, 62- 41100 Modena, Itálie</w:t>
      </w:r>
    </w:p>
    <w:p w:rsidR="00701F10" w:rsidRPr="00220DDE" w:rsidRDefault="00701F10" w:rsidP="00701F10">
      <w:pPr>
        <w:tabs>
          <w:tab w:val="left" w:pos="3544"/>
        </w:tabs>
        <w:rPr>
          <w:b/>
        </w:rPr>
      </w:pPr>
      <w:r w:rsidRPr="00220DDE">
        <w:rPr>
          <w:b/>
        </w:rPr>
        <w:t>8. REGISTRAČNÍ ČÍSLO</w:t>
      </w:r>
    </w:p>
    <w:p w:rsidR="00701F10" w:rsidRPr="00220DDE" w:rsidRDefault="00701F10" w:rsidP="00701F10">
      <w:pPr>
        <w:tabs>
          <w:tab w:val="left" w:pos="3544"/>
        </w:tabs>
        <w:ind w:left="720"/>
      </w:pPr>
      <w:r w:rsidRPr="00220DDE">
        <w:t>96/101/04-C</w:t>
      </w:r>
    </w:p>
    <w:p w:rsidR="00701F10" w:rsidRPr="00220DDE" w:rsidRDefault="00701F10" w:rsidP="00701F10">
      <w:pPr>
        <w:tabs>
          <w:tab w:val="left" w:pos="3544"/>
        </w:tabs>
        <w:rPr>
          <w:b/>
          <w:u w:val="single"/>
        </w:rPr>
      </w:pPr>
    </w:p>
    <w:p w:rsidR="00701F10" w:rsidRPr="00220DDE" w:rsidRDefault="00701F10" w:rsidP="00701F10">
      <w:pPr>
        <w:tabs>
          <w:tab w:val="left" w:pos="3544"/>
        </w:tabs>
        <w:rPr>
          <w:b/>
        </w:rPr>
      </w:pPr>
      <w:r w:rsidRPr="00220DDE">
        <w:rPr>
          <w:b/>
        </w:rPr>
        <w:t>9. DATUM REGISTRACE/ PRODLOUŽENÍ REGISTRACE</w:t>
      </w:r>
    </w:p>
    <w:p w:rsidR="00701F10" w:rsidRPr="00220DDE" w:rsidRDefault="00701F10" w:rsidP="00701F10">
      <w:pPr>
        <w:tabs>
          <w:tab w:val="left" w:pos="3544"/>
        </w:tabs>
        <w:ind w:left="720"/>
      </w:pPr>
      <w:r w:rsidRPr="00220DDE">
        <w:t>15. 4. 2004, 6.10.2010</w:t>
      </w:r>
    </w:p>
    <w:p w:rsidR="00701F10" w:rsidRPr="00220DDE" w:rsidRDefault="00701F10" w:rsidP="00701F10">
      <w:pPr>
        <w:tabs>
          <w:tab w:val="left" w:pos="3544"/>
        </w:tabs>
      </w:pPr>
    </w:p>
    <w:p w:rsidR="00701F10" w:rsidRPr="00220DDE" w:rsidRDefault="00701F10" w:rsidP="00701F10">
      <w:pPr>
        <w:tabs>
          <w:tab w:val="left" w:pos="3544"/>
        </w:tabs>
        <w:rPr>
          <w:b/>
        </w:rPr>
      </w:pPr>
      <w:r w:rsidRPr="00220DDE">
        <w:rPr>
          <w:b/>
        </w:rPr>
        <w:t>10. DATUM REVIZE TEXTU</w:t>
      </w:r>
    </w:p>
    <w:p w:rsidR="004D65AD" w:rsidRPr="00220DDE" w:rsidRDefault="004F46FB" w:rsidP="004D65AD">
      <w:pPr>
        <w:ind w:right="-318" w:firstLine="708"/>
      </w:pPr>
      <w:r w:rsidRPr="00220DDE">
        <w:t>Leden 2024</w:t>
      </w:r>
    </w:p>
    <w:p w:rsidR="00701F10" w:rsidRPr="00220DDE" w:rsidRDefault="00701F10" w:rsidP="00701F10"/>
    <w:p w:rsidR="008D6876" w:rsidRPr="00220DDE" w:rsidRDefault="008D6876" w:rsidP="00701F10">
      <w:pPr>
        <w:pStyle w:val="Nzev"/>
      </w:pPr>
    </w:p>
    <w:sectPr w:rsidR="008D6876" w:rsidRPr="00220DDE">
      <w:footerReference w:type="even" r:id="rId7"/>
      <w:footerReference w:type="default" r:id="rId8"/>
      <w:pgSz w:w="11906" w:h="16838"/>
      <w:pgMar w:top="955" w:right="1417" w:bottom="993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58" w:rsidRDefault="00283758">
      <w:r>
        <w:separator/>
      </w:r>
    </w:p>
  </w:endnote>
  <w:endnote w:type="continuationSeparator" w:id="0">
    <w:p w:rsidR="00283758" w:rsidRDefault="002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40" w:rsidRDefault="002A47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A4740" w:rsidRDefault="002A47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40" w:rsidRDefault="002A47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DDE">
      <w:rPr>
        <w:rStyle w:val="slostrnky"/>
        <w:noProof/>
      </w:rPr>
      <w:t>5</w:t>
    </w:r>
    <w:r>
      <w:rPr>
        <w:rStyle w:val="slostrnky"/>
      </w:rPr>
      <w:fldChar w:fldCharType="end"/>
    </w:r>
  </w:p>
  <w:p w:rsidR="002A4740" w:rsidRDefault="002A47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58" w:rsidRDefault="00283758">
      <w:r>
        <w:separator/>
      </w:r>
    </w:p>
  </w:footnote>
  <w:footnote w:type="continuationSeparator" w:id="0">
    <w:p w:rsidR="00283758" w:rsidRDefault="0028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47A"/>
    <w:multiLevelType w:val="multilevel"/>
    <w:tmpl w:val="999EDD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0E5D0C"/>
    <w:multiLevelType w:val="multilevel"/>
    <w:tmpl w:val="C816A8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5A67A7"/>
    <w:multiLevelType w:val="multilevel"/>
    <w:tmpl w:val="5DD42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5C949B2"/>
    <w:multiLevelType w:val="multilevel"/>
    <w:tmpl w:val="307C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C8"/>
    <w:rsid w:val="00013331"/>
    <w:rsid w:val="0001603B"/>
    <w:rsid w:val="000B489B"/>
    <w:rsid w:val="000C01C8"/>
    <w:rsid w:val="00122BF5"/>
    <w:rsid w:val="001241F5"/>
    <w:rsid w:val="00200A96"/>
    <w:rsid w:val="00220DDE"/>
    <w:rsid w:val="00245440"/>
    <w:rsid w:val="002751F6"/>
    <w:rsid w:val="00283758"/>
    <w:rsid w:val="00295AE8"/>
    <w:rsid w:val="002A3929"/>
    <w:rsid w:val="002A4740"/>
    <w:rsid w:val="002C1AA8"/>
    <w:rsid w:val="002E0789"/>
    <w:rsid w:val="002E3437"/>
    <w:rsid w:val="003027A6"/>
    <w:rsid w:val="00326305"/>
    <w:rsid w:val="003467E0"/>
    <w:rsid w:val="00381EB8"/>
    <w:rsid w:val="00391E8C"/>
    <w:rsid w:val="003B1670"/>
    <w:rsid w:val="003B41EB"/>
    <w:rsid w:val="0042056F"/>
    <w:rsid w:val="00450900"/>
    <w:rsid w:val="004719FB"/>
    <w:rsid w:val="004A045E"/>
    <w:rsid w:val="004C7AE0"/>
    <w:rsid w:val="004D65AD"/>
    <w:rsid w:val="004F1344"/>
    <w:rsid w:val="004F46FB"/>
    <w:rsid w:val="0050652D"/>
    <w:rsid w:val="0055137B"/>
    <w:rsid w:val="00565B10"/>
    <w:rsid w:val="005A218A"/>
    <w:rsid w:val="005D2DDA"/>
    <w:rsid w:val="00627A04"/>
    <w:rsid w:val="0065632F"/>
    <w:rsid w:val="006711EF"/>
    <w:rsid w:val="006F1730"/>
    <w:rsid w:val="00701F10"/>
    <w:rsid w:val="00796AFC"/>
    <w:rsid w:val="007B5523"/>
    <w:rsid w:val="007D2F9D"/>
    <w:rsid w:val="007D7BFE"/>
    <w:rsid w:val="007E1E19"/>
    <w:rsid w:val="007F4C00"/>
    <w:rsid w:val="00816287"/>
    <w:rsid w:val="0086105D"/>
    <w:rsid w:val="0088666E"/>
    <w:rsid w:val="008910B6"/>
    <w:rsid w:val="00896423"/>
    <w:rsid w:val="008D6876"/>
    <w:rsid w:val="008E14DC"/>
    <w:rsid w:val="008E6E96"/>
    <w:rsid w:val="00986F1F"/>
    <w:rsid w:val="009E0298"/>
    <w:rsid w:val="00A2466A"/>
    <w:rsid w:val="00A359CB"/>
    <w:rsid w:val="00A41A33"/>
    <w:rsid w:val="00A66CD8"/>
    <w:rsid w:val="00AA201B"/>
    <w:rsid w:val="00B22EB4"/>
    <w:rsid w:val="00B66D0B"/>
    <w:rsid w:val="00B76FD4"/>
    <w:rsid w:val="00BB19BB"/>
    <w:rsid w:val="00BD48EB"/>
    <w:rsid w:val="00BD5583"/>
    <w:rsid w:val="00BE15D1"/>
    <w:rsid w:val="00C01559"/>
    <w:rsid w:val="00C17D12"/>
    <w:rsid w:val="00C3707D"/>
    <w:rsid w:val="00C53527"/>
    <w:rsid w:val="00CA02CB"/>
    <w:rsid w:val="00CB4A28"/>
    <w:rsid w:val="00DA4D96"/>
    <w:rsid w:val="00DB3C46"/>
    <w:rsid w:val="00E21EEF"/>
    <w:rsid w:val="00E25FAB"/>
    <w:rsid w:val="00E4424A"/>
    <w:rsid w:val="00ED0626"/>
    <w:rsid w:val="00ED21C4"/>
    <w:rsid w:val="00EE6DC4"/>
    <w:rsid w:val="00FB0282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0519-9A61-4375-8E3B-81F29ECD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outlineLvl w:val="0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3544"/>
      </w:tabs>
      <w:jc w:val="center"/>
    </w:pPr>
    <w:rPr>
      <w:b/>
      <w:caps/>
      <w:szCs w:val="20"/>
    </w:rPr>
  </w:style>
  <w:style w:type="paragraph" w:styleId="Zkladntextodsazen">
    <w:name w:val="Body Text Indent"/>
    <w:basedOn w:val="Normln"/>
    <w:pPr>
      <w:tabs>
        <w:tab w:val="left" w:pos="0"/>
      </w:tabs>
      <w:ind w:left="1418" w:hanging="1418"/>
    </w:pPr>
    <w:rPr>
      <w:szCs w:val="20"/>
    </w:rPr>
  </w:style>
  <w:style w:type="paragraph" w:styleId="Zkladntextodsazen3">
    <w:name w:val="Body Text Indent 3"/>
    <w:basedOn w:val="Normln"/>
    <w:pPr>
      <w:ind w:left="1135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134"/>
      </w:tabs>
      <w:ind w:left="1135" w:hanging="1135"/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character" w:styleId="Odkaznakoment">
    <w:name w:val="annotation reference"/>
    <w:semiHidden/>
    <w:rsid w:val="00E21EEF"/>
    <w:rPr>
      <w:sz w:val="16"/>
      <w:szCs w:val="16"/>
    </w:rPr>
  </w:style>
  <w:style w:type="paragraph" w:styleId="Textkomente">
    <w:name w:val="annotation text"/>
    <w:basedOn w:val="Normln"/>
    <w:semiHidden/>
    <w:rsid w:val="00E21E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1EEF"/>
    <w:rPr>
      <w:b/>
      <w:bCs/>
    </w:rPr>
  </w:style>
  <w:style w:type="paragraph" w:styleId="Textbubliny">
    <w:name w:val="Balloon Text"/>
    <w:basedOn w:val="Normln"/>
    <w:semiHidden/>
    <w:rsid w:val="00E21EE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B3C4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USKVBL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novotná</dc:creator>
  <cp:keywords/>
  <dc:description/>
  <cp:lastModifiedBy>Nepejchalová Leona</cp:lastModifiedBy>
  <cp:revision>8</cp:revision>
  <cp:lastPrinted>2024-01-22T15:14:00Z</cp:lastPrinted>
  <dcterms:created xsi:type="dcterms:W3CDTF">2024-01-22T15:03:00Z</dcterms:created>
  <dcterms:modified xsi:type="dcterms:W3CDTF">2024-01-26T17:26:00Z</dcterms:modified>
</cp:coreProperties>
</file>