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C436D" w14:textId="77777777" w:rsidR="00DF30CE" w:rsidRPr="00B41D57" w:rsidRDefault="00DF30CE" w:rsidP="00DF30CE">
      <w:pPr>
        <w:rPr>
          <w:szCs w:val="22"/>
        </w:rPr>
      </w:pPr>
      <w:bookmarkStart w:id="0" w:name="_GoBack"/>
      <w:bookmarkEnd w:id="0"/>
    </w:p>
    <w:p w14:paraId="147382D8" w14:textId="77777777" w:rsidR="00DF30CE" w:rsidRPr="00B41D57" w:rsidRDefault="00DF30CE" w:rsidP="00DF30CE">
      <w:pPr>
        <w:rPr>
          <w:szCs w:val="22"/>
        </w:rPr>
      </w:pPr>
    </w:p>
    <w:p w14:paraId="2E6F4E92" w14:textId="77777777" w:rsidR="00DF30CE" w:rsidRPr="00B41D57" w:rsidRDefault="00DF30CE" w:rsidP="00DF30CE">
      <w:pPr>
        <w:rPr>
          <w:szCs w:val="22"/>
        </w:rPr>
      </w:pPr>
    </w:p>
    <w:p w14:paraId="7F25F00E" w14:textId="77777777" w:rsidR="00DF30CE" w:rsidRPr="00B41D57" w:rsidRDefault="00DF30CE" w:rsidP="00DF30CE">
      <w:pPr>
        <w:rPr>
          <w:szCs w:val="22"/>
        </w:rPr>
      </w:pPr>
    </w:p>
    <w:p w14:paraId="6D77520D" w14:textId="77777777" w:rsidR="00DF30CE" w:rsidRPr="00B41D57" w:rsidRDefault="00DF30CE" w:rsidP="00DF30CE">
      <w:pPr>
        <w:rPr>
          <w:szCs w:val="22"/>
        </w:rPr>
      </w:pPr>
    </w:p>
    <w:p w14:paraId="1593BE6D" w14:textId="77777777" w:rsidR="00DF30CE" w:rsidRPr="00B41D57" w:rsidRDefault="00DF30CE" w:rsidP="00DF30CE">
      <w:pPr>
        <w:rPr>
          <w:szCs w:val="22"/>
        </w:rPr>
      </w:pPr>
    </w:p>
    <w:p w14:paraId="5FFD1F42" w14:textId="77777777" w:rsidR="00DF30CE" w:rsidRPr="00B41D57" w:rsidRDefault="00DF30CE" w:rsidP="00DF30CE">
      <w:pPr>
        <w:rPr>
          <w:szCs w:val="22"/>
        </w:rPr>
      </w:pPr>
    </w:p>
    <w:p w14:paraId="0CA501A5" w14:textId="77777777" w:rsidR="00DF30CE" w:rsidRPr="00B41D57" w:rsidRDefault="00DF30CE" w:rsidP="00DF30CE">
      <w:pPr>
        <w:rPr>
          <w:szCs w:val="22"/>
        </w:rPr>
      </w:pPr>
    </w:p>
    <w:p w14:paraId="313CC22D" w14:textId="77777777" w:rsidR="00DF30CE" w:rsidRPr="00B41D57" w:rsidRDefault="00DF30CE" w:rsidP="00DF30CE">
      <w:pPr>
        <w:rPr>
          <w:szCs w:val="22"/>
        </w:rPr>
      </w:pPr>
    </w:p>
    <w:p w14:paraId="02F20AC6" w14:textId="77777777" w:rsidR="00DF30CE" w:rsidRPr="00B41D57" w:rsidRDefault="00DF30CE" w:rsidP="00DF30CE">
      <w:pPr>
        <w:rPr>
          <w:szCs w:val="22"/>
        </w:rPr>
      </w:pPr>
    </w:p>
    <w:p w14:paraId="1A93F9EA" w14:textId="77777777" w:rsidR="00DF30CE" w:rsidRPr="00B41D57" w:rsidRDefault="00DF30CE" w:rsidP="00DF30CE">
      <w:pPr>
        <w:rPr>
          <w:szCs w:val="22"/>
        </w:rPr>
      </w:pPr>
    </w:p>
    <w:p w14:paraId="39E75164" w14:textId="77777777" w:rsidR="00DF30CE" w:rsidRPr="00B41D57" w:rsidRDefault="00DF30CE" w:rsidP="00DF30CE">
      <w:pPr>
        <w:rPr>
          <w:szCs w:val="22"/>
        </w:rPr>
      </w:pPr>
    </w:p>
    <w:p w14:paraId="7A2A2977" w14:textId="77777777" w:rsidR="00DF30CE" w:rsidRPr="00B41D57" w:rsidRDefault="00DF30CE" w:rsidP="00DF30CE">
      <w:pPr>
        <w:rPr>
          <w:szCs w:val="22"/>
        </w:rPr>
      </w:pPr>
    </w:p>
    <w:p w14:paraId="3E85A6A7" w14:textId="77777777" w:rsidR="00DF30CE" w:rsidRPr="00B41D57" w:rsidRDefault="00DF30CE" w:rsidP="00DF30CE">
      <w:pPr>
        <w:rPr>
          <w:szCs w:val="22"/>
        </w:rPr>
      </w:pPr>
    </w:p>
    <w:p w14:paraId="28572837" w14:textId="77777777" w:rsidR="00DF30CE" w:rsidRPr="00B41D57" w:rsidRDefault="00DF30CE" w:rsidP="00DF30CE">
      <w:pPr>
        <w:rPr>
          <w:szCs w:val="22"/>
        </w:rPr>
      </w:pPr>
    </w:p>
    <w:p w14:paraId="32AE8DC3" w14:textId="77777777" w:rsidR="00DF30CE" w:rsidRPr="00B41D57" w:rsidRDefault="00DF30CE" w:rsidP="00DF30CE">
      <w:pPr>
        <w:rPr>
          <w:szCs w:val="22"/>
        </w:rPr>
      </w:pPr>
    </w:p>
    <w:p w14:paraId="6D814C20" w14:textId="77777777" w:rsidR="00DF30CE" w:rsidRPr="00B41D57" w:rsidRDefault="00DF30CE" w:rsidP="00DF30CE">
      <w:pPr>
        <w:rPr>
          <w:szCs w:val="22"/>
        </w:rPr>
      </w:pPr>
    </w:p>
    <w:p w14:paraId="1452631C" w14:textId="77777777" w:rsidR="00DF30CE" w:rsidRPr="00B41D57" w:rsidRDefault="00DF30CE" w:rsidP="00DF30CE">
      <w:pPr>
        <w:rPr>
          <w:szCs w:val="22"/>
        </w:rPr>
      </w:pPr>
    </w:p>
    <w:p w14:paraId="37B0E9D6" w14:textId="77777777" w:rsidR="00DF30CE" w:rsidRPr="00B41D57" w:rsidRDefault="00DF30CE" w:rsidP="00DF30CE">
      <w:pPr>
        <w:rPr>
          <w:szCs w:val="22"/>
        </w:rPr>
      </w:pPr>
    </w:p>
    <w:p w14:paraId="19078738" w14:textId="77777777" w:rsidR="00DF30CE" w:rsidRPr="00B41D57" w:rsidRDefault="00DF30CE" w:rsidP="00DF30CE">
      <w:pPr>
        <w:rPr>
          <w:szCs w:val="22"/>
        </w:rPr>
      </w:pPr>
    </w:p>
    <w:p w14:paraId="50DB25F7" w14:textId="77777777" w:rsidR="00DF30CE" w:rsidRPr="00B41D57" w:rsidRDefault="00DF30CE" w:rsidP="00DF30CE">
      <w:pPr>
        <w:rPr>
          <w:szCs w:val="22"/>
        </w:rPr>
      </w:pPr>
    </w:p>
    <w:p w14:paraId="024C5E89" w14:textId="77777777" w:rsidR="00DF30CE" w:rsidRPr="00B41D57" w:rsidRDefault="00DF30CE" w:rsidP="00DF30CE">
      <w:pPr>
        <w:rPr>
          <w:szCs w:val="22"/>
        </w:rPr>
      </w:pPr>
    </w:p>
    <w:p w14:paraId="46D34D2A" w14:textId="77777777" w:rsidR="00DF30CE" w:rsidRPr="00B41D57" w:rsidRDefault="00DF30CE" w:rsidP="00DF30CE">
      <w:pPr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33442239" w14:textId="77777777" w:rsidR="00DF30CE" w:rsidRPr="00B41D57" w:rsidRDefault="00DF30CE" w:rsidP="00DF30CE">
      <w:pPr>
        <w:rPr>
          <w:szCs w:val="22"/>
        </w:rPr>
      </w:pPr>
    </w:p>
    <w:p w14:paraId="57E1A6A5" w14:textId="77777777" w:rsidR="00DF30CE" w:rsidRPr="00B41D57" w:rsidRDefault="00DF30CE" w:rsidP="00DF30CE">
      <w:pPr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272F8AD6" w14:textId="262E2CCF" w:rsidR="00173B2B" w:rsidRPr="004F7E48" w:rsidRDefault="00DF30CE" w:rsidP="00D15821">
      <w:pPr>
        <w:pStyle w:val="Nadpis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br w:type="page"/>
      </w:r>
    </w:p>
    <w:p w14:paraId="65EDEF02" w14:textId="77777777" w:rsidR="00173B2B" w:rsidRPr="00D15821" w:rsidRDefault="00173B2B" w:rsidP="00173B2B">
      <w:pPr>
        <w:jc w:val="both"/>
      </w:pPr>
    </w:p>
    <w:p w14:paraId="73F71390" w14:textId="77777777" w:rsidR="00173B2B" w:rsidRPr="00D15821" w:rsidRDefault="00173B2B" w:rsidP="00173B2B">
      <w:pPr>
        <w:pStyle w:val="Nadpis2"/>
        <w:spacing w:before="0" w:after="0" w:line="360" w:lineRule="auto"/>
        <w:jc w:val="both"/>
        <w:rPr>
          <w:rFonts w:ascii="Times New Roman" w:hAnsi="Times New Roman"/>
          <w:i w:val="0"/>
          <w:szCs w:val="24"/>
        </w:rPr>
      </w:pPr>
      <w:r w:rsidRPr="00D15821">
        <w:rPr>
          <w:rFonts w:ascii="Times New Roman" w:hAnsi="Times New Roman"/>
          <w:i w:val="0"/>
          <w:szCs w:val="24"/>
        </w:rPr>
        <w:t>1.      NÁZEV VETERINÁRNÍHO LÉČIVÉHO PŘÍPRAVKU</w:t>
      </w:r>
    </w:p>
    <w:p w14:paraId="68B67478" w14:textId="77777777" w:rsidR="00173B2B" w:rsidRPr="00D15821" w:rsidRDefault="00173B2B" w:rsidP="00173B2B">
      <w:pPr>
        <w:jc w:val="both"/>
      </w:pPr>
      <w:r w:rsidRPr="00D15821">
        <w:t>BONHAREN Intra-</w:t>
      </w:r>
      <w:proofErr w:type="spellStart"/>
      <w:r w:rsidRPr="00D15821">
        <w:t>articular</w:t>
      </w:r>
      <w:proofErr w:type="spellEnd"/>
      <w:r w:rsidRPr="00D15821">
        <w:t xml:space="preserve"> 10 mg/ml injekční roztok</w:t>
      </w:r>
      <w:r w:rsidR="00D15821">
        <w:t xml:space="preserve"> </w:t>
      </w:r>
      <w:r w:rsidR="00D15821">
        <w:rPr>
          <w:iCs/>
        </w:rPr>
        <w:t>pro koně, psy a kočky</w:t>
      </w:r>
    </w:p>
    <w:p w14:paraId="3A9F14DB" w14:textId="77777777" w:rsidR="00173B2B" w:rsidRPr="00D15821" w:rsidRDefault="00173B2B" w:rsidP="00173B2B">
      <w:pPr>
        <w:jc w:val="both"/>
      </w:pPr>
    </w:p>
    <w:p w14:paraId="03EFF9AB" w14:textId="77777777" w:rsidR="00173B2B" w:rsidRPr="00D15821" w:rsidRDefault="00173B2B" w:rsidP="00173B2B">
      <w:pPr>
        <w:jc w:val="both"/>
      </w:pPr>
    </w:p>
    <w:p w14:paraId="2849BC03" w14:textId="77777777" w:rsidR="00173B2B" w:rsidRPr="00D15821" w:rsidRDefault="00173B2B" w:rsidP="00173B2B">
      <w:pPr>
        <w:pStyle w:val="Nadpis2"/>
        <w:spacing w:before="0" w:after="0" w:line="360" w:lineRule="auto"/>
        <w:jc w:val="both"/>
        <w:rPr>
          <w:rFonts w:ascii="Times New Roman" w:hAnsi="Times New Roman"/>
          <w:i w:val="0"/>
          <w:szCs w:val="24"/>
        </w:rPr>
      </w:pPr>
      <w:r w:rsidRPr="00D15821">
        <w:rPr>
          <w:rFonts w:ascii="Times New Roman" w:hAnsi="Times New Roman"/>
          <w:i w:val="0"/>
          <w:szCs w:val="24"/>
        </w:rPr>
        <w:t>2.       KVALITATIVNÍ A KVANTITATIVNÍ SLOŽENÍ</w:t>
      </w:r>
    </w:p>
    <w:p w14:paraId="2FBE7CFB" w14:textId="60B56D3C" w:rsidR="00D15821" w:rsidRDefault="00D15821" w:rsidP="00807A8B">
      <w:pPr>
        <w:jc w:val="both"/>
      </w:pPr>
      <w:r w:rsidRPr="004B6DED">
        <w:t>Každý</w:t>
      </w:r>
      <w:r>
        <w:t xml:space="preserve"> </w:t>
      </w:r>
      <w:r w:rsidRPr="004B6DED">
        <w:t>ml obsahuje:</w:t>
      </w:r>
    </w:p>
    <w:p w14:paraId="4CEFCF1D" w14:textId="77777777" w:rsidR="00807A8B" w:rsidRDefault="00807A8B" w:rsidP="004F7E48">
      <w:pPr>
        <w:jc w:val="both"/>
      </w:pPr>
    </w:p>
    <w:p w14:paraId="0DC5ED6B" w14:textId="31E0F29F" w:rsidR="00807A8B" w:rsidRDefault="00173B2B" w:rsidP="004F7E48">
      <w:pPr>
        <w:jc w:val="both"/>
      </w:pPr>
      <w:r w:rsidRPr="00730492">
        <w:rPr>
          <w:b/>
          <w:bCs/>
        </w:rPr>
        <w:t>Léčiv</w:t>
      </w:r>
      <w:r w:rsidR="0039120E">
        <w:rPr>
          <w:b/>
          <w:bCs/>
        </w:rPr>
        <w:t>á</w:t>
      </w:r>
      <w:r w:rsidRPr="00730492">
        <w:rPr>
          <w:b/>
          <w:bCs/>
        </w:rPr>
        <w:t xml:space="preserve"> látk</w:t>
      </w:r>
      <w:r w:rsidR="0039120E">
        <w:rPr>
          <w:b/>
          <w:bCs/>
        </w:rPr>
        <w:t>a</w:t>
      </w:r>
      <w:r w:rsidRPr="00730492">
        <w:rPr>
          <w:b/>
          <w:bCs/>
        </w:rPr>
        <w:t>:</w:t>
      </w:r>
      <w:r w:rsidRPr="00D15821">
        <w:t xml:space="preserve"> </w:t>
      </w:r>
    </w:p>
    <w:p w14:paraId="39CD845F" w14:textId="1DC87CC7" w:rsidR="00173B2B" w:rsidRDefault="00173B2B" w:rsidP="00807A8B">
      <w:pPr>
        <w:jc w:val="both"/>
      </w:pPr>
      <w:r w:rsidRPr="00D15821">
        <w:t xml:space="preserve">Natrii </w:t>
      </w:r>
      <w:proofErr w:type="spellStart"/>
      <w:r w:rsidRPr="00D15821">
        <w:t>hyaluronas</w:t>
      </w:r>
      <w:proofErr w:type="spellEnd"/>
      <w:r w:rsidRPr="00D15821">
        <w:t xml:space="preserve"> 10 mg</w:t>
      </w:r>
    </w:p>
    <w:p w14:paraId="63643FBA" w14:textId="77777777" w:rsidR="00807A8B" w:rsidRPr="00D15821" w:rsidRDefault="00807A8B" w:rsidP="004F7E48">
      <w:pPr>
        <w:jc w:val="both"/>
      </w:pPr>
    </w:p>
    <w:p w14:paraId="1C5C0C87" w14:textId="77777777" w:rsidR="00D15821" w:rsidRPr="00905BAB" w:rsidRDefault="00D15821" w:rsidP="00D15821">
      <w:pPr>
        <w:jc w:val="both"/>
        <w:rPr>
          <w:b/>
          <w:bCs/>
          <w:iCs/>
        </w:rPr>
      </w:pPr>
      <w:r w:rsidRPr="00905BAB">
        <w:rPr>
          <w:b/>
          <w:bCs/>
          <w:iCs/>
        </w:rPr>
        <w:t xml:space="preserve">Pomocné látky: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D15821" w:rsidRPr="00ED7107" w14:paraId="06DD1E5F" w14:textId="77777777" w:rsidTr="00A01016">
        <w:tc>
          <w:tcPr>
            <w:tcW w:w="5778" w:type="dxa"/>
            <w:tcBorders>
              <w:bottom w:val="single" w:sz="12" w:space="0" w:color="auto"/>
            </w:tcBorders>
            <w:shd w:val="clear" w:color="auto" w:fill="auto"/>
          </w:tcPr>
          <w:p w14:paraId="12594C9F" w14:textId="77777777" w:rsidR="00D15821" w:rsidRPr="00A01016" w:rsidRDefault="00D15821" w:rsidP="008D41DB">
            <w:pPr>
              <w:jc w:val="both"/>
              <w:rPr>
                <w:b/>
                <w:bCs/>
                <w:iCs/>
              </w:rPr>
            </w:pPr>
            <w:r w:rsidRPr="00A01016">
              <w:rPr>
                <w:b/>
                <w:bCs/>
                <w:iCs/>
              </w:rPr>
              <w:t>Kvalitativní složení pomocných látek a dalších složek</w:t>
            </w:r>
          </w:p>
        </w:tc>
      </w:tr>
      <w:tr w:rsidR="00D15821" w:rsidRPr="00ED7107" w14:paraId="781B5DDF" w14:textId="77777777" w:rsidTr="00A01016">
        <w:tc>
          <w:tcPr>
            <w:tcW w:w="5778" w:type="dxa"/>
            <w:tcBorders>
              <w:top w:val="single" w:sz="12" w:space="0" w:color="auto"/>
            </w:tcBorders>
            <w:shd w:val="clear" w:color="auto" w:fill="auto"/>
          </w:tcPr>
          <w:p w14:paraId="6BE2D53C" w14:textId="77777777" w:rsidR="00D15821" w:rsidRPr="00ED7107" w:rsidRDefault="00D15821" w:rsidP="008D41DB">
            <w:pPr>
              <w:jc w:val="both"/>
              <w:rPr>
                <w:iCs/>
              </w:rPr>
            </w:pPr>
            <w:r>
              <w:rPr>
                <w:iCs/>
              </w:rPr>
              <w:t>C</w:t>
            </w:r>
            <w:r w:rsidRPr="00ED7107">
              <w:rPr>
                <w:iCs/>
              </w:rPr>
              <w:t>hlorid sodný</w:t>
            </w:r>
          </w:p>
        </w:tc>
      </w:tr>
      <w:tr w:rsidR="00D15821" w:rsidRPr="00ED7107" w14:paraId="4354EF97" w14:textId="77777777" w:rsidTr="00A01016">
        <w:tc>
          <w:tcPr>
            <w:tcW w:w="5778" w:type="dxa"/>
            <w:shd w:val="clear" w:color="auto" w:fill="auto"/>
          </w:tcPr>
          <w:p w14:paraId="4CED369C" w14:textId="77777777" w:rsidR="00D15821" w:rsidRPr="00ED7107" w:rsidRDefault="00D15821" w:rsidP="008D41DB">
            <w:pPr>
              <w:jc w:val="both"/>
              <w:rPr>
                <w:iCs/>
              </w:rPr>
            </w:pPr>
            <w:r>
              <w:rPr>
                <w:iCs/>
              </w:rPr>
              <w:t>V</w:t>
            </w:r>
            <w:r w:rsidRPr="00ED7107">
              <w:rPr>
                <w:iCs/>
              </w:rPr>
              <w:t>oda pro injekci</w:t>
            </w:r>
          </w:p>
        </w:tc>
      </w:tr>
    </w:tbl>
    <w:p w14:paraId="08FB198B" w14:textId="77777777" w:rsidR="00173B2B" w:rsidRPr="00D15821" w:rsidRDefault="00173B2B" w:rsidP="00173B2B">
      <w:pPr>
        <w:jc w:val="both"/>
      </w:pPr>
    </w:p>
    <w:p w14:paraId="4F870A95" w14:textId="77777777" w:rsidR="00807A8B" w:rsidRDefault="00807A8B" w:rsidP="00807A8B">
      <w:pPr>
        <w:jc w:val="both"/>
      </w:pPr>
      <w:r>
        <w:t>Čirý bezbarvý roztok.</w:t>
      </w:r>
    </w:p>
    <w:p w14:paraId="750DAE6F" w14:textId="77777777" w:rsidR="00173B2B" w:rsidRPr="00D15821" w:rsidRDefault="00173B2B" w:rsidP="00173B2B">
      <w:pPr>
        <w:jc w:val="both"/>
      </w:pPr>
    </w:p>
    <w:p w14:paraId="28E9CA5E" w14:textId="21392FA0" w:rsidR="00173B2B" w:rsidRPr="00D15821" w:rsidRDefault="00173B2B" w:rsidP="00730492">
      <w:pPr>
        <w:pStyle w:val="Nadpis2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hanging="720"/>
        <w:jc w:val="both"/>
        <w:rPr>
          <w:rFonts w:ascii="Times New Roman" w:hAnsi="Times New Roman"/>
          <w:i w:val="0"/>
          <w:szCs w:val="24"/>
        </w:rPr>
      </w:pPr>
      <w:r w:rsidRPr="00D15821">
        <w:rPr>
          <w:rFonts w:ascii="Times New Roman" w:hAnsi="Times New Roman"/>
          <w:i w:val="0"/>
          <w:szCs w:val="24"/>
        </w:rPr>
        <w:t xml:space="preserve">KLINICKÉ </w:t>
      </w:r>
      <w:r w:rsidR="00D15821">
        <w:rPr>
          <w:rFonts w:ascii="Times New Roman" w:hAnsi="Times New Roman"/>
          <w:i w:val="0"/>
          <w:szCs w:val="24"/>
        </w:rPr>
        <w:t>INFORMACE</w:t>
      </w:r>
    </w:p>
    <w:p w14:paraId="2C053D4F" w14:textId="77777777" w:rsidR="00173B2B" w:rsidRPr="00D15821" w:rsidRDefault="00173B2B" w:rsidP="00173B2B">
      <w:pPr>
        <w:jc w:val="both"/>
      </w:pPr>
    </w:p>
    <w:p w14:paraId="600DCC46" w14:textId="77777777" w:rsidR="00173B2B" w:rsidRPr="00D15821" w:rsidRDefault="00173B2B" w:rsidP="008A0523">
      <w:pPr>
        <w:pStyle w:val="Nadpis3"/>
        <w:tabs>
          <w:tab w:val="num" w:pos="720"/>
        </w:tabs>
        <w:spacing w:before="0" w:after="0" w:line="360" w:lineRule="auto"/>
        <w:ind w:hanging="1068"/>
        <w:jc w:val="both"/>
        <w:rPr>
          <w:rFonts w:ascii="Times New Roman" w:hAnsi="Times New Roman"/>
          <w:b/>
          <w:szCs w:val="24"/>
        </w:rPr>
      </w:pPr>
      <w:r w:rsidRPr="00D15821">
        <w:rPr>
          <w:rFonts w:ascii="Times New Roman" w:hAnsi="Times New Roman"/>
          <w:b/>
          <w:szCs w:val="24"/>
        </w:rPr>
        <w:t>Cílové druhy zvířat</w:t>
      </w:r>
    </w:p>
    <w:p w14:paraId="0C628BB3" w14:textId="77777777" w:rsidR="00173B2B" w:rsidRPr="00D15821" w:rsidRDefault="00173B2B" w:rsidP="00173B2B">
      <w:pPr>
        <w:jc w:val="both"/>
      </w:pPr>
      <w:r w:rsidRPr="00D15821">
        <w:t>Koně, psi, kočky</w:t>
      </w:r>
    </w:p>
    <w:p w14:paraId="3B960594" w14:textId="77777777" w:rsidR="00173B2B" w:rsidRPr="00D15821" w:rsidRDefault="00173B2B" w:rsidP="00173B2B">
      <w:pPr>
        <w:jc w:val="both"/>
      </w:pPr>
    </w:p>
    <w:p w14:paraId="0560D769" w14:textId="77777777" w:rsidR="00173B2B" w:rsidRPr="00D15821" w:rsidRDefault="00173B2B" w:rsidP="00173B2B">
      <w:pPr>
        <w:jc w:val="both"/>
      </w:pPr>
    </w:p>
    <w:p w14:paraId="6F34860C" w14:textId="29E4D249" w:rsidR="00173B2B" w:rsidRPr="00D15821" w:rsidRDefault="00173B2B" w:rsidP="008A0523">
      <w:pPr>
        <w:pStyle w:val="Nadpis3"/>
        <w:tabs>
          <w:tab w:val="num" w:pos="720"/>
        </w:tabs>
        <w:spacing w:before="0" w:after="0" w:line="360" w:lineRule="auto"/>
        <w:ind w:hanging="1068"/>
        <w:jc w:val="both"/>
        <w:rPr>
          <w:rFonts w:ascii="Times New Roman" w:hAnsi="Times New Roman"/>
          <w:b/>
          <w:szCs w:val="24"/>
        </w:rPr>
      </w:pPr>
      <w:r w:rsidRPr="00D15821">
        <w:rPr>
          <w:rFonts w:ascii="Times New Roman" w:hAnsi="Times New Roman"/>
          <w:b/>
          <w:szCs w:val="24"/>
        </w:rPr>
        <w:t xml:space="preserve">Indikace </w:t>
      </w:r>
      <w:r w:rsidR="00D15821">
        <w:rPr>
          <w:rFonts w:ascii="Times New Roman" w:hAnsi="Times New Roman"/>
          <w:b/>
          <w:szCs w:val="24"/>
        </w:rPr>
        <w:t xml:space="preserve">pro použití </w:t>
      </w:r>
      <w:r w:rsidRPr="00D15821">
        <w:rPr>
          <w:rFonts w:ascii="Times New Roman" w:hAnsi="Times New Roman"/>
          <w:b/>
          <w:szCs w:val="24"/>
        </w:rPr>
        <w:t>pro</w:t>
      </w:r>
      <w:r w:rsidR="00D15821">
        <w:rPr>
          <w:rFonts w:ascii="Times New Roman" w:hAnsi="Times New Roman"/>
          <w:b/>
          <w:szCs w:val="24"/>
        </w:rPr>
        <w:t xml:space="preserve"> každý</w:t>
      </w:r>
      <w:r w:rsidRPr="00D15821">
        <w:rPr>
          <w:rFonts w:ascii="Times New Roman" w:hAnsi="Times New Roman"/>
          <w:b/>
          <w:szCs w:val="24"/>
        </w:rPr>
        <w:t xml:space="preserve"> cílový druh zvířat</w:t>
      </w:r>
    </w:p>
    <w:p w14:paraId="4D076F52" w14:textId="77777777" w:rsidR="00173B2B" w:rsidRPr="00D15821" w:rsidRDefault="00173B2B" w:rsidP="00173B2B">
      <w:pPr>
        <w:jc w:val="both"/>
      </w:pPr>
      <w:r w:rsidRPr="00D15821">
        <w:t>Ortopedické:</w:t>
      </w:r>
    </w:p>
    <w:p w14:paraId="31468B76" w14:textId="77777777" w:rsidR="00173B2B" w:rsidRPr="00D15821" w:rsidRDefault="00173B2B" w:rsidP="00173B2B">
      <w:pPr>
        <w:numPr>
          <w:ilvl w:val="0"/>
          <w:numId w:val="1"/>
        </w:numPr>
        <w:jc w:val="both"/>
      </w:pPr>
      <w:r w:rsidRPr="00D15821">
        <w:t xml:space="preserve">Akutní a chronické artrózy, </w:t>
      </w:r>
      <w:proofErr w:type="spellStart"/>
      <w:r w:rsidRPr="00D15821">
        <w:t>polyartrózy</w:t>
      </w:r>
      <w:proofErr w:type="spellEnd"/>
      <w:r w:rsidRPr="00D15821">
        <w:t xml:space="preserve">, </w:t>
      </w:r>
    </w:p>
    <w:p w14:paraId="7A60EC34" w14:textId="77777777" w:rsidR="00173B2B" w:rsidRPr="00D15821" w:rsidRDefault="00173B2B" w:rsidP="00173B2B">
      <w:pPr>
        <w:numPr>
          <w:ilvl w:val="0"/>
          <w:numId w:val="1"/>
        </w:numPr>
        <w:jc w:val="both"/>
        <w:rPr>
          <w:snapToGrid w:val="0"/>
        </w:rPr>
      </w:pPr>
      <w:r w:rsidRPr="00D15821">
        <w:rPr>
          <w:snapToGrid w:val="0"/>
        </w:rPr>
        <w:t>Subakutní a chronické artritidy,</w:t>
      </w:r>
    </w:p>
    <w:p w14:paraId="73528BE3" w14:textId="77777777" w:rsidR="00173B2B" w:rsidRPr="00D15821" w:rsidRDefault="00173B2B" w:rsidP="00173B2B">
      <w:pPr>
        <w:numPr>
          <w:ilvl w:val="0"/>
          <w:numId w:val="1"/>
        </w:numPr>
        <w:jc w:val="both"/>
        <w:rPr>
          <w:snapToGrid w:val="0"/>
        </w:rPr>
      </w:pPr>
      <w:r w:rsidRPr="00D15821">
        <w:rPr>
          <w:snapToGrid w:val="0"/>
        </w:rPr>
        <w:t xml:space="preserve">Akutní a chronické </w:t>
      </w:r>
      <w:proofErr w:type="spellStart"/>
      <w:r w:rsidRPr="00D15821">
        <w:rPr>
          <w:snapToGrid w:val="0"/>
        </w:rPr>
        <w:t>tendovaginitidy</w:t>
      </w:r>
      <w:proofErr w:type="spellEnd"/>
      <w:r w:rsidRPr="00D15821">
        <w:rPr>
          <w:snapToGrid w:val="0"/>
        </w:rPr>
        <w:t xml:space="preserve">, </w:t>
      </w:r>
      <w:proofErr w:type="spellStart"/>
      <w:r w:rsidRPr="00D15821">
        <w:rPr>
          <w:snapToGrid w:val="0"/>
        </w:rPr>
        <w:t>tendinózy</w:t>
      </w:r>
      <w:proofErr w:type="spellEnd"/>
      <w:r w:rsidRPr="00D15821">
        <w:rPr>
          <w:snapToGrid w:val="0"/>
        </w:rPr>
        <w:t xml:space="preserve"> a bursitidy</w:t>
      </w:r>
    </w:p>
    <w:p w14:paraId="40CD6D30" w14:textId="77777777" w:rsidR="00173B2B" w:rsidRPr="00D15821" w:rsidRDefault="00173B2B" w:rsidP="00173B2B">
      <w:pPr>
        <w:numPr>
          <w:ilvl w:val="0"/>
          <w:numId w:val="1"/>
        </w:numPr>
        <w:jc w:val="both"/>
        <w:rPr>
          <w:snapToGrid w:val="0"/>
        </w:rPr>
      </w:pPr>
      <w:proofErr w:type="spellStart"/>
      <w:r w:rsidRPr="00D15821">
        <w:rPr>
          <w:snapToGrid w:val="0"/>
        </w:rPr>
        <w:t>Osteochondrózy</w:t>
      </w:r>
      <w:proofErr w:type="spellEnd"/>
    </w:p>
    <w:p w14:paraId="23E2AFAB" w14:textId="77777777" w:rsidR="00173B2B" w:rsidRPr="00D15821" w:rsidRDefault="00173B2B" w:rsidP="00173B2B">
      <w:pPr>
        <w:ind w:firstLine="567"/>
        <w:jc w:val="both"/>
        <w:rPr>
          <w:snapToGrid w:val="0"/>
        </w:rPr>
      </w:pPr>
    </w:p>
    <w:p w14:paraId="4A79F5CF" w14:textId="77777777" w:rsidR="00173B2B" w:rsidRPr="00D15821" w:rsidRDefault="00173B2B" w:rsidP="00173B2B">
      <w:pPr>
        <w:jc w:val="both"/>
        <w:rPr>
          <w:snapToGrid w:val="0"/>
        </w:rPr>
      </w:pPr>
      <w:r w:rsidRPr="00D15821">
        <w:rPr>
          <w:snapToGrid w:val="0"/>
        </w:rPr>
        <w:t>Oftalmologické:</w:t>
      </w:r>
    </w:p>
    <w:p w14:paraId="43D7D300" w14:textId="77777777" w:rsidR="00173B2B" w:rsidRPr="00D15821" w:rsidRDefault="00173B2B" w:rsidP="00173B2B">
      <w:pPr>
        <w:numPr>
          <w:ilvl w:val="0"/>
          <w:numId w:val="1"/>
        </w:numPr>
        <w:jc w:val="both"/>
        <w:rPr>
          <w:snapToGrid w:val="0"/>
        </w:rPr>
      </w:pPr>
      <w:r w:rsidRPr="00D15821">
        <w:rPr>
          <w:snapToGrid w:val="0"/>
        </w:rPr>
        <w:t xml:space="preserve">Akutní a chronické keratitidy, </w:t>
      </w:r>
    </w:p>
    <w:p w14:paraId="49C687CF" w14:textId="77777777" w:rsidR="00173B2B" w:rsidRPr="00D15821" w:rsidRDefault="00173B2B" w:rsidP="00173B2B">
      <w:pPr>
        <w:numPr>
          <w:ilvl w:val="0"/>
          <w:numId w:val="1"/>
        </w:numPr>
        <w:jc w:val="both"/>
        <w:rPr>
          <w:snapToGrid w:val="0"/>
        </w:rPr>
      </w:pPr>
      <w:r w:rsidRPr="00D15821">
        <w:rPr>
          <w:snapToGrid w:val="0"/>
        </w:rPr>
        <w:t>Konjunktivitidy, keratokonjunktivitidy,</w:t>
      </w:r>
    </w:p>
    <w:p w14:paraId="6054DDC0" w14:textId="77777777" w:rsidR="00173B2B" w:rsidRPr="00D15821" w:rsidRDefault="00173B2B" w:rsidP="00173B2B">
      <w:pPr>
        <w:numPr>
          <w:ilvl w:val="0"/>
          <w:numId w:val="1"/>
        </w:numPr>
        <w:jc w:val="both"/>
        <w:rPr>
          <w:snapToGrid w:val="0"/>
        </w:rPr>
      </w:pPr>
      <w:proofErr w:type="spellStart"/>
      <w:r w:rsidRPr="00D15821">
        <w:rPr>
          <w:snapToGrid w:val="0"/>
        </w:rPr>
        <w:t>Keratokonjunktivitis</w:t>
      </w:r>
      <w:proofErr w:type="spellEnd"/>
      <w:r w:rsidRPr="00D15821">
        <w:rPr>
          <w:snapToGrid w:val="0"/>
        </w:rPr>
        <w:t xml:space="preserve"> </w:t>
      </w:r>
      <w:proofErr w:type="spellStart"/>
      <w:r w:rsidRPr="00D15821">
        <w:rPr>
          <w:snapToGrid w:val="0"/>
        </w:rPr>
        <w:t>sicca</w:t>
      </w:r>
      <w:proofErr w:type="spellEnd"/>
      <w:r w:rsidRPr="00D15821">
        <w:rPr>
          <w:snapToGrid w:val="0"/>
        </w:rPr>
        <w:t xml:space="preserve">, </w:t>
      </w:r>
    </w:p>
    <w:p w14:paraId="32CBE884" w14:textId="77777777" w:rsidR="00173B2B" w:rsidRPr="00D15821" w:rsidRDefault="00173B2B" w:rsidP="00173B2B">
      <w:pPr>
        <w:numPr>
          <w:ilvl w:val="0"/>
          <w:numId w:val="1"/>
        </w:numPr>
        <w:jc w:val="both"/>
        <w:rPr>
          <w:snapToGrid w:val="0"/>
        </w:rPr>
      </w:pPr>
      <w:proofErr w:type="spellStart"/>
      <w:r w:rsidRPr="00D15821">
        <w:rPr>
          <w:snapToGrid w:val="0"/>
        </w:rPr>
        <w:t>Ulcus</w:t>
      </w:r>
      <w:proofErr w:type="spellEnd"/>
      <w:r w:rsidRPr="00D15821">
        <w:rPr>
          <w:snapToGrid w:val="0"/>
        </w:rPr>
        <w:t xml:space="preserve"> </w:t>
      </w:r>
      <w:proofErr w:type="spellStart"/>
      <w:r w:rsidRPr="00D15821">
        <w:rPr>
          <w:snapToGrid w:val="0"/>
        </w:rPr>
        <w:t>corneae</w:t>
      </w:r>
      <w:proofErr w:type="spellEnd"/>
      <w:r w:rsidRPr="00D15821">
        <w:rPr>
          <w:snapToGrid w:val="0"/>
        </w:rPr>
        <w:t xml:space="preserve">, </w:t>
      </w:r>
    </w:p>
    <w:p w14:paraId="53A3DAA8" w14:textId="77777777" w:rsidR="00173B2B" w:rsidRPr="00D15821" w:rsidRDefault="00173B2B" w:rsidP="00173B2B">
      <w:pPr>
        <w:numPr>
          <w:ilvl w:val="0"/>
          <w:numId w:val="2"/>
        </w:numPr>
        <w:jc w:val="both"/>
        <w:rPr>
          <w:snapToGrid w:val="0"/>
        </w:rPr>
      </w:pPr>
      <w:r w:rsidRPr="00D15821">
        <w:rPr>
          <w:snapToGrid w:val="0"/>
        </w:rPr>
        <w:t>Poranění rohovky</w:t>
      </w:r>
    </w:p>
    <w:p w14:paraId="50083C8B" w14:textId="77777777" w:rsidR="00173B2B" w:rsidRPr="00D15821" w:rsidRDefault="00173B2B" w:rsidP="00173B2B">
      <w:pPr>
        <w:jc w:val="both"/>
      </w:pPr>
    </w:p>
    <w:p w14:paraId="67076E58" w14:textId="77777777" w:rsidR="00173B2B" w:rsidRPr="00D15821" w:rsidRDefault="00173B2B" w:rsidP="00173B2B">
      <w:pPr>
        <w:jc w:val="both"/>
      </w:pPr>
    </w:p>
    <w:p w14:paraId="23211B9C" w14:textId="77777777" w:rsidR="00173B2B" w:rsidRPr="00D15821" w:rsidRDefault="00173B2B" w:rsidP="008A0523">
      <w:pPr>
        <w:pStyle w:val="Nadpis3"/>
        <w:tabs>
          <w:tab w:val="num" w:pos="720"/>
        </w:tabs>
        <w:spacing w:before="0" w:after="0" w:line="360" w:lineRule="auto"/>
        <w:ind w:hanging="1068"/>
        <w:jc w:val="both"/>
        <w:rPr>
          <w:rFonts w:ascii="Times New Roman" w:hAnsi="Times New Roman"/>
          <w:b/>
          <w:szCs w:val="24"/>
        </w:rPr>
      </w:pPr>
      <w:r w:rsidRPr="00D15821">
        <w:rPr>
          <w:rFonts w:ascii="Times New Roman" w:hAnsi="Times New Roman"/>
          <w:b/>
          <w:szCs w:val="24"/>
        </w:rPr>
        <w:t>Kontraindikace</w:t>
      </w:r>
    </w:p>
    <w:p w14:paraId="482CE9E4" w14:textId="5F653E76" w:rsidR="00173B2B" w:rsidRPr="00D15821" w:rsidRDefault="00B332F3" w:rsidP="00173B2B">
      <w:pPr>
        <w:pStyle w:val="Zkladntext2"/>
        <w:spacing w:before="0"/>
        <w:jc w:val="both"/>
        <w:rPr>
          <w:szCs w:val="24"/>
        </w:rPr>
      </w:pPr>
      <w:bookmarkStart w:id="1" w:name="_Hlk207100825"/>
      <w:r w:rsidRPr="00B41D57">
        <w:t>Nepoužívat v případech přecitlivělosti na léčivou látku nebo na některou z pomocných látek</w:t>
      </w:r>
      <w:bookmarkEnd w:id="1"/>
      <w:r w:rsidR="00173B2B" w:rsidRPr="00D15821">
        <w:rPr>
          <w:szCs w:val="24"/>
        </w:rPr>
        <w:t xml:space="preserve">. Při </w:t>
      </w:r>
      <w:proofErr w:type="spellStart"/>
      <w:r w:rsidR="00173B2B" w:rsidRPr="00D15821">
        <w:rPr>
          <w:szCs w:val="24"/>
        </w:rPr>
        <w:t>i</w:t>
      </w:r>
      <w:r w:rsidR="000D4BE3">
        <w:rPr>
          <w:szCs w:val="24"/>
        </w:rPr>
        <w:t>ntraartikulární</w:t>
      </w:r>
      <w:proofErr w:type="spellEnd"/>
      <w:r w:rsidR="00173B2B" w:rsidRPr="00D15821">
        <w:rPr>
          <w:szCs w:val="24"/>
        </w:rPr>
        <w:t xml:space="preserve"> aplikaci jsou v literatuře kontraindikovány infekční stavy: infekční artritida, bakter</w:t>
      </w:r>
      <w:r w:rsidR="00184518">
        <w:rPr>
          <w:szCs w:val="24"/>
        </w:rPr>
        <w:t>i</w:t>
      </w:r>
      <w:r w:rsidR="00173B2B" w:rsidRPr="00D15821">
        <w:rPr>
          <w:szCs w:val="24"/>
        </w:rPr>
        <w:t xml:space="preserve">emie a </w:t>
      </w:r>
      <w:proofErr w:type="spellStart"/>
      <w:r w:rsidR="00173B2B" w:rsidRPr="00D15821">
        <w:rPr>
          <w:szCs w:val="24"/>
        </w:rPr>
        <w:t>periartikulární</w:t>
      </w:r>
      <w:proofErr w:type="spellEnd"/>
      <w:r w:rsidR="00173B2B" w:rsidRPr="00D15821">
        <w:rPr>
          <w:szCs w:val="24"/>
        </w:rPr>
        <w:t xml:space="preserve"> celulitida. Relativní kontraindikací je ranný pooperační stav a silné trauma kloubu.</w:t>
      </w:r>
    </w:p>
    <w:p w14:paraId="7E15AED5" w14:textId="77777777" w:rsidR="00173B2B" w:rsidRPr="00D15821" w:rsidRDefault="00173B2B" w:rsidP="00173B2B">
      <w:pPr>
        <w:pStyle w:val="Zkladntext2"/>
        <w:spacing w:before="0"/>
        <w:jc w:val="both"/>
        <w:rPr>
          <w:szCs w:val="24"/>
        </w:rPr>
      </w:pPr>
    </w:p>
    <w:p w14:paraId="20E12DDF" w14:textId="77777777" w:rsidR="00173B2B" w:rsidRPr="00D15821" w:rsidRDefault="00173B2B" w:rsidP="00173B2B">
      <w:pPr>
        <w:jc w:val="both"/>
      </w:pPr>
    </w:p>
    <w:p w14:paraId="79A98DAA" w14:textId="4A1A0D82" w:rsidR="00173B2B" w:rsidRPr="00D15821" w:rsidRDefault="00173B2B" w:rsidP="008A0523">
      <w:pPr>
        <w:pStyle w:val="Nadpis3"/>
        <w:tabs>
          <w:tab w:val="num" w:pos="720"/>
        </w:tabs>
        <w:spacing w:before="0" w:after="0" w:line="360" w:lineRule="auto"/>
        <w:ind w:hanging="1068"/>
        <w:jc w:val="both"/>
        <w:rPr>
          <w:rFonts w:ascii="Times New Roman" w:hAnsi="Times New Roman"/>
          <w:b/>
          <w:szCs w:val="24"/>
        </w:rPr>
      </w:pPr>
      <w:r w:rsidRPr="00D15821">
        <w:rPr>
          <w:rFonts w:ascii="Times New Roman" w:hAnsi="Times New Roman"/>
          <w:b/>
          <w:szCs w:val="24"/>
        </w:rPr>
        <w:lastRenderedPageBreak/>
        <w:t>Zvláštní upozornění</w:t>
      </w:r>
    </w:p>
    <w:p w14:paraId="11C816CF" w14:textId="07EA5012" w:rsidR="00173B2B" w:rsidRPr="00D15821" w:rsidRDefault="00B332F3" w:rsidP="00173B2B">
      <w:pPr>
        <w:pStyle w:val="Zkladntext2"/>
        <w:spacing w:before="0"/>
        <w:jc w:val="both"/>
        <w:rPr>
          <w:szCs w:val="24"/>
        </w:rPr>
      </w:pPr>
      <w:r w:rsidRPr="00D15821">
        <w:rPr>
          <w:szCs w:val="24"/>
        </w:rPr>
        <w:t xml:space="preserve">Je nutno dbát na aseptickou </w:t>
      </w:r>
      <w:proofErr w:type="spellStart"/>
      <w:r w:rsidRPr="00D15821">
        <w:rPr>
          <w:szCs w:val="24"/>
        </w:rPr>
        <w:t>intraartikulární</w:t>
      </w:r>
      <w:proofErr w:type="spellEnd"/>
      <w:r w:rsidRPr="00D15821">
        <w:rPr>
          <w:szCs w:val="24"/>
        </w:rPr>
        <w:t xml:space="preserve"> aplikaci</w:t>
      </w:r>
      <w:r w:rsidR="00E12D7D">
        <w:rPr>
          <w:szCs w:val="24"/>
        </w:rPr>
        <w:t>.</w:t>
      </w:r>
      <w:r w:rsidRPr="00D15821" w:rsidDel="00B332F3">
        <w:rPr>
          <w:szCs w:val="24"/>
        </w:rPr>
        <w:t xml:space="preserve"> </w:t>
      </w:r>
    </w:p>
    <w:p w14:paraId="441FB4E0" w14:textId="77777777" w:rsidR="00173B2B" w:rsidRPr="00D15821" w:rsidRDefault="00173B2B" w:rsidP="00173B2B">
      <w:pPr>
        <w:pStyle w:val="Zkladntext2"/>
        <w:spacing w:before="0"/>
        <w:jc w:val="both"/>
        <w:rPr>
          <w:szCs w:val="24"/>
        </w:rPr>
      </w:pPr>
    </w:p>
    <w:p w14:paraId="0F6ADFA0" w14:textId="77777777" w:rsidR="00173B2B" w:rsidRPr="00D15821" w:rsidRDefault="00173B2B" w:rsidP="008A0523">
      <w:pPr>
        <w:pStyle w:val="Nadpis3"/>
        <w:tabs>
          <w:tab w:val="num" w:pos="720"/>
        </w:tabs>
        <w:spacing w:before="0" w:after="0"/>
        <w:ind w:hanging="1068"/>
        <w:jc w:val="both"/>
        <w:rPr>
          <w:rFonts w:ascii="Times New Roman" w:hAnsi="Times New Roman"/>
          <w:b/>
          <w:szCs w:val="24"/>
        </w:rPr>
      </w:pPr>
      <w:r w:rsidRPr="00D15821">
        <w:rPr>
          <w:rFonts w:ascii="Times New Roman" w:hAnsi="Times New Roman"/>
          <w:b/>
          <w:szCs w:val="24"/>
        </w:rPr>
        <w:t>Zvláštní opatření pro použití</w:t>
      </w:r>
    </w:p>
    <w:p w14:paraId="1211C655" w14:textId="77777777" w:rsidR="00173B2B" w:rsidRPr="00D15821" w:rsidRDefault="00173B2B" w:rsidP="00173B2B">
      <w:pPr>
        <w:pStyle w:val="Zkladntext2"/>
        <w:spacing w:before="0"/>
        <w:jc w:val="both"/>
        <w:rPr>
          <w:b/>
          <w:szCs w:val="24"/>
        </w:rPr>
      </w:pPr>
    </w:p>
    <w:p w14:paraId="4EF2701D" w14:textId="77777777" w:rsidR="00173B2B" w:rsidRPr="00730492" w:rsidRDefault="00173B2B" w:rsidP="00730492">
      <w:pPr>
        <w:pStyle w:val="Zkladntext2"/>
        <w:spacing w:before="0" w:after="120"/>
        <w:jc w:val="both"/>
        <w:rPr>
          <w:bCs/>
          <w:szCs w:val="24"/>
          <w:u w:val="single"/>
        </w:rPr>
      </w:pPr>
      <w:r w:rsidRPr="00730492">
        <w:rPr>
          <w:bCs/>
          <w:szCs w:val="24"/>
          <w:u w:val="single"/>
        </w:rPr>
        <w:t xml:space="preserve">Zvláštní opatření pro </w:t>
      </w:r>
      <w:r w:rsidR="00D15821">
        <w:rPr>
          <w:bCs/>
          <w:szCs w:val="24"/>
          <w:u w:val="single"/>
        </w:rPr>
        <w:t xml:space="preserve">bezpečné </w:t>
      </w:r>
      <w:r w:rsidRPr="00730492">
        <w:rPr>
          <w:bCs/>
          <w:szCs w:val="24"/>
          <w:u w:val="single"/>
        </w:rPr>
        <w:t xml:space="preserve">použití u </w:t>
      </w:r>
      <w:r w:rsidR="00D15821">
        <w:rPr>
          <w:bCs/>
          <w:szCs w:val="24"/>
          <w:u w:val="single"/>
        </w:rPr>
        <w:t xml:space="preserve">cílových druhů </w:t>
      </w:r>
      <w:r w:rsidRPr="00730492">
        <w:rPr>
          <w:bCs/>
          <w:szCs w:val="24"/>
          <w:u w:val="single"/>
        </w:rPr>
        <w:t>zvířat</w:t>
      </w:r>
      <w:r w:rsidR="00D15821">
        <w:rPr>
          <w:bCs/>
          <w:szCs w:val="24"/>
          <w:u w:val="single"/>
        </w:rPr>
        <w:t>:</w:t>
      </w:r>
    </w:p>
    <w:p w14:paraId="45C3DC15" w14:textId="06F55F7F" w:rsidR="008A0523" w:rsidRDefault="008A0523" w:rsidP="00173B2B">
      <w:pPr>
        <w:pStyle w:val="Zkladntext2"/>
        <w:spacing w:before="0"/>
        <w:jc w:val="both"/>
        <w:rPr>
          <w:szCs w:val="24"/>
        </w:rPr>
      </w:pPr>
      <w:r w:rsidRPr="00D15821">
        <w:rPr>
          <w:szCs w:val="24"/>
        </w:rPr>
        <w:t xml:space="preserve">Při všech </w:t>
      </w:r>
      <w:proofErr w:type="spellStart"/>
      <w:r w:rsidRPr="00D15821">
        <w:rPr>
          <w:szCs w:val="24"/>
        </w:rPr>
        <w:t>intraartikulárních</w:t>
      </w:r>
      <w:proofErr w:type="spellEnd"/>
      <w:r w:rsidRPr="00D15821">
        <w:rPr>
          <w:szCs w:val="24"/>
        </w:rPr>
        <w:t xml:space="preserve"> aplikacích je nutné zklidnění zvířete a důkladná desinfekce místa </w:t>
      </w:r>
      <w:r w:rsidR="000D4BE3">
        <w:rPr>
          <w:szCs w:val="24"/>
        </w:rPr>
        <w:t>injekčního podání</w:t>
      </w:r>
      <w:r w:rsidRPr="00D15821">
        <w:rPr>
          <w:szCs w:val="24"/>
        </w:rPr>
        <w:t xml:space="preserve">. Při neopatrné </w:t>
      </w:r>
      <w:proofErr w:type="spellStart"/>
      <w:r w:rsidRPr="00D15821">
        <w:rPr>
          <w:szCs w:val="24"/>
        </w:rPr>
        <w:t>intraartikulární</w:t>
      </w:r>
      <w:proofErr w:type="spellEnd"/>
      <w:r w:rsidRPr="00D15821">
        <w:rPr>
          <w:szCs w:val="24"/>
        </w:rPr>
        <w:t xml:space="preserve"> aplikaci s jehlou může dojít k iritaci kloubu a</w:t>
      </w:r>
      <w:r w:rsidR="00F0192F">
        <w:rPr>
          <w:szCs w:val="24"/>
        </w:rPr>
        <w:t> </w:t>
      </w:r>
      <w:r w:rsidRPr="00D15821">
        <w:rPr>
          <w:szCs w:val="24"/>
        </w:rPr>
        <w:t>mohou vzniknout difúzní otoky, které se projeví do 24 hodin. Spontánně odeznějí do 72 hodin po aplikaci.</w:t>
      </w:r>
    </w:p>
    <w:p w14:paraId="51476B6F" w14:textId="77777777" w:rsidR="00173B2B" w:rsidRPr="00D15821" w:rsidRDefault="00173B2B" w:rsidP="00173B2B">
      <w:pPr>
        <w:pStyle w:val="Zkladntext2"/>
        <w:spacing w:before="0"/>
        <w:jc w:val="both"/>
        <w:rPr>
          <w:szCs w:val="24"/>
        </w:rPr>
      </w:pPr>
    </w:p>
    <w:p w14:paraId="3BF15671" w14:textId="5D283DE4" w:rsidR="00173B2B" w:rsidRPr="00730492" w:rsidRDefault="00173B2B" w:rsidP="00730492">
      <w:pPr>
        <w:pStyle w:val="Zkladntext2"/>
        <w:spacing w:before="0" w:after="120"/>
        <w:jc w:val="both"/>
        <w:rPr>
          <w:bCs/>
          <w:szCs w:val="24"/>
          <w:u w:val="single"/>
        </w:rPr>
      </w:pPr>
      <w:r w:rsidRPr="00730492">
        <w:rPr>
          <w:bCs/>
          <w:szCs w:val="24"/>
          <w:u w:val="single"/>
        </w:rPr>
        <w:t xml:space="preserve">Zvláštní opatření </w:t>
      </w:r>
      <w:r w:rsidR="00D15821">
        <w:rPr>
          <w:bCs/>
          <w:szCs w:val="24"/>
          <w:u w:val="single"/>
        </w:rPr>
        <w:t>pro</w:t>
      </w:r>
      <w:r w:rsidR="00D15821" w:rsidRPr="00730492">
        <w:rPr>
          <w:bCs/>
          <w:szCs w:val="24"/>
          <w:u w:val="single"/>
        </w:rPr>
        <w:t xml:space="preserve"> osob</w:t>
      </w:r>
      <w:r w:rsidR="00D15821">
        <w:rPr>
          <w:bCs/>
          <w:szCs w:val="24"/>
          <w:u w:val="single"/>
        </w:rPr>
        <w:t>u</w:t>
      </w:r>
      <w:r w:rsidRPr="00730492">
        <w:rPr>
          <w:bCs/>
          <w:szCs w:val="24"/>
          <w:u w:val="single"/>
        </w:rPr>
        <w:t>, kter</w:t>
      </w:r>
      <w:r w:rsidR="00D15821">
        <w:rPr>
          <w:bCs/>
          <w:szCs w:val="24"/>
          <w:u w:val="single"/>
        </w:rPr>
        <w:t>á</w:t>
      </w:r>
      <w:r w:rsidRPr="00730492">
        <w:rPr>
          <w:bCs/>
          <w:szCs w:val="24"/>
          <w:u w:val="single"/>
        </w:rPr>
        <w:t xml:space="preserve"> podáv</w:t>
      </w:r>
      <w:r w:rsidR="00D15821">
        <w:rPr>
          <w:bCs/>
          <w:szCs w:val="24"/>
          <w:u w:val="single"/>
        </w:rPr>
        <w:t>á</w:t>
      </w:r>
      <w:r w:rsidRPr="004F7E48">
        <w:rPr>
          <w:bCs/>
          <w:szCs w:val="24"/>
          <w:u w:val="single"/>
        </w:rPr>
        <w:t xml:space="preserve"> veterinární léčivý přípravek zvířatům</w:t>
      </w:r>
      <w:r w:rsidR="00D15821">
        <w:rPr>
          <w:bCs/>
          <w:szCs w:val="24"/>
          <w:u w:val="single"/>
        </w:rPr>
        <w:t>:</w:t>
      </w:r>
    </w:p>
    <w:p w14:paraId="1F4702DD" w14:textId="564AF591" w:rsidR="003E6546" w:rsidRPr="004F7E48" w:rsidRDefault="003E6546" w:rsidP="003E6546">
      <w:pPr>
        <w:pStyle w:val="Zkladntext2"/>
        <w:jc w:val="both"/>
        <w:rPr>
          <w:szCs w:val="22"/>
        </w:rPr>
      </w:pPr>
      <w:r w:rsidRPr="004F7E48">
        <w:rPr>
          <w:szCs w:val="22"/>
        </w:rPr>
        <w:t>V p</w:t>
      </w:r>
      <w:r w:rsidRPr="004F7E48">
        <w:rPr>
          <w:rFonts w:hint="eastAsia"/>
          <w:szCs w:val="22"/>
        </w:rPr>
        <w:t>ří</w:t>
      </w:r>
      <w:r w:rsidRPr="004F7E48">
        <w:rPr>
          <w:szCs w:val="22"/>
        </w:rPr>
        <w:t>pad</w:t>
      </w:r>
      <w:r w:rsidRPr="004F7E48">
        <w:rPr>
          <w:rFonts w:hint="eastAsia"/>
          <w:szCs w:val="22"/>
        </w:rPr>
        <w:t>ě</w:t>
      </w:r>
      <w:r w:rsidRPr="004F7E48">
        <w:rPr>
          <w:szCs w:val="22"/>
        </w:rPr>
        <w:t xml:space="preserve"> náhodného sebepoškození injek</w:t>
      </w:r>
      <w:r w:rsidRPr="004F7E48">
        <w:rPr>
          <w:rFonts w:hint="eastAsia"/>
          <w:szCs w:val="22"/>
        </w:rPr>
        <w:t>č</w:t>
      </w:r>
      <w:r w:rsidRPr="004F7E48">
        <w:rPr>
          <w:szCs w:val="22"/>
        </w:rPr>
        <w:t>n</w:t>
      </w:r>
      <w:r w:rsidRPr="004F7E48">
        <w:rPr>
          <w:rFonts w:hint="eastAsia"/>
          <w:szCs w:val="22"/>
        </w:rPr>
        <w:t>ě</w:t>
      </w:r>
      <w:r w:rsidRPr="004F7E48">
        <w:rPr>
          <w:szCs w:val="22"/>
        </w:rPr>
        <w:t xml:space="preserve"> aplikovaným p</w:t>
      </w:r>
      <w:r w:rsidRPr="004F7E48">
        <w:rPr>
          <w:rFonts w:hint="eastAsia"/>
          <w:szCs w:val="22"/>
        </w:rPr>
        <w:t>ří</w:t>
      </w:r>
      <w:r w:rsidRPr="004F7E48">
        <w:rPr>
          <w:szCs w:val="22"/>
        </w:rPr>
        <w:t>pravkem vyhledejte ihned léka</w:t>
      </w:r>
      <w:r w:rsidRPr="004F7E48">
        <w:rPr>
          <w:rFonts w:hint="eastAsia"/>
          <w:szCs w:val="22"/>
        </w:rPr>
        <w:t>ř</w:t>
      </w:r>
      <w:r w:rsidRPr="004F7E48">
        <w:rPr>
          <w:szCs w:val="22"/>
        </w:rPr>
        <w:t>skou pomoc a ukažte p</w:t>
      </w:r>
      <w:r w:rsidRPr="004F7E48">
        <w:rPr>
          <w:rFonts w:hint="eastAsia"/>
          <w:szCs w:val="22"/>
        </w:rPr>
        <w:t>ří</w:t>
      </w:r>
      <w:r w:rsidRPr="004F7E48">
        <w:rPr>
          <w:szCs w:val="22"/>
        </w:rPr>
        <w:t>balovou informaci nebo etiketu praktickému léka</w:t>
      </w:r>
      <w:r w:rsidRPr="004F7E48">
        <w:rPr>
          <w:rFonts w:hint="eastAsia"/>
          <w:szCs w:val="22"/>
        </w:rPr>
        <w:t>ř</w:t>
      </w:r>
      <w:r w:rsidRPr="004F7E48">
        <w:rPr>
          <w:szCs w:val="22"/>
        </w:rPr>
        <w:t>i.</w:t>
      </w:r>
    </w:p>
    <w:p w14:paraId="0245A863" w14:textId="77777777" w:rsidR="003E6546" w:rsidRPr="003E6546" w:rsidRDefault="003E6546" w:rsidP="003E6546">
      <w:pPr>
        <w:pStyle w:val="Zkladntext2"/>
        <w:jc w:val="both"/>
      </w:pPr>
      <w:r w:rsidRPr="003E6546">
        <w:t xml:space="preserve">Lidé se známou přecitlivělostí na exogenní </w:t>
      </w:r>
      <w:proofErr w:type="spellStart"/>
      <w:r w:rsidRPr="003E6546">
        <w:t>hyaluronát</w:t>
      </w:r>
      <w:proofErr w:type="spellEnd"/>
      <w:r w:rsidRPr="003E6546">
        <w:t xml:space="preserve"> sodný nebo některou z pomocných látek by měli podávat veterinární léčivý přípravek obezřetně.</w:t>
      </w:r>
    </w:p>
    <w:p w14:paraId="49A513BD" w14:textId="77777777" w:rsidR="00173B2B" w:rsidRDefault="00173B2B" w:rsidP="004F7E48">
      <w:pPr>
        <w:pStyle w:val="Zkladntext2"/>
        <w:spacing w:before="0"/>
        <w:jc w:val="both"/>
      </w:pPr>
    </w:p>
    <w:p w14:paraId="5CF316A5" w14:textId="77777777" w:rsidR="008A0523" w:rsidRPr="00684638" w:rsidRDefault="008A0523" w:rsidP="004F7E48">
      <w:pPr>
        <w:pStyle w:val="Zkladntext2"/>
        <w:spacing w:before="0" w:after="120"/>
        <w:jc w:val="both"/>
        <w:rPr>
          <w:u w:val="single"/>
        </w:rPr>
      </w:pPr>
      <w:r w:rsidRPr="00684638">
        <w:rPr>
          <w:u w:val="single"/>
        </w:rPr>
        <w:t>Zvláštní opatření pro ochranu životního prostředí:</w:t>
      </w:r>
    </w:p>
    <w:p w14:paraId="74B8A1BD" w14:textId="77777777" w:rsidR="008A0523" w:rsidRPr="00684638" w:rsidRDefault="008A0523" w:rsidP="008A0523">
      <w:pPr>
        <w:pStyle w:val="Zkladntext2"/>
        <w:spacing w:before="0"/>
        <w:jc w:val="both"/>
      </w:pPr>
      <w:r w:rsidRPr="00684638">
        <w:t>Neuplatňuje se.</w:t>
      </w:r>
    </w:p>
    <w:p w14:paraId="2B2DC5B1" w14:textId="77777777" w:rsidR="008A0523" w:rsidRDefault="008A0523" w:rsidP="00173B2B">
      <w:pPr>
        <w:jc w:val="both"/>
      </w:pPr>
    </w:p>
    <w:p w14:paraId="1605EF92" w14:textId="77777777" w:rsidR="00D15821" w:rsidRPr="00D15821" w:rsidRDefault="00D15821" w:rsidP="00173B2B">
      <w:pPr>
        <w:jc w:val="both"/>
      </w:pPr>
    </w:p>
    <w:p w14:paraId="7CC46676" w14:textId="2E2EB4A4" w:rsidR="00173B2B" w:rsidRPr="00D15821" w:rsidRDefault="00173B2B" w:rsidP="008A0523">
      <w:pPr>
        <w:pStyle w:val="Nadpis3"/>
        <w:tabs>
          <w:tab w:val="num" w:pos="720"/>
        </w:tabs>
        <w:spacing w:before="0" w:after="0" w:line="360" w:lineRule="auto"/>
        <w:ind w:hanging="1068"/>
        <w:jc w:val="both"/>
        <w:rPr>
          <w:rFonts w:ascii="Times New Roman" w:hAnsi="Times New Roman"/>
          <w:b/>
          <w:szCs w:val="24"/>
        </w:rPr>
      </w:pPr>
      <w:r w:rsidRPr="00D15821">
        <w:rPr>
          <w:rFonts w:ascii="Times New Roman" w:hAnsi="Times New Roman"/>
          <w:b/>
          <w:szCs w:val="24"/>
        </w:rPr>
        <w:t xml:space="preserve">Nežádoucí účinky </w:t>
      </w:r>
    </w:p>
    <w:p w14:paraId="79B5452F" w14:textId="0E2B164A" w:rsidR="008A1973" w:rsidRPr="005F5BEF" w:rsidRDefault="008A1973" w:rsidP="008A1973">
      <w:pPr>
        <w:pStyle w:val="Odstavecseseznamem"/>
        <w:numPr>
          <w:ilvl w:val="0"/>
          <w:numId w:val="29"/>
        </w:numPr>
        <w:ind w:left="426" w:hanging="426"/>
      </w:pPr>
      <w:proofErr w:type="spellStart"/>
      <w:r w:rsidRPr="005F5BEF">
        <w:rPr>
          <w:snapToGrid w:val="0"/>
          <w:u w:val="single"/>
        </w:rPr>
        <w:t>Intraartikulární</w:t>
      </w:r>
      <w:proofErr w:type="spellEnd"/>
      <w:r w:rsidRPr="005F5BEF">
        <w:rPr>
          <w:snapToGrid w:val="0"/>
          <w:u w:val="single"/>
        </w:rPr>
        <w:t xml:space="preserve"> </w:t>
      </w:r>
      <w:r>
        <w:rPr>
          <w:snapToGrid w:val="0"/>
        </w:rPr>
        <w:t xml:space="preserve">a </w:t>
      </w:r>
      <w:proofErr w:type="spellStart"/>
      <w:r>
        <w:rPr>
          <w:snapToGrid w:val="0"/>
        </w:rPr>
        <w:t>i</w:t>
      </w:r>
      <w:r w:rsidRPr="00D15821">
        <w:rPr>
          <w:snapToGrid w:val="0"/>
          <w:u w:val="single"/>
        </w:rPr>
        <w:t>ntra</w:t>
      </w:r>
      <w:r>
        <w:rPr>
          <w:snapToGrid w:val="0"/>
          <w:u w:val="single"/>
        </w:rPr>
        <w:t>burzální</w:t>
      </w:r>
      <w:proofErr w:type="spellEnd"/>
      <w:r>
        <w:rPr>
          <w:snapToGrid w:val="0"/>
          <w:u w:val="single"/>
        </w:rPr>
        <w:t xml:space="preserve"> podání</w:t>
      </w:r>
    </w:p>
    <w:p w14:paraId="3A2C1828" w14:textId="77777777" w:rsidR="008A1973" w:rsidRPr="005F5BEF" w:rsidRDefault="008A1973" w:rsidP="008A1973">
      <w:pPr>
        <w:pStyle w:val="Odstavecseseznamem"/>
        <w:ind w:left="426"/>
      </w:pPr>
    </w:p>
    <w:p w14:paraId="48A78894" w14:textId="77777777" w:rsidR="008A1973" w:rsidRDefault="008A1973" w:rsidP="008A1973">
      <w:r>
        <w:t>Koně: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2368" w14:paraId="048932B0" w14:textId="77777777" w:rsidTr="00A52368">
        <w:tc>
          <w:tcPr>
            <w:tcW w:w="4531" w:type="dxa"/>
            <w:shd w:val="clear" w:color="auto" w:fill="auto"/>
          </w:tcPr>
          <w:p w14:paraId="5E2F6BA2" w14:textId="77777777" w:rsidR="008A1973" w:rsidRPr="00A52368" w:rsidRDefault="008A1973" w:rsidP="00A52368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5C4105D5" w14:textId="77777777" w:rsidR="008A1973" w:rsidRDefault="008A1973" w:rsidP="0055703D">
            <w:r w:rsidRPr="00B41D57">
              <w:t>(&gt; 1 zvíře / 10 ošetřených zvířat):</w:t>
            </w:r>
          </w:p>
          <w:p w14:paraId="4589B05E" w14:textId="77777777" w:rsidR="008A1973" w:rsidRDefault="008A1973" w:rsidP="0055703D"/>
        </w:tc>
        <w:tc>
          <w:tcPr>
            <w:tcW w:w="4531" w:type="dxa"/>
            <w:shd w:val="clear" w:color="auto" w:fill="auto"/>
          </w:tcPr>
          <w:p w14:paraId="4E3FE6E1" w14:textId="2602D15A" w:rsidR="008A1973" w:rsidRDefault="008A1973" w:rsidP="0055703D">
            <w:r w:rsidRPr="000807CD">
              <w:t xml:space="preserve">Reakce </w:t>
            </w:r>
            <w:r>
              <w:t xml:space="preserve">kloubu </w:t>
            </w:r>
            <w:r w:rsidRPr="000807CD">
              <w:t xml:space="preserve">v místě aplikace (např. otok v místě </w:t>
            </w:r>
            <w:r w:rsidR="000469D8">
              <w:t>injekčního podání</w:t>
            </w:r>
            <w:r w:rsidRPr="000807CD">
              <w:t>)</w:t>
            </w:r>
          </w:p>
        </w:tc>
      </w:tr>
    </w:tbl>
    <w:p w14:paraId="1E6A4176" w14:textId="77777777" w:rsidR="008A1973" w:rsidRDefault="008A1973" w:rsidP="008A1973"/>
    <w:p w14:paraId="6D5E1632" w14:textId="77777777" w:rsidR="008A1973" w:rsidRDefault="008A1973" w:rsidP="008A1973">
      <w:r>
        <w:t xml:space="preserve">Psi: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2368" w14:paraId="4FD80037" w14:textId="77777777" w:rsidTr="00A52368">
        <w:trPr>
          <w:trHeight w:val="408"/>
        </w:trPr>
        <w:tc>
          <w:tcPr>
            <w:tcW w:w="4531" w:type="dxa"/>
            <w:shd w:val="clear" w:color="auto" w:fill="auto"/>
          </w:tcPr>
          <w:p w14:paraId="4D865D32" w14:textId="77777777" w:rsidR="008A1973" w:rsidRPr="00A52368" w:rsidRDefault="008A1973" w:rsidP="00A52368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36B229B2" w14:textId="77777777" w:rsidR="008A1973" w:rsidRDefault="008A1973" w:rsidP="0055703D">
            <w:r w:rsidRPr="00B41D57">
              <w:t>(&gt; 1 zvíře / 10 ošetřených zvířat):</w:t>
            </w:r>
          </w:p>
          <w:p w14:paraId="6BF66608" w14:textId="77777777" w:rsidR="008A1973" w:rsidRDefault="008A1973" w:rsidP="0055703D"/>
        </w:tc>
        <w:tc>
          <w:tcPr>
            <w:tcW w:w="4531" w:type="dxa"/>
            <w:shd w:val="clear" w:color="auto" w:fill="auto"/>
          </w:tcPr>
          <w:p w14:paraId="66B52EF9" w14:textId="55263393" w:rsidR="008A1973" w:rsidRDefault="008A1973" w:rsidP="0055703D">
            <w:r w:rsidRPr="000807CD">
              <w:t>Reakce</w:t>
            </w:r>
            <w:r>
              <w:t xml:space="preserve"> kloubu</w:t>
            </w:r>
            <w:r w:rsidRPr="000807CD">
              <w:t xml:space="preserve"> v místě aplikace (např. otok v místě </w:t>
            </w:r>
            <w:r w:rsidR="000469D8">
              <w:t>injekčního podání</w:t>
            </w:r>
            <w:r w:rsidRPr="000807CD">
              <w:t>)</w:t>
            </w:r>
          </w:p>
        </w:tc>
      </w:tr>
    </w:tbl>
    <w:p w14:paraId="2C8D1E31" w14:textId="77777777" w:rsidR="008A1973" w:rsidRPr="005F5BEF" w:rsidRDefault="008A1973" w:rsidP="008A1973"/>
    <w:p w14:paraId="3CCBF9F8" w14:textId="32AB652E" w:rsidR="008A1973" w:rsidRDefault="008A1973" w:rsidP="008A1973">
      <w:pPr>
        <w:spacing w:after="120"/>
        <w:jc w:val="both"/>
      </w:pPr>
      <w:r>
        <w:t xml:space="preserve">Přípravek je dobře snášen. </w:t>
      </w:r>
      <w:r w:rsidRPr="00D15821">
        <w:t>Po první lokální aplikaci BONHAREN Intra-</w:t>
      </w:r>
      <w:proofErr w:type="spellStart"/>
      <w:r w:rsidRPr="00D15821">
        <w:t>articular</w:t>
      </w:r>
      <w:proofErr w:type="spellEnd"/>
      <w:r w:rsidRPr="00D15821">
        <w:rPr>
          <w:i/>
        </w:rPr>
        <w:t xml:space="preserve"> </w:t>
      </w:r>
      <w:r w:rsidRPr="00D15821">
        <w:t>10 mg/ml injekční roztok (</w:t>
      </w:r>
      <w:proofErr w:type="spellStart"/>
      <w:r w:rsidRPr="00D15821">
        <w:t>i.a</w:t>
      </w:r>
      <w:proofErr w:type="spellEnd"/>
      <w:r w:rsidRPr="00D15821">
        <w:t>.,</w:t>
      </w:r>
      <w:r>
        <w:t xml:space="preserve"> </w:t>
      </w:r>
      <w:r w:rsidRPr="00D15821">
        <w:t>i.t.,</w:t>
      </w:r>
      <w:r>
        <w:t xml:space="preserve"> </w:t>
      </w:r>
      <w:proofErr w:type="spellStart"/>
      <w:r w:rsidRPr="00D15821">
        <w:t>i.s</w:t>
      </w:r>
      <w:proofErr w:type="spellEnd"/>
      <w:r w:rsidRPr="00D15821">
        <w:t>.,</w:t>
      </w:r>
      <w:r w:rsidR="004F7E48">
        <w:t xml:space="preserve"> </w:t>
      </w:r>
      <w:proofErr w:type="spellStart"/>
      <w:r w:rsidRPr="00D15821">
        <w:t>i.b</w:t>
      </w:r>
      <w:proofErr w:type="spellEnd"/>
      <w:r w:rsidRPr="00D15821">
        <w:t>.) může dojít k difusnímu otoku kloubu nebo šlachové pochvy. Tento otok spontánně odezní v průběhu 2-3 dn</w:t>
      </w:r>
      <w:r w:rsidR="000469D8">
        <w:t>ů</w:t>
      </w:r>
      <w:r w:rsidRPr="00D15821">
        <w:t xml:space="preserve">. V následných </w:t>
      </w:r>
      <w:proofErr w:type="spellStart"/>
      <w:r w:rsidRPr="00D15821">
        <w:t>intrasynoviálních</w:t>
      </w:r>
      <w:proofErr w:type="spellEnd"/>
      <w:r w:rsidRPr="00D15821">
        <w:t xml:space="preserve"> a</w:t>
      </w:r>
      <w:r>
        <w:t> </w:t>
      </w:r>
      <w:proofErr w:type="spellStart"/>
      <w:r w:rsidRPr="00D15821">
        <w:t>intraartikulárních</w:t>
      </w:r>
      <w:proofErr w:type="spellEnd"/>
      <w:r w:rsidRPr="00D15821">
        <w:t xml:space="preserve"> aplikacích k opakovaným otokům nedochází.</w:t>
      </w:r>
    </w:p>
    <w:p w14:paraId="78417376" w14:textId="77777777" w:rsidR="008A1973" w:rsidRDefault="008A1973" w:rsidP="008A1973">
      <w:pPr>
        <w:spacing w:after="120"/>
        <w:jc w:val="both"/>
      </w:pPr>
    </w:p>
    <w:p w14:paraId="01F763F1" w14:textId="77777777" w:rsidR="008A1973" w:rsidRDefault="008A1973" w:rsidP="008A1973">
      <w:pPr>
        <w:pStyle w:val="Odstavecseseznamem"/>
        <w:numPr>
          <w:ilvl w:val="0"/>
          <w:numId w:val="29"/>
        </w:numPr>
        <w:spacing w:after="120"/>
        <w:ind w:left="426"/>
        <w:jc w:val="both"/>
      </w:pPr>
      <w:r>
        <w:t xml:space="preserve">Oční podání </w:t>
      </w:r>
    </w:p>
    <w:p w14:paraId="0AC1C196" w14:textId="77777777" w:rsidR="008A1973" w:rsidRDefault="008A1973" w:rsidP="008A1973">
      <w:pPr>
        <w:spacing w:after="120"/>
        <w:jc w:val="both"/>
      </w:pPr>
      <w:r>
        <w:t>Nežádoucí účinky u očního podání nebyly pozorovány.</w:t>
      </w:r>
    </w:p>
    <w:p w14:paraId="0D82E238" w14:textId="77777777" w:rsidR="000469D8" w:rsidRDefault="000469D8" w:rsidP="001E527A">
      <w:pPr>
        <w:jc w:val="both"/>
      </w:pPr>
    </w:p>
    <w:p w14:paraId="14187D0C" w14:textId="5E374744" w:rsidR="001E527A" w:rsidRDefault="001E527A" w:rsidP="001E527A">
      <w:pPr>
        <w:jc w:val="both"/>
      </w:pPr>
      <w:r w:rsidRPr="00B41D57">
        <w:t xml:space="preserve">Hlášení nežádoucích účinků je důležité. Umožňuje nepřetržité sledování bezpečnosti veterinárního léčivého přípravku. Hlášení je třeba zaslat, pokud možno, prostřednictvím </w:t>
      </w:r>
      <w:r w:rsidRPr="00B41D57">
        <w:lastRenderedPageBreak/>
        <w:t xml:space="preserve">veterinárního lékaře, buď držiteli rozhodnutí o registraci, nebo </w:t>
      </w:r>
      <w:r w:rsidR="000469D8">
        <w:t xml:space="preserve">jeho lokálnímu zástupci, nebo </w:t>
      </w:r>
      <w:r w:rsidRPr="00B41D57">
        <w:t>příslušnému vnitrostátnímu orgánu prostřednictvím národního systému hlášení. Podrobné kontaktní údaje naleznete v</w:t>
      </w:r>
      <w:r w:rsidR="008A1973">
        <w:t> </w:t>
      </w:r>
      <w:r w:rsidRPr="00B41D57">
        <w:t>příbalové informac</w:t>
      </w:r>
      <w:r>
        <w:t>i</w:t>
      </w:r>
      <w:r w:rsidRPr="00B41D57">
        <w:t>.</w:t>
      </w:r>
    </w:p>
    <w:p w14:paraId="0A81FE58" w14:textId="77777777" w:rsidR="00173B2B" w:rsidRPr="00D15821" w:rsidRDefault="00173B2B" w:rsidP="00173B2B">
      <w:pPr>
        <w:jc w:val="both"/>
      </w:pPr>
    </w:p>
    <w:p w14:paraId="3807264C" w14:textId="77777777" w:rsidR="00173B2B" w:rsidRPr="00D15821" w:rsidRDefault="00173B2B" w:rsidP="00173B2B">
      <w:pPr>
        <w:pStyle w:val="Zkladntext2"/>
        <w:spacing w:before="0"/>
        <w:jc w:val="both"/>
        <w:rPr>
          <w:szCs w:val="24"/>
        </w:rPr>
      </w:pPr>
    </w:p>
    <w:p w14:paraId="05551186" w14:textId="77777777" w:rsidR="00173B2B" w:rsidRPr="00D15821" w:rsidRDefault="00173B2B" w:rsidP="008A0523">
      <w:pPr>
        <w:pStyle w:val="Nadpis3"/>
        <w:tabs>
          <w:tab w:val="num" w:pos="720"/>
        </w:tabs>
        <w:spacing w:before="0" w:after="0" w:line="360" w:lineRule="auto"/>
        <w:ind w:hanging="1068"/>
        <w:jc w:val="both"/>
        <w:rPr>
          <w:rFonts w:ascii="Times New Roman" w:hAnsi="Times New Roman"/>
          <w:b/>
          <w:szCs w:val="24"/>
        </w:rPr>
      </w:pPr>
      <w:r w:rsidRPr="00D15821">
        <w:rPr>
          <w:rFonts w:ascii="Times New Roman" w:hAnsi="Times New Roman"/>
          <w:b/>
          <w:szCs w:val="24"/>
        </w:rPr>
        <w:t>Použití v průběhu březosti, laktace nebo snášky</w:t>
      </w:r>
    </w:p>
    <w:p w14:paraId="2B8DE1FA" w14:textId="77777777" w:rsidR="001E527A" w:rsidRDefault="001E527A" w:rsidP="00730492">
      <w:pPr>
        <w:spacing w:after="120"/>
        <w:jc w:val="both"/>
        <w:rPr>
          <w:u w:val="single"/>
        </w:rPr>
      </w:pPr>
      <w:r w:rsidRPr="00613E6E">
        <w:rPr>
          <w:u w:val="single"/>
        </w:rPr>
        <w:t>Březost a laktace</w:t>
      </w:r>
      <w:r w:rsidRPr="00980CAF">
        <w:rPr>
          <w:u w:val="single"/>
        </w:rPr>
        <w:t>:</w:t>
      </w:r>
    </w:p>
    <w:p w14:paraId="7D22F24F" w14:textId="1C88AAF7" w:rsidR="00173B2B" w:rsidRPr="00D15821" w:rsidRDefault="00173B2B" w:rsidP="00173B2B">
      <w:pPr>
        <w:jc w:val="both"/>
      </w:pPr>
      <w:r w:rsidRPr="00D15821">
        <w:t xml:space="preserve">Používání </w:t>
      </w:r>
      <w:r w:rsidR="008A0523">
        <w:t xml:space="preserve">tohoto </w:t>
      </w:r>
      <w:r w:rsidR="000D4BE3">
        <w:t xml:space="preserve">veterinárního léčivého </w:t>
      </w:r>
      <w:r w:rsidR="008A0523">
        <w:t>přípravku</w:t>
      </w:r>
      <w:r w:rsidRPr="00D15821">
        <w:rPr>
          <w:i/>
        </w:rPr>
        <w:t xml:space="preserve"> </w:t>
      </w:r>
      <w:r w:rsidRPr="00D15821">
        <w:t xml:space="preserve">během březosti nebo laktace není omezeno.  </w:t>
      </w:r>
    </w:p>
    <w:p w14:paraId="40B6AD45" w14:textId="77777777" w:rsidR="00173B2B" w:rsidRPr="00D15821" w:rsidRDefault="00173B2B" w:rsidP="00173B2B">
      <w:pPr>
        <w:jc w:val="both"/>
      </w:pPr>
    </w:p>
    <w:p w14:paraId="3B22118C" w14:textId="77777777" w:rsidR="00173B2B" w:rsidRPr="00D15821" w:rsidRDefault="00173B2B" w:rsidP="00173B2B">
      <w:pPr>
        <w:pStyle w:val="Zkladntext2"/>
        <w:spacing w:before="0"/>
        <w:jc w:val="both"/>
        <w:rPr>
          <w:szCs w:val="24"/>
        </w:rPr>
      </w:pPr>
    </w:p>
    <w:p w14:paraId="25080DC4" w14:textId="421389D7" w:rsidR="00173B2B" w:rsidRPr="00D15821" w:rsidRDefault="00173B2B" w:rsidP="004F7E48">
      <w:pPr>
        <w:pStyle w:val="Nadpis3"/>
        <w:tabs>
          <w:tab w:val="num" w:pos="720"/>
        </w:tabs>
        <w:spacing w:before="0" w:after="0" w:line="360" w:lineRule="auto"/>
        <w:ind w:hanging="1068"/>
        <w:jc w:val="both"/>
        <w:rPr>
          <w:rFonts w:ascii="Times New Roman" w:hAnsi="Times New Roman"/>
          <w:b/>
          <w:szCs w:val="24"/>
        </w:rPr>
      </w:pPr>
      <w:r w:rsidRPr="00D15821">
        <w:rPr>
          <w:rFonts w:ascii="Times New Roman" w:hAnsi="Times New Roman"/>
          <w:b/>
          <w:szCs w:val="24"/>
        </w:rPr>
        <w:t>Interakce s </w:t>
      </w:r>
      <w:r w:rsidR="001E527A">
        <w:rPr>
          <w:rFonts w:ascii="Times New Roman" w:hAnsi="Times New Roman"/>
          <w:b/>
          <w:szCs w:val="24"/>
        </w:rPr>
        <w:t>jiný</w:t>
      </w:r>
      <w:r w:rsidR="001E527A" w:rsidRPr="00D15821">
        <w:rPr>
          <w:rFonts w:ascii="Times New Roman" w:hAnsi="Times New Roman"/>
          <w:b/>
          <w:szCs w:val="24"/>
        </w:rPr>
        <w:t xml:space="preserve">mi </w:t>
      </w:r>
      <w:r w:rsidRPr="00D15821">
        <w:rPr>
          <w:rFonts w:ascii="Times New Roman" w:hAnsi="Times New Roman"/>
          <w:b/>
          <w:szCs w:val="24"/>
        </w:rPr>
        <w:t>léčivými přípravky a další formy interakce</w:t>
      </w:r>
    </w:p>
    <w:p w14:paraId="4104CCE1" w14:textId="77777777" w:rsidR="00173B2B" w:rsidRPr="00D15821" w:rsidRDefault="00173B2B" w:rsidP="00173B2B">
      <w:pPr>
        <w:pStyle w:val="Zkladntext"/>
        <w:jc w:val="both"/>
        <w:rPr>
          <w:snapToGrid w:val="0"/>
          <w:szCs w:val="24"/>
        </w:rPr>
      </w:pPr>
      <w:r w:rsidRPr="00D15821">
        <w:rPr>
          <w:szCs w:val="24"/>
        </w:rPr>
        <w:t xml:space="preserve">Nepodávat současně s kationickými antimikrobními látkami </w:t>
      </w:r>
      <w:r w:rsidRPr="00D15821">
        <w:rPr>
          <w:snapToGrid w:val="0"/>
          <w:szCs w:val="24"/>
        </w:rPr>
        <w:t xml:space="preserve">(erytromycinem, amoxicilinem, </w:t>
      </w:r>
      <w:proofErr w:type="spellStart"/>
      <w:r w:rsidRPr="00D15821">
        <w:rPr>
          <w:snapToGrid w:val="0"/>
          <w:szCs w:val="24"/>
        </w:rPr>
        <w:t>cefchinomem</w:t>
      </w:r>
      <w:proofErr w:type="spellEnd"/>
      <w:r w:rsidRPr="00D15821">
        <w:rPr>
          <w:snapToGrid w:val="0"/>
          <w:szCs w:val="24"/>
        </w:rPr>
        <w:t xml:space="preserve">), kterými se sráží. </w:t>
      </w:r>
    </w:p>
    <w:p w14:paraId="7034A1D0" w14:textId="161C8EA8" w:rsidR="00173B2B" w:rsidRPr="00D15821" w:rsidRDefault="00173B2B" w:rsidP="00173B2B">
      <w:pPr>
        <w:pStyle w:val="Zkladntext"/>
        <w:jc w:val="both"/>
        <w:rPr>
          <w:snapToGrid w:val="0"/>
          <w:szCs w:val="24"/>
        </w:rPr>
      </w:pPr>
      <w:r w:rsidRPr="00D15821">
        <w:rPr>
          <w:snapToGrid w:val="0"/>
          <w:szCs w:val="24"/>
        </w:rPr>
        <w:t>Ostatní skupiny léčiv: kortikoidy, nesteroidní protizánětlivé přípravky, vitamíny, minerály a</w:t>
      </w:r>
      <w:r w:rsidR="004F7E48">
        <w:rPr>
          <w:snapToGrid w:val="0"/>
          <w:szCs w:val="24"/>
        </w:rPr>
        <w:t> </w:t>
      </w:r>
      <w:r w:rsidRPr="00D15821">
        <w:rPr>
          <w:snapToGrid w:val="0"/>
          <w:szCs w:val="24"/>
        </w:rPr>
        <w:t>oční přípravky jsou s </w:t>
      </w:r>
      <w:proofErr w:type="spellStart"/>
      <w:r w:rsidRPr="00D15821">
        <w:rPr>
          <w:snapToGrid w:val="0"/>
          <w:szCs w:val="24"/>
        </w:rPr>
        <w:t>hyaluronanem</w:t>
      </w:r>
      <w:proofErr w:type="spellEnd"/>
      <w:r w:rsidRPr="00D15821">
        <w:rPr>
          <w:snapToGrid w:val="0"/>
          <w:szCs w:val="24"/>
        </w:rPr>
        <w:t xml:space="preserve"> plně kompatibilní.   </w:t>
      </w:r>
    </w:p>
    <w:p w14:paraId="2E308CBE" w14:textId="77777777" w:rsidR="00173B2B" w:rsidRDefault="00173B2B" w:rsidP="00173B2B">
      <w:pPr>
        <w:jc w:val="both"/>
      </w:pPr>
    </w:p>
    <w:p w14:paraId="17942952" w14:textId="77777777" w:rsidR="001E527A" w:rsidRPr="00D15821" w:rsidRDefault="001E527A" w:rsidP="00173B2B">
      <w:pPr>
        <w:jc w:val="both"/>
      </w:pPr>
    </w:p>
    <w:p w14:paraId="2A01EF87" w14:textId="77777777" w:rsidR="00173B2B" w:rsidRPr="00D15821" w:rsidRDefault="00173B2B" w:rsidP="00173B2B">
      <w:pPr>
        <w:pStyle w:val="Zkladntext2"/>
        <w:spacing w:before="0"/>
        <w:jc w:val="both"/>
        <w:rPr>
          <w:szCs w:val="24"/>
        </w:rPr>
      </w:pPr>
    </w:p>
    <w:p w14:paraId="274EE57C" w14:textId="609970E3" w:rsidR="00173B2B" w:rsidRPr="00D15821" w:rsidRDefault="001E527A" w:rsidP="008A0523">
      <w:pPr>
        <w:pStyle w:val="Nadpis3"/>
        <w:tabs>
          <w:tab w:val="num" w:pos="720"/>
        </w:tabs>
        <w:spacing w:before="0" w:after="0" w:line="360" w:lineRule="auto"/>
        <w:ind w:hanging="106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Cesty</w:t>
      </w:r>
      <w:r w:rsidR="00173B2B" w:rsidRPr="00D15821">
        <w:rPr>
          <w:rFonts w:ascii="Times New Roman" w:hAnsi="Times New Roman"/>
          <w:b/>
          <w:szCs w:val="24"/>
        </w:rPr>
        <w:t xml:space="preserve"> podání</w:t>
      </w:r>
      <w:r>
        <w:rPr>
          <w:rFonts w:ascii="Times New Roman" w:hAnsi="Times New Roman"/>
          <w:b/>
          <w:szCs w:val="24"/>
        </w:rPr>
        <w:t xml:space="preserve"> a dávkování</w:t>
      </w:r>
    </w:p>
    <w:p w14:paraId="16CB3AD2" w14:textId="6B8C9D14" w:rsidR="00173B2B" w:rsidRPr="00D15821" w:rsidRDefault="00173B2B" w:rsidP="004F7E48">
      <w:pPr>
        <w:spacing w:after="120"/>
        <w:ind w:left="1134" w:hanging="1134"/>
        <w:jc w:val="both"/>
        <w:rPr>
          <w:snapToGrid w:val="0"/>
        </w:rPr>
      </w:pPr>
      <w:r w:rsidRPr="00D15821">
        <w:rPr>
          <w:snapToGrid w:val="0"/>
        </w:rPr>
        <w:t xml:space="preserve">1) </w:t>
      </w:r>
      <w:proofErr w:type="spellStart"/>
      <w:r w:rsidRPr="00D15821">
        <w:rPr>
          <w:snapToGrid w:val="0"/>
          <w:u w:val="single"/>
        </w:rPr>
        <w:t>Intraartikulární</w:t>
      </w:r>
      <w:proofErr w:type="spellEnd"/>
      <w:r w:rsidRPr="00D15821">
        <w:rPr>
          <w:snapToGrid w:val="0"/>
          <w:u w:val="single"/>
        </w:rPr>
        <w:t xml:space="preserve"> </w:t>
      </w:r>
      <w:r w:rsidR="00E91763">
        <w:rPr>
          <w:snapToGrid w:val="0"/>
          <w:u w:val="single"/>
        </w:rPr>
        <w:t>podání</w:t>
      </w:r>
      <w:r w:rsidR="00E91763" w:rsidRPr="00D15821">
        <w:rPr>
          <w:snapToGrid w:val="0"/>
        </w:rPr>
        <w:t xml:space="preserve"> </w:t>
      </w:r>
      <w:r w:rsidRPr="00D15821">
        <w:rPr>
          <w:snapToGrid w:val="0"/>
        </w:rPr>
        <w:t>(přímo do kloubu)</w:t>
      </w:r>
    </w:p>
    <w:p w14:paraId="0D9C4C87" w14:textId="3E96F369" w:rsidR="008546F6" w:rsidRDefault="00BF45DD" w:rsidP="00173B2B">
      <w:pPr>
        <w:ind w:left="1260" w:hanging="1260"/>
        <w:jc w:val="both"/>
        <w:rPr>
          <w:i/>
          <w:iCs/>
          <w:snapToGrid w:val="0"/>
          <w:u w:val="single"/>
        </w:rPr>
      </w:pPr>
      <w:r w:rsidRPr="00730492">
        <w:rPr>
          <w:i/>
          <w:iCs/>
          <w:snapToGrid w:val="0"/>
          <w:u w:val="single"/>
        </w:rPr>
        <w:t xml:space="preserve">Koně </w:t>
      </w:r>
    </w:p>
    <w:p w14:paraId="4030A066" w14:textId="0C7303E7" w:rsidR="00173B2B" w:rsidRPr="00D15821" w:rsidRDefault="00173B2B" w:rsidP="00173B2B">
      <w:pPr>
        <w:ind w:left="1260" w:hanging="1260"/>
        <w:jc w:val="both"/>
        <w:rPr>
          <w:snapToGrid w:val="0"/>
        </w:rPr>
      </w:pPr>
      <w:r w:rsidRPr="00D15821">
        <w:rPr>
          <w:snapToGrid w:val="0"/>
        </w:rPr>
        <w:t xml:space="preserve">Dávkování:  2-3 ml/kloub, podle velikosti kloubu, větší dávky mohou vyvolat větší difúzní otok až bolestivost v místě </w:t>
      </w:r>
      <w:r w:rsidR="000D4BE3">
        <w:rPr>
          <w:snapToGrid w:val="0"/>
        </w:rPr>
        <w:t>podání</w:t>
      </w:r>
    </w:p>
    <w:p w14:paraId="24863C3A" w14:textId="77777777" w:rsidR="00173B2B" w:rsidRPr="00D15821" w:rsidRDefault="00173B2B" w:rsidP="00730492">
      <w:pPr>
        <w:spacing w:before="120"/>
        <w:jc w:val="both"/>
        <w:rPr>
          <w:snapToGrid w:val="0"/>
        </w:rPr>
      </w:pPr>
      <w:r w:rsidRPr="00D15821">
        <w:rPr>
          <w:snapToGrid w:val="0"/>
        </w:rPr>
        <w:t>Počet dávek:  3-7, optimum 5</w:t>
      </w:r>
    </w:p>
    <w:p w14:paraId="4CC1485F" w14:textId="77777777" w:rsidR="00173B2B" w:rsidRPr="00D15821" w:rsidRDefault="00173B2B" w:rsidP="00173B2B">
      <w:pPr>
        <w:jc w:val="both"/>
        <w:rPr>
          <w:snapToGrid w:val="0"/>
        </w:rPr>
      </w:pPr>
      <w:r w:rsidRPr="00D15821">
        <w:rPr>
          <w:snapToGrid w:val="0"/>
        </w:rPr>
        <w:t xml:space="preserve">Interval mezi dávkami:  7 (5-9) dnů </w:t>
      </w:r>
    </w:p>
    <w:p w14:paraId="2E025368" w14:textId="77777777" w:rsidR="00173B2B" w:rsidRPr="00D15821" w:rsidRDefault="00173B2B" w:rsidP="00173B2B">
      <w:pPr>
        <w:jc w:val="both"/>
        <w:rPr>
          <w:snapToGrid w:val="0"/>
        </w:rPr>
      </w:pPr>
    </w:p>
    <w:p w14:paraId="75E7849D" w14:textId="77777777" w:rsidR="00BF45DD" w:rsidRPr="00730492" w:rsidRDefault="00BF45DD" w:rsidP="00BF45DD">
      <w:pPr>
        <w:jc w:val="both"/>
        <w:rPr>
          <w:i/>
          <w:iCs/>
          <w:snapToGrid w:val="0"/>
          <w:u w:val="single"/>
        </w:rPr>
      </w:pPr>
      <w:r w:rsidRPr="00730492">
        <w:rPr>
          <w:i/>
          <w:iCs/>
          <w:snapToGrid w:val="0"/>
          <w:u w:val="single"/>
        </w:rPr>
        <w:t>Psi, kočky</w:t>
      </w:r>
    </w:p>
    <w:p w14:paraId="4DD7679B" w14:textId="77777777" w:rsidR="00BF45DD" w:rsidRPr="00D15821" w:rsidRDefault="00BF45DD" w:rsidP="00BF45DD">
      <w:pPr>
        <w:jc w:val="both"/>
        <w:rPr>
          <w:snapToGrid w:val="0"/>
        </w:rPr>
      </w:pPr>
      <w:r w:rsidRPr="00D15821">
        <w:rPr>
          <w:snapToGrid w:val="0"/>
        </w:rPr>
        <w:t>Dávka: úměrně nižší k velikosti kloubu a celkové hmotnosti, tj. cca 1/3 až 1/2 dávky.</w:t>
      </w:r>
    </w:p>
    <w:p w14:paraId="5BAE86CA" w14:textId="77777777" w:rsidR="00BF45DD" w:rsidRPr="00D15821" w:rsidRDefault="00BF45DD" w:rsidP="00BF45DD">
      <w:pPr>
        <w:jc w:val="both"/>
        <w:rPr>
          <w:snapToGrid w:val="0"/>
        </w:rPr>
      </w:pPr>
      <w:r w:rsidRPr="00D15821">
        <w:rPr>
          <w:snapToGrid w:val="0"/>
        </w:rPr>
        <w:t>Při zvýšeném synoviálním výpotku je nutno jej před aplikací odsát.</w:t>
      </w:r>
    </w:p>
    <w:p w14:paraId="5175D949" w14:textId="77777777" w:rsidR="00BF45DD" w:rsidRPr="00D15821" w:rsidRDefault="00BF45DD" w:rsidP="00BF45DD">
      <w:pPr>
        <w:jc w:val="both"/>
        <w:rPr>
          <w:snapToGrid w:val="0"/>
        </w:rPr>
      </w:pPr>
    </w:p>
    <w:p w14:paraId="4EA816E8" w14:textId="77777777" w:rsidR="006207A2" w:rsidRPr="00D15821" w:rsidRDefault="006207A2" w:rsidP="00173B2B">
      <w:pPr>
        <w:jc w:val="both"/>
        <w:rPr>
          <w:snapToGrid w:val="0"/>
        </w:rPr>
      </w:pPr>
    </w:p>
    <w:p w14:paraId="21839454" w14:textId="6489896A" w:rsidR="00173B2B" w:rsidRPr="00D15821" w:rsidRDefault="00173B2B" w:rsidP="00173B2B">
      <w:pPr>
        <w:jc w:val="both"/>
        <w:rPr>
          <w:snapToGrid w:val="0"/>
        </w:rPr>
      </w:pPr>
      <w:r w:rsidRPr="00D15821">
        <w:rPr>
          <w:snapToGrid w:val="0"/>
        </w:rPr>
        <w:t xml:space="preserve">2) </w:t>
      </w:r>
      <w:bookmarkStart w:id="2" w:name="_Hlk195533818"/>
      <w:proofErr w:type="spellStart"/>
      <w:r w:rsidR="008546F6" w:rsidRPr="00D15821">
        <w:rPr>
          <w:snapToGrid w:val="0"/>
          <w:u w:val="single"/>
        </w:rPr>
        <w:t>Intra</w:t>
      </w:r>
      <w:r w:rsidR="008546F6">
        <w:rPr>
          <w:snapToGrid w:val="0"/>
          <w:u w:val="single"/>
        </w:rPr>
        <w:t>burzální</w:t>
      </w:r>
      <w:proofErr w:type="spellEnd"/>
      <w:r w:rsidR="008546F6">
        <w:rPr>
          <w:snapToGrid w:val="0"/>
          <w:u w:val="single"/>
        </w:rPr>
        <w:t xml:space="preserve"> podání</w:t>
      </w:r>
      <w:r w:rsidRPr="00D15821">
        <w:rPr>
          <w:snapToGrid w:val="0"/>
        </w:rPr>
        <w:t xml:space="preserve"> </w:t>
      </w:r>
      <w:bookmarkEnd w:id="2"/>
      <w:r w:rsidRPr="00D15821">
        <w:rPr>
          <w:snapToGrid w:val="0"/>
        </w:rPr>
        <w:t xml:space="preserve">(do synoviálního </w:t>
      </w:r>
      <w:r w:rsidR="000D4BE3">
        <w:rPr>
          <w:snapToGrid w:val="0"/>
        </w:rPr>
        <w:t>váčku</w:t>
      </w:r>
      <w:r w:rsidRPr="00D15821">
        <w:rPr>
          <w:snapToGrid w:val="0"/>
        </w:rPr>
        <w:t>, šlachové pochvy)</w:t>
      </w:r>
    </w:p>
    <w:p w14:paraId="4FDE3062" w14:textId="2CEBF48F" w:rsidR="008546F6" w:rsidRDefault="008546F6" w:rsidP="00173B2B">
      <w:pPr>
        <w:ind w:left="1260" w:hanging="1260"/>
        <w:jc w:val="both"/>
        <w:rPr>
          <w:snapToGrid w:val="0"/>
        </w:rPr>
      </w:pPr>
      <w:r w:rsidRPr="00730492">
        <w:rPr>
          <w:i/>
          <w:iCs/>
          <w:snapToGrid w:val="0"/>
          <w:u w:val="single"/>
        </w:rPr>
        <w:t>K</w:t>
      </w:r>
      <w:r w:rsidR="00BF45DD">
        <w:rPr>
          <w:i/>
          <w:iCs/>
          <w:snapToGrid w:val="0"/>
          <w:u w:val="single"/>
        </w:rPr>
        <w:t>oně</w:t>
      </w:r>
      <w:r w:rsidRPr="00D15821">
        <w:rPr>
          <w:snapToGrid w:val="0"/>
        </w:rPr>
        <w:t xml:space="preserve"> </w:t>
      </w:r>
    </w:p>
    <w:p w14:paraId="19F2FF96" w14:textId="77777777" w:rsidR="00173B2B" w:rsidRPr="00D15821" w:rsidRDefault="00173B2B" w:rsidP="00173B2B">
      <w:pPr>
        <w:ind w:left="1260" w:hanging="1260"/>
        <w:jc w:val="both"/>
        <w:rPr>
          <w:snapToGrid w:val="0"/>
        </w:rPr>
      </w:pPr>
      <w:r w:rsidRPr="00D15821">
        <w:rPr>
          <w:snapToGrid w:val="0"/>
        </w:rPr>
        <w:t>Dávkování:  1-2 ml/1 vpich</w:t>
      </w:r>
    </w:p>
    <w:p w14:paraId="1A43EB1F" w14:textId="69B68373" w:rsidR="00173B2B" w:rsidRPr="00D15821" w:rsidRDefault="00173B2B" w:rsidP="00173B2B">
      <w:pPr>
        <w:jc w:val="both"/>
        <w:rPr>
          <w:snapToGrid w:val="0"/>
        </w:rPr>
      </w:pPr>
      <w:r w:rsidRPr="00D15821">
        <w:rPr>
          <w:snapToGrid w:val="0"/>
        </w:rPr>
        <w:t>Počet dávek:  1</w:t>
      </w:r>
      <w:r w:rsidR="007B27E3">
        <w:rPr>
          <w:snapToGrid w:val="0"/>
        </w:rPr>
        <w:t xml:space="preserve"> (</w:t>
      </w:r>
      <w:r w:rsidRPr="00D15821">
        <w:rPr>
          <w:snapToGrid w:val="0"/>
        </w:rPr>
        <w:t>výjimečně 2-3</w:t>
      </w:r>
      <w:r w:rsidR="007B27E3">
        <w:rPr>
          <w:snapToGrid w:val="0"/>
        </w:rPr>
        <w:t>)</w:t>
      </w:r>
    </w:p>
    <w:p w14:paraId="1D611370" w14:textId="19DDC771" w:rsidR="00173B2B" w:rsidRDefault="00173B2B" w:rsidP="00173B2B">
      <w:pPr>
        <w:jc w:val="both"/>
        <w:rPr>
          <w:snapToGrid w:val="0"/>
        </w:rPr>
      </w:pPr>
      <w:r w:rsidRPr="00D15821">
        <w:rPr>
          <w:snapToGrid w:val="0"/>
        </w:rPr>
        <w:t xml:space="preserve">Interval mezi dávkami:  14 (7-21) dnů </w:t>
      </w:r>
    </w:p>
    <w:p w14:paraId="30336736" w14:textId="77777777" w:rsidR="001E527A" w:rsidRPr="00D15821" w:rsidRDefault="001E527A" w:rsidP="00173B2B">
      <w:pPr>
        <w:jc w:val="both"/>
        <w:rPr>
          <w:snapToGrid w:val="0"/>
        </w:rPr>
      </w:pPr>
    </w:p>
    <w:p w14:paraId="0FDFB7D7" w14:textId="77777777" w:rsidR="00173B2B" w:rsidRPr="00D15821" w:rsidRDefault="00173B2B" w:rsidP="00173B2B">
      <w:pPr>
        <w:jc w:val="both"/>
        <w:rPr>
          <w:snapToGrid w:val="0"/>
        </w:rPr>
      </w:pPr>
    </w:p>
    <w:p w14:paraId="149C5FB1" w14:textId="77777777" w:rsidR="0059319E" w:rsidRDefault="00173B2B" w:rsidP="00173B2B">
      <w:pPr>
        <w:jc w:val="both"/>
        <w:rPr>
          <w:snapToGrid w:val="0"/>
        </w:rPr>
      </w:pPr>
      <w:r w:rsidRPr="00D15821">
        <w:rPr>
          <w:snapToGrid w:val="0"/>
        </w:rPr>
        <w:t xml:space="preserve">3) </w:t>
      </w:r>
      <w:r w:rsidR="0059319E" w:rsidRPr="00BF45DD">
        <w:rPr>
          <w:snapToGrid w:val="0"/>
          <w:u w:val="single"/>
        </w:rPr>
        <w:t>Oční podání</w:t>
      </w:r>
    </w:p>
    <w:p w14:paraId="4E0FBFB3" w14:textId="10363DB4" w:rsidR="008A0523" w:rsidRDefault="008A0523" w:rsidP="00173B2B">
      <w:pPr>
        <w:jc w:val="both"/>
        <w:rPr>
          <w:i/>
          <w:iCs/>
          <w:snapToGrid w:val="0"/>
          <w:u w:val="single"/>
        </w:rPr>
      </w:pPr>
      <w:r>
        <w:rPr>
          <w:i/>
          <w:iCs/>
          <w:snapToGrid w:val="0"/>
          <w:u w:val="single"/>
        </w:rPr>
        <w:t>K</w:t>
      </w:r>
      <w:r w:rsidR="00BF45DD">
        <w:rPr>
          <w:i/>
          <w:iCs/>
          <w:snapToGrid w:val="0"/>
          <w:u w:val="single"/>
        </w:rPr>
        <w:t>oně</w:t>
      </w:r>
      <w:r>
        <w:rPr>
          <w:i/>
          <w:iCs/>
          <w:snapToGrid w:val="0"/>
          <w:u w:val="single"/>
        </w:rPr>
        <w:t>, p</w:t>
      </w:r>
      <w:r w:rsidR="00BF45DD">
        <w:rPr>
          <w:i/>
          <w:iCs/>
          <w:snapToGrid w:val="0"/>
          <w:u w:val="single"/>
        </w:rPr>
        <w:t>si</w:t>
      </w:r>
      <w:r w:rsidRPr="00730492">
        <w:rPr>
          <w:i/>
          <w:iCs/>
          <w:snapToGrid w:val="0"/>
          <w:u w:val="single"/>
        </w:rPr>
        <w:t>, kočk</w:t>
      </w:r>
      <w:r w:rsidR="00BF45DD">
        <w:rPr>
          <w:i/>
          <w:iCs/>
          <w:snapToGrid w:val="0"/>
          <w:u w:val="single"/>
        </w:rPr>
        <w:t>y</w:t>
      </w:r>
      <w:r w:rsidRPr="008A0523">
        <w:rPr>
          <w:i/>
          <w:iCs/>
          <w:snapToGrid w:val="0"/>
          <w:u w:val="single"/>
        </w:rPr>
        <w:t xml:space="preserve"> </w:t>
      </w:r>
    </w:p>
    <w:p w14:paraId="4D3A0AEC" w14:textId="77777777" w:rsidR="00173B2B" w:rsidRPr="00BF45DD" w:rsidRDefault="00173B2B" w:rsidP="00173B2B">
      <w:pPr>
        <w:jc w:val="both"/>
        <w:rPr>
          <w:snapToGrid w:val="0"/>
        </w:rPr>
      </w:pPr>
      <w:r w:rsidRPr="00BF45DD">
        <w:rPr>
          <w:snapToGrid w:val="0"/>
        </w:rPr>
        <w:t>Lokálně do spojivkového vaku, na povrch oka</w:t>
      </w:r>
      <w:r w:rsidR="008A0523">
        <w:rPr>
          <w:snapToGrid w:val="0"/>
        </w:rPr>
        <w:t>.</w:t>
      </w:r>
    </w:p>
    <w:p w14:paraId="149C9B66" w14:textId="77777777" w:rsidR="00173B2B" w:rsidRPr="00D15821" w:rsidRDefault="00173B2B" w:rsidP="00173B2B">
      <w:pPr>
        <w:jc w:val="both"/>
        <w:rPr>
          <w:snapToGrid w:val="0"/>
        </w:rPr>
      </w:pPr>
      <w:r w:rsidRPr="00D15821">
        <w:rPr>
          <w:snapToGrid w:val="0"/>
        </w:rPr>
        <w:t>Dávkování: 1-2 kapky do oka každé 2-12 hod</w:t>
      </w:r>
    </w:p>
    <w:p w14:paraId="57024D8D" w14:textId="77777777" w:rsidR="00173B2B" w:rsidRPr="00D15821" w:rsidRDefault="00173B2B" w:rsidP="00173B2B">
      <w:pPr>
        <w:jc w:val="both"/>
        <w:rPr>
          <w:snapToGrid w:val="0"/>
        </w:rPr>
      </w:pPr>
      <w:r w:rsidRPr="00D15821">
        <w:rPr>
          <w:snapToGrid w:val="0"/>
        </w:rPr>
        <w:t xml:space="preserve">Doba podávání: 5-60 dnů, eventuelně permanentně (akutní zánět 5-7 dnů, chronický zánět: do zlepšení/vyléčení). </w:t>
      </w:r>
    </w:p>
    <w:p w14:paraId="0E660E97" w14:textId="77777777" w:rsidR="00173B2B" w:rsidRPr="00D15821" w:rsidRDefault="00173B2B" w:rsidP="00173B2B">
      <w:pPr>
        <w:jc w:val="both"/>
        <w:rPr>
          <w:snapToGrid w:val="0"/>
        </w:rPr>
      </w:pPr>
    </w:p>
    <w:p w14:paraId="7C4A6DB3" w14:textId="7A8309CE" w:rsidR="008A0523" w:rsidRPr="00D15821" w:rsidRDefault="008A0523" w:rsidP="008A0523">
      <w:pPr>
        <w:pStyle w:val="Zkladntext2"/>
        <w:spacing w:before="0"/>
        <w:jc w:val="both"/>
        <w:rPr>
          <w:szCs w:val="24"/>
        </w:rPr>
      </w:pPr>
      <w:r>
        <w:rPr>
          <w:szCs w:val="24"/>
        </w:rPr>
        <w:lastRenderedPageBreak/>
        <w:t xml:space="preserve">Tento </w:t>
      </w:r>
      <w:r w:rsidR="000D4BE3">
        <w:rPr>
          <w:szCs w:val="24"/>
        </w:rPr>
        <w:t xml:space="preserve">veterinární léčivý </w:t>
      </w:r>
      <w:r>
        <w:rPr>
          <w:szCs w:val="24"/>
        </w:rPr>
        <w:t xml:space="preserve">přípravek </w:t>
      </w:r>
      <w:r w:rsidRPr="00D15821">
        <w:rPr>
          <w:szCs w:val="24"/>
        </w:rPr>
        <w:t>se doporučuje při těžkých postiženích oka míchat buď s antibiotiky nebo kortikoidy anebo s nimi podávat střídavě.</w:t>
      </w:r>
    </w:p>
    <w:p w14:paraId="4E5F6ABB" w14:textId="77777777" w:rsidR="00173B2B" w:rsidRDefault="00173B2B" w:rsidP="00173B2B">
      <w:pPr>
        <w:widowControl w:val="0"/>
        <w:tabs>
          <w:tab w:val="left" w:pos="708"/>
        </w:tabs>
        <w:rPr>
          <w:snapToGrid w:val="0"/>
        </w:rPr>
      </w:pPr>
    </w:p>
    <w:p w14:paraId="1B2FB042" w14:textId="77777777" w:rsidR="008A0523" w:rsidRPr="00D15821" w:rsidRDefault="008A0523" w:rsidP="00173B2B">
      <w:pPr>
        <w:widowControl w:val="0"/>
        <w:tabs>
          <w:tab w:val="left" w:pos="708"/>
        </w:tabs>
        <w:rPr>
          <w:snapToGrid w:val="0"/>
        </w:rPr>
      </w:pPr>
    </w:p>
    <w:p w14:paraId="0F899697" w14:textId="7CF0C234" w:rsidR="00173B2B" w:rsidRPr="00D15821" w:rsidRDefault="00173B2B" w:rsidP="008A0523">
      <w:pPr>
        <w:pStyle w:val="Nadpis3"/>
        <w:tabs>
          <w:tab w:val="num" w:pos="720"/>
        </w:tabs>
        <w:spacing w:before="0" w:after="0" w:line="360" w:lineRule="auto"/>
        <w:ind w:hanging="1068"/>
        <w:jc w:val="both"/>
        <w:rPr>
          <w:rFonts w:ascii="Times New Roman" w:hAnsi="Times New Roman"/>
          <w:b/>
          <w:szCs w:val="24"/>
        </w:rPr>
      </w:pPr>
      <w:r w:rsidRPr="00D15821">
        <w:rPr>
          <w:rFonts w:ascii="Times New Roman" w:hAnsi="Times New Roman"/>
          <w:b/>
          <w:szCs w:val="24"/>
        </w:rPr>
        <w:t>P</w:t>
      </w:r>
      <w:r w:rsidR="001E527A">
        <w:rPr>
          <w:rFonts w:ascii="Times New Roman" w:hAnsi="Times New Roman"/>
          <w:b/>
          <w:szCs w:val="24"/>
        </w:rPr>
        <w:t>říznaky p</w:t>
      </w:r>
      <w:r w:rsidRPr="00D15821">
        <w:rPr>
          <w:rFonts w:ascii="Times New Roman" w:hAnsi="Times New Roman"/>
          <w:b/>
          <w:szCs w:val="24"/>
        </w:rPr>
        <w:t>ředávkování (</w:t>
      </w:r>
      <w:r w:rsidR="001E527A">
        <w:rPr>
          <w:rFonts w:ascii="Times New Roman" w:hAnsi="Times New Roman"/>
          <w:b/>
        </w:rPr>
        <w:t xml:space="preserve">a kde je relevantní, </w:t>
      </w:r>
      <w:r w:rsidRPr="00D15821">
        <w:rPr>
          <w:rFonts w:ascii="Times New Roman" w:hAnsi="Times New Roman"/>
          <w:b/>
          <w:szCs w:val="24"/>
        </w:rPr>
        <w:t>první pomoc</w:t>
      </w:r>
      <w:r w:rsidR="001E527A">
        <w:rPr>
          <w:rFonts w:ascii="Times New Roman" w:hAnsi="Times New Roman"/>
          <w:b/>
          <w:szCs w:val="24"/>
        </w:rPr>
        <w:t xml:space="preserve"> a</w:t>
      </w:r>
      <w:r w:rsidRPr="00D15821">
        <w:rPr>
          <w:rFonts w:ascii="Times New Roman" w:hAnsi="Times New Roman"/>
          <w:b/>
          <w:szCs w:val="24"/>
        </w:rPr>
        <w:t xml:space="preserve"> antidota)</w:t>
      </w:r>
    </w:p>
    <w:p w14:paraId="2C62E4B1" w14:textId="2FB9DF1F" w:rsidR="00173B2B" w:rsidRPr="00D15821" w:rsidRDefault="00173B2B" w:rsidP="00173B2B">
      <w:pPr>
        <w:pStyle w:val="Zkladntext"/>
        <w:jc w:val="both"/>
        <w:rPr>
          <w:szCs w:val="24"/>
        </w:rPr>
      </w:pPr>
      <w:bookmarkStart w:id="3" w:name="_Hlk195534498"/>
      <w:r w:rsidRPr="00D15821">
        <w:rPr>
          <w:szCs w:val="24"/>
        </w:rPr>
        <w:t xml:space="preserve">Předávkování </w:t>
      </w:r>
      <w:r w:rsidR="00BB17F7">
        <w:rPr>
          <w:szCs w:val="24"/>
        </w:rPr>
        <w:t>tímto přípravkem</w:t>
      </w:r>
      <w:r w:rsidRPr="00D15821">
        <w:rPr>
          <w:szCs w:val="24"/>
        </w:rPr>
        <w:t xml:space="preserve"> není známo. </w:t>
      </w:r>
      <w:bookmarkEnd w:id="3"/>
    </w:p>
    <w:p w14:paraId="68EC18DD" w14:textId="77777777" w:rsidR="00173B2B" w:rsidRPr="00D15821" w:rsidRDefault="00173B2B" w:rsidP="00173B2B">
      <w:pPr>
        <w:jc w:val="both"/>
      </w:pPr>
    </w:p>
    <w:p w14:paraId="4482C9D3" w14:textId="77777777" w:rsidR="003F1DBD" w:rsidRDefault="003F1DBD" w:rsidP="003F1DBD">
      <w:pPr>
        <w:pStyle w:val="Zkladntext2"/>
        <w:spacing w:before="0"/>
        <w:jc w:val="both"/>
      </w:pPr>
    </w:p>
    <w:p w14:paraId="688580F0" w14:textId="77777777" w:rsidR="003F1DBD" w:rsidRPr="003604BD" w:rsidRDefault="003F1DBD" w:rsidP="003F1DBD">
      <w:pPr>
        <w:pStyle w:val="Nadpis3"/>
        <w:tabs>
          <w:tab w:val="num" w:pos="0"/>
        </w:tabs>
        <w:spacing w:before="0" w:after="120"/>
        <w:ind w:left="0" w:firstLine="0"/>
        <w:jc w:val="both"/>
        <w:rPr>
          <w:rFonts w:ascii="Times New Roman" w:hAnsi="Times New Roman"/>
          <w:b/>
        </w:rPr>
      </w:pPr>
      <w:r w:rsidRPr="003604BD">
        <w:rPr>
          <w:rFonts w:ascii="Times New Roman" w:hAnsi="Times New Roman"/>
          <w:b/>
        </w:rPr>
        <w:t xml:space="preserve">Zvláštní omezení pro použití a zvláštní podmínky pro použití, včetně omezení používání antimikrobních a </w:t>
      </w:r>
      <w:proofErr w:type="spellStart"/>
      <w:r w:rsidRPr="003604BD">
        <w:rPr>
          <w:rFonts w:ascii="Times New Roman" w:hAnsi="Times New Roman"/>
          <w:b/>
        </w:rPr>
        <w:t>antiparazitárních</w:t>
      </w:r>
      <w:proofErr w:type="spellEnd"/>
      <w:r w:rsidRPr="003604BD">
        <w:rPr>
          <w:rFonts w:ascii="Times New Roman" w:hAnsi="Times New Roman"/>
          <w:b/>
        </w:rPr>
        <w:t xml:space="preserve"> veterinárních léčivých přípravků, za účelem snížení rizika rozvoje rezistence</w:t>
      </w:r>
      <w:r w:rsidRPr="003604BD">
        <w:rPr>
          <w:rFonts w:ascii="Times New Roman" w:hAnsi="Times New Roman"/>
          <w:szCs w:val="24"/>
        </w:rPr>
        <w:t xml:space="preserve"> </w:t>
      </w:r>
    </w:p>
    <w:p w14:paraId="5BF321C6" w14:textId="50261963" w:rsidR="003F1DBD" w:rsidRDefault="000D4BE3" w:rsidP="003F1DBD">
      <w:pPr>
        <w:pStyle w:val="Zkladntext2"/>
        <w:spacing w:before="0"/>
        <w:jc w:val="both"/>
        <w:rPr>
          <w:bCs/>
        </w:rPr>
      </w:pPr>
      <w:r>
        <w:rPr>
          <w:bCs/>
        </w:rPr>
        <w:t>Neuplatňuje se.</w:t>
      </w:r>
    </w:p>
    <w:p w14:paraId="19638864" w14:textId="77777777" w:rsidR="003F1DBD" w:rsidRPr="00D15821" w:rsidRDefault="003F1DBD" w:rsidP="003F1DBD">
      <w:pPr>
        <w:pStyle w:val="Zkladntext2"/>
        <w:spacing w:before="0"/>
        <w:jc w:val="both"/>
        <w:rPr>
          <w:szCs w:val="24"/>
        </w:rPr>
      </w:pPr>
    </w:p>
    <w:p w14:paraId="1A74278B" w14:textId="77777777" w:rsidR="00173B2B" w:rsidRPr="00D15821" w:rsidRDefault="00173B2B" w:rsidP="004F7E48">
      <w:pPr>
        <w:pStyle w:val="Nadpis3"/>
        <w:tabs>
          <w:tab w:val="num" w:pos="720"/>
        </w:tabs>
        <w:spacing w:before="0" w:after="0" w:line="360" w:lineRule="auto"/>
        <w:ind w:hanging="1068"/>
        <w:jc w:val="both"/>
        <w:rPr>
          <w:rFonts w:ascii="Times New Roman" w:hAnsi="Times New Roman"/>
          <w:b/>
          <w:szCs w:val="24"/>
        </w:rPr>
      </w:pPr>
      <w:r w:rsidRPr="00D15821">
        <w:rPr>
          <w:rFonts w:ascii="Times New Roman" w:hAnsi="Times New Roman"/>
          <w:b/>
          <w:szCs w:val="24"/>
        </w:rPr>
        <w:t>Ochranné lhůty</w:t>
      </w:r>
    </w:p>
    <w:p w14:paraId="4FAB3EC1" w14:textId="77777777" w:rsidR="00A802CA" w:rsidRDefault="00A802CA" w:rsidP="00173B2B">
      <w:pPr>
        <w:jc w:val="both"/>
      </w:pPr>
      <w:r>
        <w:t xml:space="preserve">Koně: </w:t>
      </w:r>
    </w:p>
    <w:p w14:paraId="751DB059" w14:textId="779352EB" w:rsidR="00173B2B" w:rsidRDefault="00A802CA" w:rsidP="00173B2B">
      <w:pPr>
        <w:jc w:val="both"/>
      </w:pPr>
      <w:r>
        <w:t xml:space="preserve">Maso: </w:t>
      </w:r>
      <w:r w:rsidR="00173B2B" w:rsidRPr="00D15821">
        <w:t>Bez ochranných lhůt.</w:t>
      </w:r>
    </w:p>
    <w:p w14:paraId="0F0330A9" w14:textId="2A9D12BC" w:rsidR="00173B2B" w:rsidRPr="00D15821" w:rsidRDefault="00A802CA" w:rsidP="00173B2B">
      <w:pPr>
        <w:jc w:val="both"/>
      </w:pPr>
      <w:r>
        <w:t xml:space="preserve">Mléko: </w:t>
      </w:r>
      <w:r w:rsidRPr="00D15821">
        <w:t>Bez ochranných lhůt.</w:t>
      </w:r>
    </w:p>
    <w:p w14:paraId="086E6D48" w14:textId="77777777" w:rsidR="00173B2B" w:rsidRDefault="00173B2B" w:rsidP="00173B2B">
      <w:pPr>
        <w:ind w:left="567" w:hanging="567"/>
        <w:jc w:val="both"/>
      </w:pPr>
    </w:p>
    <w:p w14:paraId="6A7E92F5" w14:textId="66E47336" w:rsidR="00173B2B" w:rsidRDefault="00173B2B" w:rsidP="00173B2B">
      <w:pPr>
        <w:pStyle w:val="Nadpis2"/>
        <w:numPr>
          <w:ilvl w:val="0"/>
          <w:numId w:val="7"/>
        </w:numPr>
        <w:spacing w:before="0" w:after="0" w:line="360" w:lineRule="auto"/>
        <w:ind w:hanging="720"/>
        <w:jc w:val="both"/>
        <w:rPr>
          <w:rFonts w:ascii="Times New Roman" w:hAnsi="Times New Roman"/>
          <w:i w:val="0"/>
          <w:szCs w:val="24"/>
        </w:rPr>
      </w:pPr>
      <w:r w:rsidRPr="00D15821">
        <w:rPr>
          <w:rFonts w:ascii="Times New Roman" w:hAnsi="Times New Roman"/>
          <w:i w:val="0"/>
          <w:szCs w:val="24"/>
        </w:rPr>
        <w:t xml:space="preserve">FARMAKOLOGICKÉ </w:t>
      </w:r>
      <w:r w:rsidR="001E527A">
        <w:rPr>
          <w:rFonts w:ascii="Times New Roman" w:hAnsi="Times New Roman"/>
          <w:i w:val="0"/>
          <w:szCs w:val="24"/>
        </w:rPr>
        <w:t>INFORMACE</w:t>
      </w:r>
    </w:p>
    <w:p w14:paraId="074572E1" w14:textId="77777777" w:rsidR="003D27F6" w:rsidRPr="00C25333" w:rsidRDefault="003D27F6" w:rsidP="004F7E48"/>
    <w:p w14:paraId="025C516F" w14:textId="61077604" w:rsidR="00173B2B" w:rsidRDefault="00173B2B" w:rsidP="00173B2B">
      <w:pPr>
        <w:numPr>
          <w:ilvl w:val="0"/>
          <w:numId w:val="27"/>
        </w:numPr>
        <w:spacing w:after="120"/>
        <w:ind w:left="709" w:hanging="709"/>
      </w:pPr>
      <w:proofErr w:type="spellStart"/>
      <w:r w:rsidRPr="00C25333">
        <w:rPr>
          <w:b/>
          <w:bCs/>
        </w:rPr>
        <w:t>ATCvet</w:t>
      </w:r>
      <w:proofErr w:type="spellEnd"/>
      <w:r w:rsidRPr="00C25333">
        <w:rPr>
          <w:b/>
          <w:bCs/>
        </w:rPr>
        <w:t xml:space="preserve"> kód:</w:t>
      </w:r>
      <w:r w:rsidRPr="00D15821">
        <w:t xml:space="preserve"> </w:t>
      </w:r>
      <w:bookmarkStart w:id="4" w:name="_Hlk193112237"/>
      <w:r w:rsidR="001B2F25">
        <w:t>Q</w:t>
      </w:r>
      <w:r w:rsidRPr="00D15821">
        <w:t>M09AX01, </w:t>
      </w:r>
      <w:r w:rsidR="001B2F25">
        <w:t>Q</w:t>
      </w:r>
      <w:r w:rsidRPr="00D15821">
        <w:t>S01KA01</w:t>
      </w:r>
      <w:bookmarkEnd w:id="4"/>
    </w:p>
    <w:p w14:paraId="684AC7BA" w14:textId="77777777" w:rsidR="003D27F6" w:rsidRPr="00D15821" w:rsidRDefault="003D27F6" w:rsidP="004F7E48">
      <w:pPr>
        <w:spacing w:after="120"/>
        <w:ind w:left="709"/>
      </w:pPr>
    </w:p>
    <w:p w14:paraId="15E3DF8E" w14:textId="764753D6" w:rsidR="00173B2B" w:rsidRPr="00D15821" w:rsidRDefault="00173B2B" w:rsidP="00730492">
      <w:pPr>
        <w:numPr>
          <w:ilvl w:val="0"/>
          <w:numId w:val="27"/>
        </w:numPr>
        <w:spacing w:line="360" w:lineRule="auto"/>
        <w:ind w:hanging="720"/>
        <w:jc w:val="both"/>
        <w:rPr>
          <w:b/>
        </w:rPr>
      </w:pPr>
      <w:r w:rsidRPr="00D15821">
        <w:rPr>
          <w:b/>
        </w:rPr>
        <w:t>Farmakodynami</w:t>
      </w:r>
      <w:r w:rsidR="001E527A">
        <w:rPr>
          <w:b/>
        </w:rPr>
        <w:t>ka</w:t>
      </w:r>
    </w:p>
    <w:p w14:paraId="62040301" w14:textId="77777777" w:rsidR="00173B2B" w:rsidRPr="00D15821" w:rsidRDefault="00173B2B" w:rsidP="00173B2B">
      <w:pPr>
        <w:pStyle w:val="Zkladntext"/>
        <w:jc w:val="both"/>
        <w:rPr>
          <w:snapToGrid w:val="0"/>
          <w:szCs w:val="24"/>
        </w:rPr>
      </w:pPr>
      <w:proofErr w:type="spellStart"/>
      <w:r w:rsidRPr="00D15821">
        <w:rPr>
          <w:snapToGrid w:val="0"/>
          <w:szCs w:val="24"/>
        </w:rPr>
        <w:t>Hyaluronan</w:t>
      </w:r>
      <w:proofErr w:type="spellEnd"/>
      <w:r w:rsidRPr="00D15821">
        <w:rPr>
          <w:snapToGrid w:val="0"/>
          <w:szCs w:val="24"/>
        </w:rPr>
        <w:t xml:space="preserve"> (kyselina </w:t>
      </w:r>
      <w:proofErr w:type="spellStart"/>
      <w:r w:rsidRPr="00D15821">
        <w:rPr>
          <w:snapToGrid w:val="0"/>
          <w:szCs w:val="24"/>
        </w:rPr>
        <w:t>hyaluronová</w:t>
      </w:r>
      <w:proofErr w:type="spellEnd"/>
      <w:r w:rsidRPr="00D15821">
        <w:rPr>
          <w:snapToGrid w:val="0"/>
          <w:szCs w:val="24"/>
        </w:rPr>
        <w:t xml:space="preserve"> a její soli, HA) udržuje morfologicko-funkční integritu v mikroprostředí kloubu a může být považován za homeostatický regulátor mikroprostředí. </w:t>
      </w:r>
    </w:p>
    <w:p w14:paraId="4EF434F3" w14:textId="29683786" w:rsidR="00173B2B" w:rsidRPr="00D15821" w:rsidRDefault="00173B2B" w:rsidP="00173B2B">
      <w:pPr>
        <w:pStyle w:val="Zkladntext"/>
        <w:jc w:val="both"/>
        <w:rPr>
          <w:snapToGrid w:val="0"/>
          <w:szCs w:val="24"/>
        </w:rPr>
      </w:pPr>
      <w:r w:rsidRPr="00D15821">
        <w:rPr>
          <w:snapToGrid w:val="0"/>
          <w:szCs w:val="24"/>
        </w:rPr>
        <w:t xml:space="preserve">Je produkován </w:t>
      </w:r>
      <w:proofErr w:type="spellStart"/>
      <w:r w:rsidRPr="00D15821">
        <w:rPr>
          <w:snapToGrid w:val="0"/>
          <w:szCs w:val="24"/>
        </w:rPr>
        <w:t>synoviocyty</w:t>
      </w:r>
      <w:proofErr w:type="spellEnd"/>
      <w:r w:rsidRPr="00D15821">
        <w:rPr>
          <w:snapToGrid w:val="0"/>
          <w:szCs w:val="24"/>
        </w:rPr>
        <w:t xml:space="preserve"> typu B a tvoří amorfní vrstvu na povrchu kloubu a vyhlazuje drobné nerovnosti. V chrupavce se HA váže s proteoglykany a udržuje integritu chrupavčité sítě. HA díky svým </w:t>
      </w:r>
      <w:proofErr w:type="spellStart"/>
      <w:r w:rsidRPr="00D15821">
        <w:rPr>
          <w:snapToGrid w:val="0"/>
          <w:szCs w:val="24"/>
        </w:rPr>
        <w:t>pseudoplastickým</w:t>
      </w:r>
      <w:proofErr w:type="spellEnd"/>
      <w:r w:rsidRPr="00D15821">
        <w:rPr>
          <w:snapToGrid w:val="0"/>
          <w:szCs w:val="24"/>
        </w:rPr>
        <w:t xml:space="preserve"> účinkům promazává kloubní chrupavku a udržuje </w:t>
      </w:r>
      <w:proofErr w:type="spellStart"/>
      <w:r w:rsidRPr="00D15821">
        <w:rPr>
          <w:snapToGrid w:val="0"/>
          <w:szCs w:val="24"/>
        </w:rPr>
        <w:t>viskoelasticitu</w:t>
      </w:r>
      <w:proofErr w:type="spellEnd"/>
      <w:r w:rsidRPr="00D15821">
        <w:rPr>
          <w:snapToGrid w:val="0"/>
          <w:szCs w:val="24"/>
        </w:rPr>
        <w:t xml:space="preserve"> synoviální tekutiny. Při osteoartróze dochází k morfologicko-funkčním změnám v synoviální tekutině. Dezintegrace amorfní vrstvy v kloubu je spojena s rozpadem fibrózní tkáně a vede až k dezintegraci chondrocytů a k hyperplasii kostní tkáně. Fragmentace </w:t>
      </w:r>
      <w:proofErr w:type="spellStart"/>
      <w:r w:rsidRPr="00D15821">
        <w:rPr>
          <w:snapToGrid w:val="0"/>
          <w:szCs w:val="24"/>
        </w:rPr>
        <w:t>perivaskulární</w:t>
      </w:r>
      <w:proofErr w:type="spellEnd"/>
      <w:r w:rsidRPr="00D15821">
        <w:rPr>
          <w:snapToGrid w:val="0"/>
          <w:szCs w:val="24"/>
        </w:rPr>
        <w:t xml:space="preserve"> extracelulární matrix způsobuje, že lymfocyty, monocyty a </w:t>
      </w:r>
      <w:proofErr w:type="spellStart"/>
      <w:r w:rsidRPr="00D15821">
        <w:rPr>
          <w:snapToGrid w:val="0"/>
          <w:szCs w:val="24"/>
        </w:rPr>
        <w:t>polymorfonukleární</w:t>
      </w:r>
      <w:proofErr w:type="spellEnd"/>
      <w:r w:rsidRPr="00D15821">
        <w:rPr>
          <w:snapToGrid w:val="0"/>
          <w:szCs w:val="24"/>
        </w:rPr>
        <w:t xml:space="preserve"> buňky migrují z krve do synoviální tekutiny. </w:t>
      </w:r>
      <w:r w:rsidRPr="00BB17F7">
        <w:rPr>
          <w:snapToGrid w:val="0"/>
          <w:szCs w:val="24"/>
        </w:rPr>
        <w:t xml:space="preserve">Tyto buňky uvolňují různé faktory, které modifikují HA, což vede ke změně reologických vlastností synoviální tekutiny. </w:t>
      </w:r>
      <w:proofErr w:type="spellStart"/>
      <w:r w:rsidRPr="00BB17F7">
        <w:rPr>
          <w:snapToGrid w:val="0"/>
          <w:szCs w:val="24"/>
        </w:rPr>
        <w:t>Intraartikulární</w:t>
      </w:r>
      <w:proofErr w:type="spellEnd"/>
      <w:r w:rsidRPr="00BB17F7">
        <w:rPr>
          <w:snapToGrid w:val="0"/>
          <w:szCs w:val="24"/>
        </w:rPr>
        <w:t xml:space="preserve"> aplikace HA podporuje obnovu povrchové amorfní vrstvy kloubní výstelky, přestavbu tangenciální vláknité vrstvy a novotvorbu chrupavkovité tkáně. Tím se upravuje metabolická rovnováha, která zabraňuje rozpadu chondrocytů a vede také k jejich reaktivaci. HA navozuje útlum synovitidy, snižuje proliferaci synoviální membrány a zabezpečuje původní funkční vlastnosti </w:t>
      </w:r>
      <w:proofErr w:type="spellStart"/>
      <w:r w:rsidRPr="00BB17F7">
        <w:rPr>
          <w:snapToGrid w:val="0"/>
          <w:szCs w:val="24"/>
        </w:rPr>
        <w:t>hematosynoviální</w:t>
      </w:r>
      <w:proofErr w:type="spellEnd"/>
      <w:r w:rsidRPr="00BB17F7">
        <w:rPr>
          <w:snapToGrid w:val="0"/>
          <w:szCs w:val="24"/>
        </w:rPr>
        <w:t xml:space="preserve"> bariery. HA snižuje degenerativní poškození kloubu a snižuje tak progresivitu osteoartrózy.</w:t>
      </w:r>
    </w:p>
    <w:p w14:paraId="09A02439" w14:textId="77777777" w:rsidR="00173B2B" w:rsidRPr="00D15821" w:rsidRDefault="00173B2B" w:rsidP="00173B2B"/>
    <w:p w14:paraId="5F9A5F4B" w14:textId="77777777" w:rsidR="00173B2B" w:rsidRPr="00D15821" w:rsidRDefault="00173B2B" w:rsidP="00173B2B"/>
    <w:p w14:paraId="4046B01D" w14:textId="1E26D00C" w:rsidR="00173B2B" w:rsidRPr="00D15821" w:rsidRDefault="00173B2B" w:rsidP="00730492">
      <w:pPr>
        <w:numPr>
          <w:ilvl w:val="0"/>
          <w:numId w:val="27"/>
        </w:numPr>
        <w:spacing w:line="360" w:lineRule="auto"/>
        <w:ind w:left="426" w:hanging="426"/>
        <w:jc w:val="both"/>
        <w:rPr>
          <w:b/>
        </w:rPr>
      </w:pPr>
      <w:r w:rsidRPr="00D15821">
        <w:rPr>
          <w:b/>
        </w:rPr>
        <w:t>Farmakokineti</w:t>
      </w:r>
      <w:r w:rsidR="003F1DBD">
        <w:rPr>
          <w:b/>
        </w:rPr>
        <w:t>ka</w:t>
      </w:r>
    </w:p>
    <w:p w14:paraId="72DF29A4" w14:textId="77777777" w:rsidR="00173B2B" w:rsidRPr="00D15821" w:rsidRDefault="00173B2B" w:rsidP="00173B2B">
      <w:pPr>
        <w:jc w:val="both"/>
        <w:rPr>
          <w:snapToGrid w:val="0"/>
        </w:rPr>
      </w:pPr>
      <w:r w:rsidRPr="00D15821">
        <w:t xml:space="preserve">HA je účinně metabolizována v živočišném organizmu. Je rychle transportována z krve a metabolizována v játrech. Po </w:t>
      </w:r>
      <w:proofErr w:type="spellStart"/>
      <w:r w:rsidRPr="00D15821">
        <w:t>intraartikulární</w:t>
      </w:r>
      <w:proofErr w:type="spellEnd"/>
      <w:r w:rsidRPr="00D15821">
        <w:t xml:space="preserve"> aplikaci radioaktivně značené HA je maximální hladiny v krvi dosaženo za asi 48 hod. Radioaktivní metabolity jsou vylučovány </w:t>
      </w:r>
      <w:r w:rsidRPr="00D15821">
        <w:lastRenderedPageBreak/>
        <w:t xml:space="preserve">zejména močí. Za 24 hod. je asi 48% podané dávky nalezeno v játrech. HA přetrvává v synoviální tekutině po dobu 4-5 dní. </w:t>
      </w:r>
    </w:p>
    <w:p w14:paraId="764D6200" w14:textId="24FD28A3" w:rsidR="003F1DBD" w:rsidRPr="00D15821" w:rsidRDefault="003F1DBD" w:rsidP="003F1DBD">
      <w:pPr>
        <w:pStyle w:val="Zkladntext"/>
        <w:jc w:val="both"/>
        <w:rPr>
          <w:szCs w:val="24"/>
        </w:rPr>
      </w:pPr>
      <w:proofErr w:type="spellStart"/>
      <w:r w:rsidRPr="00D15821">
        <w:rPr>
          <w:szCs w:val="24"/>
        </w:rPr>
        <w:t>Hyaluronan</w:t>
      </w:r>
      <w:proofErr w:type="spellEnd"/>
      <w:r w:rsidRPr="00D15821">
        <w:rPr>
          <w:szCs w:val="24"/>
        </w:rPr>
        <w:t xml:space="preserve"> jako účinná látka je látka tělu vlastní, která se syntetizuje v cílových tkáních a</w:t>
      </w:r>
      <w:r w:rsidR="004F7E48">
        <w:rPr>
          <w:szCs w:val="24"/>
        </w:rPr>
        <w:t> </w:t>
      </w:r>
      <w:r w:rsidRPr="00D15821">
        <w:rPr>
          <w:szCs w:val="24"/>
        </w:rPr>
        <w:t>odbourává se zejména v játrech. I eventuelně extrémně vysoká dávka (převyšující řádově běžně aplikovanou dávku) se v těle rychle odbourá.</w:t>
      </w:r>
    </w:p>
    <w:p w14:paraId="11B589B9" w14:textId="77777777" w:rsidR="00173B2B" w:rsidRPr="00D15821" w:rsidRDefault="00173B2B" w:rsidP="00173B2B"/>
    <w:p w14:paraId="7C712B16" w14:textId="77777777" w:rsidR="00173B2B" w:rsidRPr="00D15821" w:rsidRDefault="00173B2B" w:rsidP="00173B2B">
      <w:pPr>
        <w:ind w:left="567" w:hanging="567"/>
        <w:jc w:val="both"/>
      </w:pPr>
    </w:p>
    <w:p w14:paraId="1C8EE3A1" w14:textId="77777777" w:rsidR="00173B2B" w:rsidRPr="00D15821" w:rsidRDefault="00173B2B" w:rsidP="00173B2B">
      <w:pPr>
        <w:jc w:val="both"/>
      </w:pPr>
    </w:p>
    <w:p w14:paraId="30BF5C0D" w14:textId="520810F5" w:rsidR="00173B2B" w:rsidRPr="00D15821" w:rsidRDefault="003F1DBD" w:rsidP="00173B2B">
      <w:pPr>
        <w:pStyle w:val="Nadpis2"/>
        <w:tabs>
          <w:tab w:val="left" w:pos="0"/>
        </w:tabs>
        <w:spacing w:before="0" w:after="0"/>
        <w:ind w:left="180" w:hanging="180"/>
        <w:jc w:val="both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5</w:t>
      </w:r>
      <w:r w:rsidR="00173B2B" w:rsidRPr="00D15821">
        <w:rPr>
          <w:rFonts w:ascii="Times New Roman" w:hAnsi="Times New Roman"/>
          <w:i w:val="0"/>
          <w:szCs w:val="24"/>
        </w:rPr>
        <w:t xml:space="preserve">.     </w:t>
      </w:r>
      <w:r w:rsidR="00173B2B" w:rsidRPr="00D15821">
        <w:rPr>
          <w:rFonts w:ascii="Times New Roman" w:hAnsi="Times New Roman"/>
          <w:i w:val="0"/>
          <w:szCs w:val="24"/>
        </w:rPr>
        <w:tab/>
        <w:t>FARMACEUTICKÉ ÚDAJE</w:t>
      </w:r>
    </w:p>
    <w:p w14:paraId="383B19EB" w14:textId="77777777" w:rsidR="00173B2B" w:rsidRPr="00D15821" w:rsidRDefault="00173B2B" w:rsidP="00173B2B">
      <w:pPr>
        <w:ind w:left="567" w:hanging="567"/>
        <w:jc w:val="both"/>
      </w:pPr>
    </w:p>
    <w:p w14:paraId="46398F23" w14:textId="3074F4F2" w:rsidR="00173B2B" w:rsidRPr="00D15821" w:rsidRDefault="003F1DBD" w:rsidP="00173B2B">
      <w:pPr>
        <w:numPr>
          <w:ilvl w:val="0"/>
          <w:numId w:val="24"/>
        </w:numPr>
        <w:spacing w:line="360" w:lineRule="auto"/>
        <w:ind w:left="782" w:hanging="782"/>
        <w:jc w:val="both"/>
        <w:rPr>
          <w:b/>
        </w:rPr>
      </w:pPr>
      <w:r>
        <w:rPr>
          <w:b/>
        </w:rPr>
        <w:t>Hlavní i</w:t>
      </w:r>
      <w:r w:rsidR="00173B2B" w:rsidRPr="00D15821">
        <w:rPr>
          <w:b/>
        </w:rPr>
        <w:t>nkompatibility</w:t>
      </w:r>
    </w:p>
    <w:p w14:paraId="70A7B3AC" w14:textId="54081B4C" w:rsidR="00173B2B" w:rsidRPr="00D15821" w:rsidRDefault="00807A8B" w:rsidP="004F7E48">
      <w:pPr>
        <w:jc w:val="both"/>
      </w:pPr>
      <w:bookmarkStart w:id="5" w:name="_Hlk208842073"/>
      <w:r w:rsidRPr="00807A8B">
        <w:rPr>
          <w:snapToGrid w:val="0"/>
        </w:rPr>
        <w:t>Studie kompatibility nejsou k dispozici, a proto tento veterinární léčivý přípravek nesmí být mísen s žádnými dalšími veterinárními léčivými přípravky.</w:t>
      </w:r>
      <w:bookmarkEnd w:id="5"/>
    </w:p>
    <w:p w14:paraId="6CA4C48B" w14:textId="77777777" w:rsidR="00173B2B" w:rsidRPr="00D15821" w:rsidRDefault="00173B2B" w:rsidP="00173B2B">
      <w:pPr>
        <w:ind w:left="567" w:hanging="567"/>
        <w:jc w:val="both"/>
      </w:pPr>
    </w:p>
    <w:p w14:paraId="0814FA77" w14:textId="77777777" w:rsidR="00173B2B" w:rsidRPr="00D15821" w:rsidRDefault="00173B2B" w:rsidP="00173B2B">
      <w:pPr>
        <w:ind w:left="567" w:hanging="567"/>
        <w:jc w:val="both"/>
      </w:pPr>
    </w:p>
    <w:p w14:paraId="27D96559" w14:textId="77777777" w:rsidR="00173B2B" w:rsidRPr="00D15821" w:rsidRDefault="00173B2B" w:rsidP="00173B2B">
      <w:pPr>
        <w:numPr>
          <w:ilvl w:val="0"/>
          <w:numId w:val="24"/>
        </w:numPr>
        <w:spacing w:line="360" w:lineRule="auto"/>
        <w:ind w:left="782" w:hanging="782"/>
        <w:jc w:val="both"/>
        <w:rPr>
          <w:b/>
        </w:rPr>
      </w:pPr>
      <w:r w:rsidRPr="00D15821">
        <w:rPr>
          <w:b/>
        </w:rPr>
        <w:t>Doba použitelnosti</w:t>
      </w:r>
    </w:p>
    <w:p w14:paraId="5A11D10F" w14:textId="77777777" w:rsidR="00173B2B" w:rsidRPr="00D15821" w:rsidRDefault="00173B2B" w:rsidP="00173B2B">
      <w:pPr>
        <w:jc w:val="both"/>
      </w:pPr>
      <w:r w:rsidRPr="00D15821">
        <w:t>Doba použitelnosti veterinárního léčivého přípravku v neporušeném obalu: 3 roky</w:t>
      </w:r>
    </w:p>
    <w:p w14:paraId="7FCCE5ED" w14:textId="68755E11" w:rsidR="00173B2B" w:rsidRPr="00D15821" w:rsidRDefault="003F1DBD" w:rsidP="00173B2B">
      <w:pPr>
        <w:pStyle w:val="Zkladntext2"/>
        <w:spacing w:before="0"/>
        <w:jc w:val="both"/>
        <w:rPr>
          <w:szCs w:val="24"/>
        </w:rPr>
      </w:pPr>
      <w:r w:rsidRPr="00D15821">
        <w:rPr>
          <w:szCs w:val="24"/>
        </w:rPr>
        <w:t>Doba použitelnosti</w:t>
      </w:r>
      <w:r>
        <w:rPr>
          <w:szCs w:val="24"/>
        </w:rPr>
        <w:t xml:space="preserve"> p</w:t>
      </w:r>
      <w:r w:rsidR="00173B2B" w:rsidRPr="00D15821">
        <w:rPr>
          <w:szCs w:val="24"/>
        </w:rPr>
        <w:t>o prvním otevření vnitřního obalu</w:t>
      </w:r>
      <w:r>
        <w:rPr>
          <w:szCs w:val="24"/>
        </w:rPr>
        <w:t xml:space="preserve">: spotřebujte </w:t>
      </w:r>
      <w:r w:rsidR="00173B2B" w:rsidRPr="00D15821">
        <w:rPr>
          <w:szCs w:val="24"/>
        </w:rPr>
        <w:t>ihned.</w:t>
      </w:r>
    </w:p>
    <w:p w14:paraId="729DA603" w14:textId="77777777" w:rsidR="00173B2B" w:rsidRDefault="00173B2B" w:rsidP="00173B2B">
      <w:pPr>
        <w:pStyle w:val="Zkladntext2"/>
        <w:spacing w:before="0"/>
        <w:jc w:val="both"/>
        <w:rPr>
          <w:szCs w:val="24"/>
        </w:rPr>
      </w:pPr>
    </w:p>
    <w:p w14:paraId="24F6B71B" w14:textId="77777777" w:rsidR="003F1DBD" w:rsidRPr="00D15821" w:rsidRDefault="003F1DBD" w:rsidP="00173B2B">
      <w:pPr>
        <w:pStyle w:val="Zkladntext2"/>
        <w:spacing w:before="0"/>
        <w:jc w:val="both"/>
        <w:rPr>
          <w:szCs w:val="24"/>
        </w:rPr>
      </w:pPr>
    </w:p>
    <w:p w14:paraId="27DB3D95" w14:textId="77777777" w:rsidR="00173B2B" w:rsidRPr="00D15821" w:rsidRDefault="00173B2B" w:rsidP="00173B2B">
      <w:pPr>
        <w:numPr>
          <w:ilvl w:val="0"/>
          <w:numId w:val="24"/>
        </w:numPr>
        <w:spacing w:line="360" w:lineRule="auto"/>
        <w:ind w:left="782" w:hanging="782"/>
        <w:jc w:val="both"/>
        <w:rPr>
          <w:b/>
        </w:rPr>
      </w:pPr>
      <w:r w:rsidRPr="00D15821">
        <w:rPr>
          <w:b/>
        </w:rPr>
        <w:t>Zvláštní opatření pro uchovávání</w:t>
      </w:r>
    </w:p>
    <w:p w14:paraId="20D64E81" w14:textId="45127938" w:rsidR="00173B2B" w:rsidRPr="00D15821" w:rsidRDefault="00173B2B" w:rsidP="00173B2B">
      <w:pPr>
        <w:ind w:left="567" w:hanging="567"/>
        <w:jc w:val="both"/>
      </w:pPr>
      <w:r w:rsidRPr="00D15821">
        <w:t xml:space="preserve">Uchovávejte v chladničce (2 °C – 8 </w:t>
      </w:r>
      <w:r w:rsidRPr="00D15821">
        <w:sym w:font="Symbol" w:char="F0B0"/>
      </w:r>
      <w:r w:rsidRPr="00D15821">
        <w:t xml:space="preserve">C). </w:t>
      </w:r>
    </w:p>
    <w:p w14:paraId="588E6861" w14:textId="77777777" w:rsidR="00173B2B" w:rsidRPr="00D15821" w:rsidRDefault="00173B2B" w:rsidP="00173B2B">
      <w:pPr>
        <w:ind w:left="567" w:hanging="567"/>
        <w:jc w:val="both"/>
      </w:pPr>
      <w:r w:rsidRPr="00D15821">
        <w:t>Chraňte před světlem.</w:t>
      </w:r>
    </w:p>
    <w:p w14:paraId="6A472FF2" w14:textId="77777777" w:rsidR="00173B2B" w:rsidRPr="00D15821" w:rsidRDefault="00173B2B" w:rsidP="00173B2B">
      <w:pPr>
        <w:ind w:left="567" w:hanging="567"/>
        <w:jc w:val="both"/>
      </w:pPr>
      <w:r w:rsidRPr="00D15821">
        <w:t>Chraňte před mrazem.</w:t>
      </w:r>
    </w:p>
    <w:p w14:paraId="48074788" w14:textId="77777777" w:rsidR="00173B2B" w:rsidRPr="00D15821" w:rsidRDefault="00173B2B" w:rsidP="00173B2B">
      <w:pPr>
        <w:ind w:left="567" w:hanging="567"/>
        <w:jc w:val="both"/>
      </w:pPr>
    </w:p>
    <w:p w14:paraId="5A500678" w14:textId="77777777" w:rsidR="00173B2B" w:rsidRPr="00D15821" w:rsidRDefault="00173B2B" w:rsidP="00173B2B">
      <w:pPr>
        <w:ind w:left="567" w:hanging="567"/>
        <w:jc w:val="both"/>
      </w:pPr>
    </w:p>
    <w:p w14:paraId="4B15102C" w14:textId="77777777" w:rsidR="00173B2B" w:rsidRPr="00D15821" w:rsidRDefault="00173B2B" w:rsidP="00173B2B">
      <w:pPr>
        <w:numPr>
          <w:ilvl w:val="0"/>
          <w:numId w:val="24"/>
        </w:numPr>
        <w:spacing w:line="360" w:lineRule="auto"/>
        <w:ind w:left="782" w:hanging="782"/>
        <w:jc w:val="both"/>
        <w:rPr>
          <w:b/>
        </w:rPr>
      </w:pPr>
      <w:r w:rsidRPr="00D15821">
        <w:rPr>
          <w:b/>
        </w:rPr>
        <w:t>Druh a složení vnitřního obalu</w:t>
      </w:r>
    </w:p>
    <w:p w14:paraId="021A3504" w14:textId="07758EB0" w:rsidR="00173B2B" w:rsidRPr="00D15821" w:rsidRDefault="00173B2B" w:rsidP="00173B2B">
      <w:pPr>
        <w:jc w:val="both"/>
      </w:pPr>
      <w:r w:rsidRPr="00D15821">
        <w:t>Skleněná lahvička uzavřená gumovou zátkou s</w:t>
      </w:r>
      <w:r w:rsidR="00807A8B">
        <w:t> hliníkovým flip-off uzávěrem</w:t>
      </w:r>
      <w:r w:rsidRPr="00D15821">
        <w:t>.</w:t>
      </w:r>
    </w:p>
    <w:p w14:paraId="42708370" w14:textId="77777777" w:rsidR="003F1DBD" w:rsidRDefault="003F1DBD" w:rsidP="00173B2B">
      <w:pPr>
        <w:jc w:val="both"/>
        <w:rPr>
          <w:i/>
          <w:iCs/>
        </w:rPr>
      </w:pPr>
    </w:p>
    <w:p w14:paraId="716F473D" w14:textId="77777777" w:rsidR="00173B2B" w:rsidRPr="00D15821" w:rsidRDefault="00173B2B" w:rsidP="00173B2B">
      <w:pPr>
        <w:jc w:val="both"/>
        <w:rPr>
          <w:i/>
          <w:iCs/>
        </w:rPr>
      </w:pPr>
      <w:r w:rsidRPr="00D15821">
        <w:rPr>
          <w:i/>
          <w:iCs/>
        </w:rPr>
        <w:t>Velikost</w:t>
      </w:r>
      <w:r w:rsidR="003F1DBD">
        <w:rPr>
          <w:i/>
          <w:iCs/>
        </w:rPr>
        <w:t>i</w:t>
      </w:r>
      <w:r w:rsidRPr="00D15821">
        <w:rPr>
          <w:i/>
          <w:iCs/>
        </w:rPr>
        <w:t xml:space="preserve"> balení:</w:t>
      </w:r>
    </w:p>
    <w:p w14:paraId="3AF0CE1C" w14:textId="7D283EC5" w:rsidR="0039120E" w:rsidRDefault="0039120E" w:rsidP="0039120E">
      <w:pPr>
        <w:pStyle w:val="Zkladntext"/>
        <w:jc w:val="both"/>
      </w:pPr>
      <w:r>
        <w:t>6 x 2 ml, 3 x 2 ml</w:t>
      </w:r>
    </w:p>
    <w:p w14:paraId="6A228D28" w14:textId="2927A499" w:rsidR="00173B2B" w:rsidRPr="00D15821" w:rsidRDefault="0039120E" w:rsidP="00173B2B">
      <w:pPr>
        <w:pStyle w:val="Zkladntext"/>
        <w:jc w:val="both"/>
        <w:rPr>
          <w:szCs w:val="24"/>
        </w:rPr>
      </w:pPr>
      <w:r>
        <w:t>Na trhu nemusí být všechny velikosti balení.</w:t>
      </w:r>
    </w:p>
    <w:p w14:paraId="4A8E24C7" w14:textId="77777777" w:rsidR="00173B2B" w:rsidRDefault="00173B2B" w:rsidP="00173B2B">
      <w:pPr>
        <w:jc w:val="both"/>
      </w:pPr>
    </w:p>
    <w:p w14:paraId="4A25B9B0" w14:textId="77777777" w:rsidR="003F1DBD" w:rsidRPr="00D15821" w:rsidRDefault="003F1DBD" w:rsidP="00173B2B">
      <w:pPr>
        <w:jc w:val="both"/>
      </w:pPr>
    </w:p>
    <w:p w14:paraId="24517526" w14:textId="18687B11" w:rsidR="00173B2B" w:rsidRPr="003F1DBD" w:rsidRDefault="00173B2B" w:rsidP="003F1DBD">
      <w:pPr>
        <w:numPr>
          <w:ilvl w:val="0"/>
          <w:numId w:val="24"/>
        </w:numPr>
        <w:spacing w:after="120"/>
        <w:ind w:left="782" w:hanging="782"/>
        <w:jc w:val="both"/>
      </w:pPr>
      <w:r w:rsidRPr="00D15821">
        <w:rPr>
          <w:b/>
        </w:rPr>
        <w:t>Zvláštní opatření pro</w:t>
      </w:r>
      <w:r w:rsidR="004758CC">
        <w:rPr>
          <w:b/>
        </w:rPr>
        <w:t xml:space="preserve"> likvidaci</w:t>
      </w:r>
      <w:r w:rsidRPr="00D15821">
        <w:rPr>
          <w:b/>
        </w:rPr>
        <w:t xml:space="preserve"> nepoužit</w:t>
      </w:r>
      <w:r w:rsidR="004758CC">
        <w:rPr>
          <w:b/>
        </w:rPr>
        <w:t>ých</w:t>
      </w:r>
      <w:r w:rsidRPr="00D15821">
        <w:rPr>
          <w:b/>
        </w:rPr>
        <w:t xml:space="preserve"> </w:t>
      </w:r>
      <w:r w:rsidR="004758CC" w:rsidRPr="00D15821">
        <w:rPr>
          <w:b/>
        </w:rPr>
        <w:t>veterinární</w:t>
      </w:r>
      <w:r w:rsidR="004758CC">
        <w:rPr>
          <w:b/>
        </w:rPr>
        <w:t>ch</w:t>
      </w:r>
      <w:r w:rsidR="004758CC" w:rsidRPr="00D15821">
        <w:rPr>
          <w:b/>
        </w:rPr>
        <w:t xml:space="preserve"> léčiv</w:t>
      </w:r>
      <w:r w:rsidR="004758CC">
        <w:rPr>
          <w:b/>
        </w:rPr>
        <w:t>ých</w:t>
      </w:r>
      <w:r w:rsidR="004758CC" w:rsidRPr="00D15821">
        <w:rPr>
          <w:b/>
        </w:rPr>
        <w:t xml:space="preserve"> </w:t>
      </w:r>
      <w:r w:rsidRPr="00D15821">
        <w:rPr>
          <w:b/>
        </w:rPr>
        <w:t>přípravk</w:t>
      </w:r>
      <w:r w:rsidR="004758CC">
        <w:rPr>
          <w:b/>
        </w:rPr>
        <w:t>ů</w:t>
      </w:r>
      <w:r w:rsidRPr="00D15821">
        <w:rPr>
          <w:b/>
        </w:rPr>
        <w:t xml:space="preserve"> nebo odpad</w:t>
      </w:r>
      <w:r w:rsidR="004758CC">
        <w:rPr>
          <w:b/>
        </w:rPr>
        <w:t>ů</w:t>
      </w:r>
      <w:r w:rsidRPr="00D15821">
        <w:rPr>
          <w:b/>
        </w:rPr>
        <w:t>, kter</w:t>
      </w:r>
      <w:r w:rsidR="004758CC">
        <w:rPr>
          <w:b/>
        </w:rPr>
        <w:t>é</w:t>
      </w:r>
      <w:r w:rsidRPr="00D15821">
        <w:rPr>
          <w:b/>
        </w:rPr>
        <w:t xml:space="preserve"> pochází z </w:t>
      </w:r>
      <w:r w:rsidR="004758CC">
        <w:rPr>
          <w:b/>
        </w:rPr>
        <w:t>těchto</w:t>
      </w:r>
      <w:r w:rsidR="004758CC" w:rsidRPr="00D15821">
        <w:rPr>
          <w:b/>
        </w:rPr>
        <w:t xml:space="preserve"> </w:t>
      </w:r>
      <w:r w:rsidRPr="00D15821">
        <w:rPr>
          <w:b/>
        </w:rPr>
        <w:t>přípravk</w:t>
      </w:r>
      <w:r w:rsidR="004758CC">
        <w:rPr>
          <w:b/>
        </w:rPr>
        <w:t>ů</w:t>
      </w:r>
    </w:p>
    <w:p w14:paraId="6407EEF8" w14:textId="77777777" w:rsidR="00DF616C" w:rsidRDefault="00DF616C" w:rsidP="003F1DBD">
      <w:pPr>
        <w:pStyle w:val="Nadpis3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Cs w:val="24"/>
        </w:rPr>
      </w:pPr>
      <w:r w:rsidRPr="00DF616C">
        <w:rPr>
          <w:rFonts w:ascii="Times New Roman" w:hAnsi="Times New Roman"/>
          <w:szCs w:val="24"/>
        </w:rPr>
        <w:t>Léčivé přípravky se nesmí likvidovat prostřednictvím odpadní vody</w:t>
      </w:r>
      <w:r w:rsidR="004A4876">
        <w:rPr>
          <w:rFonts w:ascii="Times New Roman" w:hAnsi="Times New Roman"/>
          <w:szCs w:val="24"/>
        </w:rPr>
        <w:t xml:space="preserve"> </w:t>
      </w:r>
      <w:r w:rsidR="004A4876" w:rsidRPr="004A4876">
        <w:rPr>
          <w:rFonts w:ascii="Times New Roman" w:hAnsi="Times New Roman"/>
          <w:szCs w:val="24"/>
        </w:rPr>
        <w:t>či domovního odpadu</w:t>
      </w:r>
      <w:r>
        <w:rPr>
          <w:rFonts w:ascii="Times New Roman" w:hAnsi="Times New Roman"/>
          <w:szCs w:val="24"/>
        </w:rPr>
        <w:t>.</w:t>
      </w:r>
      <w:r w:rsidRPr="00DF616C">
        <w:rPr>
          <w:rFonts w:ascii="Times New Roman" w:hAnsi="Times New Roman"/>
          <w:szCs w:val="24"/>
        </w:rPr>
        <w:t xml:space="preserve"> </w:t>
      </w:r>
    </w:p>
    <w:p w14:paraId="1F679AD4" w14:textId="44E42E36" w:rsidR="00173B2B" w:rsidRPr="00D15821" w:rsidRDefault="00173B2B" w:rsidP="003F1DBD">
      <w:pPr>
        <w:pStyle w:val="Nadpis3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Cs w:val="24"/>
        </w:rPr>
      </w:pPr>
      <w:r w:rsidRPr="00D15821">
        <w:rPr>
          <w:rFonts w:ascii="Times New Roman" w:hAnsi="Times New Roman"/>
          <w:szCs w:val="24"/>
        </w:rPr>
        <w:t xml:space="preserve">Všechen nepoužitý veterinární léčivý přípravek nebo odpad, který pochází z tohoto přípravku, </w:t>
      </w:r>
      <w:r w:rsidR="004758CC" w:rsidRPr="00477C0D">
        <w:rPr>
          <w:rFonts w:ascii="Times New Roman" w:hAnsi="Times New Roman"/>
        </w:rPr>
        <w:t>likvidujte odevzdáním v souladu s místními požadavky a národními systémy sběru, které jsou platné pro příslušný veterinární léčivý přípravek</w:t>
      </w:r>
      <w:r w:rsidR="004758CC">
        <w:rPr>
          <w:rFonts w:ascii="Times New Roman" w:hAnsi="Times New Roman"/>
        </w:rPr>
        <w:t>.</w:t>
      </w:r>
    </w:p>
    <w:p w14:paraId="64AB7EB8" w14:textId="77777777" w:rsidR="00173B2B" w:rsidRPr="00D15821" w:rsidRDefault="00173B2B" w:rsidP="00173B2B">
      <w:pPr>
        <w:ind w:left="567" w:hanging="567"/>
        <w:jc w:val="both"/>
      </w:pPr>
    </w:p>
    <w:p w14:paraId="22295288" w14:textId="77777777" w:rsidR="00173B2B" w:rsidRPr="00D15821" w:rsidRDefault="00173B2B" w:rsidP="00173B2B">
      <w:pPr>
        <w:ind w:left="567" w:hanging="567"/>
        <w:jc w:val="both"/>
      </w:pPr>
    </w:p>
    <w:p w14:paraId="264FDE49" w14:textId="77777777" w:rsidR="00173B2B" w:rsidRPr="00D15821" w:rsidRDefault="004758CC" w:rsidP="00730492">
      <w:pPr>
        <w:pStyle w:val="Nadpis2"/>
        <w:numPr>
          <w:ilvl w:val="0"/>
          <w:numId w:val="28"/>
        </w:numPr>
        <w:tabs>
          <w:tab w:val="clear" w:pos="720"/>
          <w:tab w:val="num" w:pos="360"/>
        </w:tabs>
        <w:spacing w:before="0" w:after="0" w:line="360" w:lineRule="auto"/>
        <w:ind w:left="567" w:hanging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JMÉNO </w:t>
      </w:r>
      <w:r w:rsidR="00173B2B" w:rsidRPr="00D15821">
        <w:rPr>
          <w:rFonts w:ascii="Times New Roman" w:hAnsi="Times New Roman"/>
          <w:i w:val="0"/>
          <w:szCs w:val="24"/>
        </w:rPr>
        <w:t>DRŽITEL</w:t>
      </w:r>
      <w:r>
        <w:rPr>
          <w:rFonts w:ascii="Times New Roman" w:hAnsi="Times New Roman"/>
          <w:i w:val="0"/>
          <w:szCs w:val="24"/>
        </w:rPr>
        <w:t>E</w:t>
      </w:r>
      <w:r w:rsidR="00173B2B" w:rsidRPr="00D15821">
        <w:rPr>
          <w:rFonts w:ascii="Times New Roman" w:hAnsi="Times New Roman"/>
          <w:i w:val="0"/>
          <w:szCs w:val="24"/>
        </w:rPr>
        <w:t xml:space="preserve"> ROZHODNUTÍ O REGISTRACI</w:t>
      </w:r>
    </w:p>
    <w:p w14:paraId="610F56CE" w14:textId="77777777" w:rsidR="00173B2B" w:rsidRPr="00D15821" w:rsidRDefault="00173B2B" w:rsidP="00173B2B">
      <w:pPr>
        <w:jc w:val="both"/>
      </w:pPr>
      <w:r w:rsidRPr="00D15821">
        <w:t xml:space="preserve">Contipro a.s. </w:t>
      </w:r>
    </w:p>
    <w:p w14:paraId="6EC7CC8F" w14:textId="77777777" w:rsidR="00173B2B" w:rsidRPr="00D15821" w:rsidRDefault="00173B2B" w:rsidP="00173B2B">
      <w:pPr>
        <w:ind w:left="567" w:hanging="567"/>
        <w:jc w:val="both"/>
      </w:pPr>
    </w:p>
    <w:p w14:paraId="01FF722E" w14:textId="77777777" w:rsidR="00173B2B" w:rsidRPr="00D15821" w:rsidRDefault="00173B2B" w:rsidP="00173B2B">
      <w:pPr>
        <w:ind w:left="567" w:hanging="567"/>
        <w:jc w:val="both"/>
      </w:pPr>
    </w:p>
    <w:p w14:paraId="3FCBF54D" w14:textId="3A17F8D5" w:rsidR="00173B2B" w:rsidRPr="00D15821" w:rsidRDefault="00173B2B" w:rsidP="00730492">
      <w:pPr>
        <w:pStyle w:val="Nadpis2"/>
        <w:numPr>
          <w:ilvl w:val="0"/>
          <w:numId w:val="28"/>
        </w:numPr>
        <w:tabs>
          <w:tab w:val="clear" w:pos="720"/>
        </w:tabs>
        <w:spacing w:before="0" w:after="0" w:line="360" w:lineRule="auto"/>
        <w:ind w:left="426" w:hanging="436"/>
        <w:jc w:val="both"/>
        <w:rPr>
          <w:rFonts w:ascii="Times New Roman" w:hAnsi="Times New Roman"/>
          <w:b w:val="0"/>
          <w:i w:val="0"/>
          <w:szCs w:val="24"/>
        </w:rPr>
      </w:pPr>
      <w:r w:rsidRPr="00D15821">
        <w:rPr>
          <w:rFonts w:ascii="Times New Roman" w:hAnsi="Times New Roman"/>
          <w:i w:val="0"/>
          <w:szCs w:val="24"/>
        </w:rPr>
        <w:lastRenderedPageBreak/>
        <w:t>REGISTRAČNÍ ČÍSLO</w:t>
      </w:r>
      <w:r w:rsidR="004A4876">
        <w:rPr>
          <w:rFonts w:ascii="Times New Roman" w:hAnsi="Times New Roman"/>
          <w:i w:val="0"/>
          <w:szCs w:val="24"/>
        </w:rPr>
        <w:t>(A)</w:t>
      </w:r>
    </w:p>
    <w:p w14:paraId="0E8E535C" w14:textId="77777777" w:rsidR="00173B2B" w:rsidRPr="00D15821" w:rsidRDefault="00173B2B" w:rsidP="00173B2B">
      <w:pPr>
        <w:jc w:val="both"/>
      </w:pPr>
      <w:r w:rsidRPr="00D15821">
        <w:t>96/046/00-C</w:t>
      </w:r>
    </w:p>
    <w:p w14:paraId="0520A660" w14:textId="77777777" w:rsidR="00173B2B" w:rsidRPr="00D15821" w:rsidRDefault="00173B2B" w:rsidP="00173B2B">
      <w:pPr>
        <w:jc w:val="both"/>
        <w:rPr>
          <w:b/>
        </w:rPr>
      </w:pPr>
    </w:p>
    <w:p w14:paraId="509B5BF5" w14:textId="77777777" w:rsidR="00173B2B" w:rsidRPr="00D15821" w:rsidRDefault="00173B2B" w:rsidP="00173B2B">
      <w:pPr>
        <w:ind w:left="567" w:hanging="567"/>
        <w:jc w:val="both"/>
      </w:pPr>
    </w:p>
    <w:p w14:paraId="7323B0D9" w14:textId="44B1E3D0" w:rsidR="00173B2B" w:rsidRPr="00D15821" w:rsidRDefault="00173B2B" w:rsidP="00730492">
      <w:pPr>
        <w:pStyle w:val="Nadpis2"/>
        <w:numPr>
          <w:ilvl w:val="0"/>
          <w:numId w:val="28"/>
        </w:numPr>
        <w:tabs>
          <w:tab w:val="clear" w:pos="720"/>
        </w:tabs>
        <w:spacing w:before="0" w:after="0" w:line="360" w:lineRule="auto"/>
        <w:ind w:left="426" w:hanging="426"/>
        <w:jc w:val="both"/>
        <w:rPr>
          <w:rFonts w:ascii="Times New Roman" w:hAnsi="Times New Roman"/>
          <w:b w:val="0"/>
          <w:i w:val="0"/>
          <w:szCs w:val="24"/>
        </w:rPr>
      </w:pPr>
      <w:r w:rsidRPr="00D15821">
        <w:rPr>
          <w:rFonts w:ascii="Times New Roman" w:hAnsi="Times New Roman"/>
          <w:i w:val="0"/>
          <w:szCs w:val="24"/>
        </w:rPr>
        <w:t xml:space="preserve">DATUM </w:t>
      </w:r>
      <w:r w:rsidR="004758CC">
        <w:rPr>
          <w:rFonts w:ascii="Times New Roman" w:hAnsi="Times New Roman"/>
          <w:i w:val="0"/>
          <w:szCs w:val="24"/>
        </w:rPr>
        <w:t xml:space="preserve">PRVNÍ </w:t>
      </w:r>
      <w:r w:rsidRPr="00D15821">
        <w:rPr>
          <w:rFonts w:ascii="Times New Roman" w:hAnsi="Times New Roman"/>
          <w:i w:val="0"/>
          <w:szCs w:val="24"/>
        </w:rPr>
        <w:t>REGISTRACE</w:t>
      </w:r>
    </w:p>
    <w:p w14:paraId="3B4475C9" w14:textId="77777777" w:rsidR="00173B2B" w:rsidRPr="00D15821" w:rsidRDefault="00173B2B" w:rsidP="00173B2B">
      <w:pPr>
        <w:jc w:val="both"/>
      </w:pPr>
      <w:r w:rsidRPr="00D15821">
        <w:t>8.</w:t>
      </w:r>
      <w:r w:rsidR="004758CC">
        <w:t xml:space="preserve"> </w:t>
      </w:r>
      <w:r w:rsidRPr="00D15821">
        <w:t>8.</w:t>
      </w:r>
      <w:r w:rsidR="004758CC">
        <w:t xml:space="preserve"> </w:t>
      </w:r>
      <w:r w:rsidRPr="00D15821">
        <w:t>2000</w:t>
      </w:r>
    </w:p>
    <w:p w14:paraId="4C676AB9" w14:textId="77777777" w:rsidR="00173B2B" w:rsidRPr="00D15821" w:rsidRDefault="00173B2B" w:rsidP="00173B2B">
      <w:pPr>
        <w:jc w:val="both"/>
        <w:rPr>
          <w:b/>
        </w:rPr>
      </w:pPr>
    </w:p>
    <w:p w14:paraId="367618B8" w14:textId="77777777" w:rsidR="00173B2B" w:rsidRPr="00D15821" w:rsidRDefault="00173B2B" w:rsidP="00173B2B">
      <w:pPr>
        <w:ind w:left="567" w:hanging="567"/>
        <w:jc w:val="both"/>
      </w:pPr>
    </w:p>
    <w:p w14:paraId="6B9F18B1" w14:textId="22C9FC39" w:rsidR="00173B2B" w:rsidRPr="00D15821" w:rsidRDefault="00173B2B" w:rsidP="00730492">
      <w:pPr>
        <w:pStyle w:val="Nadpis2"/>
        <w:numPr>
          <w:ilvl w:val="0"/>
          <w:numId w:val="28"/>
        </w:numPr>
        <w:tabs>
          <w:tab w:val="clear" w:pos="720"/>
          <w:tab w:val="num" w:pos="426"/>
        </w:tabs>
        <w:spacing w:before="0" w:after="0" w:line="360" w:lineRule="auto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D15821">
        <w:rPr>
          <w:rFonts w:ascii="Times New Roman" w:hAnsi="Times New Roman"/>
          <w:i w:val="0"/>
          <w:szCs w:val="24"/>
        </w:rPr>
        <w:t xml:space="preserve">DATUM </w:t>
      </w:r>
      <w:r w:rsidR="004758CC" w:rsidRPr="00477C0D">
        <w:rPr>
          <w:rFonts w:ascii="Times New Roman" w:hAnsi="Times New Roman"/>
          <w:i w:val="0"/>
        </w:rPr>
        <w:t>POSLEDNÍ AKTUALIZACE SOUHRNU ÚDAJŮ O PŘÍPRAVKU</w:t>
      </w:r>
    </w:p>
    <w:p w14:paraId="518333F0" w14:textId="771793EA" w:rsidR="00173B2B" w:rsidRPr="00D15821" w:rsidRDefault="00830E28" w:rsidP="00173B2B">
      <w:pPr>
        <w:jc w:val="both"/>
      </w:pPr>
      <w:r>
        <w:t>11</w:t>
      </w:r>
      <w:r w:rsidR="004758CC">
        <w:t>/2025</w:t>
      </w:r>
    </w:p>
    <w:p w14:paraId="316C5EEC" w14:textId="77777777" w:rsidR="00173B2B" w:rsidRDefault="00173B2B" w:rsidP="004758CC">
      <w:pPr>
        <w:jc w:val="both"/>
        <w:rPr>
          <w:b/>
        </w:rPr>
      </w:pPr>
    </w:p>
    <w:p w14:paraId="25824A52" w14:textId="77777777" w:rsidR="004758CC" w:rsidRPr="00D15821" w:rsidRDefault="004758CC" w:rsidP="004758CC">
      <w:pPr>
        <w:jc w:val="both"/>
        <w:rPr>
          <w:b/>
        </w:rPr>
      </w:pPr>
    </w:p>
    <w:p w14:paraId="1269E350" w14:textId="77777777" w:rsidR="004758CC" w:rsidRPr="00A14118" w:rsidRDefault="004758CC" w:rsidP="00730492">
      <w:pPr>
        <w:pStyle w:val="Nadpis2"/>
        <w:spacing w:before="0" w:after="0"/>
        <w:rPr>
          <w:rFonts w:ascii="Times New Roman" w:hAnsi="Times New Roman"/>
          <w:i w:val="0"/>
        </w:rPr>
      </w:pPr>
      <w:r w:rsidRPr="00A14118">
        <w:rPr>
          <w:rFonts w:ascii="Times New Roman" w:hAnsi="Times New Roman"/>
          <w:i w:val="0"/>
        </w:rPr>
        <w:t>10. KLASIFIKACE VETERINÁRNÍCH LÉČIVÝCH PŘÍPRAVKŮ</w:t>
      </w:r>
    </w:p>
    <w:p w14:paraId="03423E65" w14:textId="77777777" w:rsidR="00173B2B" w:rsidRDefault="004758CC" w:rsidP="00730492">
      <w:pPr>
        <w:spacing w:before="120"/>
        <w:jc w:val="both"/>
      </w:pPr>
      <w:r w:rsidRPr="007D7A10">
        <w:t>Veterinární léčivý přípravek je vydáván pouze na předpis</w:t>
      </w:r>
      <w:r>
        <w:t>.</w:t>
      </w:r>
    </w:p>
    <w:p w14:paraId="1F60635D" w14:textId="77777777" w:rsidR="00D002DF" w:rsidRDefault="00D002DF" w:rsidP="004F7E48">
      <w:pPr>
        <w:jc w:val="both"/>
      </w:pPr>
    </w:p>
    <w:p w14:paraId="5BBE83D9" w14:textId="1BE21C6F" w:rsidR="001068B4" w:rsidRDefault="00D002DF">
      <w:pPr>
        <w:ind w:right="-1"/>
        <w:rPr>
          <w:b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7" w:history="1">
        <w:r w:rsidRPr="004F7E48">
          <w:rPr>
            <w:rStyle w:val="Hypertextovodkaz"/>
            <w:i/>
            <w:iCs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6"/>
    </w:p>
    <w:p w14:paraId="2451889B" w14:textId="77777777" w:rsidR="001068B4" w:rsidRPr="00D15821" w:rsidRDefault="001068B4" w:rsidP="004F7E48">
      <w:pPr>
        <w:ind w:right="-1"/>
        <w:rPr>
          <w:b/>
        </w:rPr>
      </w:pPr>
    </w:p>
    <w:p w14:paraId="400BFA01" w14:textId="77777777" w:rsidR="006127DF" w:rsidRPr="004F7E48" w:rsidRDefault="006127DF" w:rsidP="006127DF">
      <w:pPr>
        <w:tabs>
          <w:tab w:val="left" w:pos="567"/>
        </w:tabs>
        <w:jc w:val="both"/>
        <w:rPr>
          <w:sz w:val="22"/>
          <w:szCs w:val="22"/>
        </w:rPr>
      </w:pPr>
      <w:bookmarkStart w:id="7" w:name="_Hlk148432335"/>
      <w:r w:rsidRPr="004F7E48">
        <w:rPr>
          <w:sz w:val="22"/>
          <w:szCs w:val="22"/>
        </w:rPr>
        <w:t>Podrobné informace o tomto veterinárním léčivém přípravku naleznete také v národní databázi (</w:t>
      </w:r>
      <w:hyperlink r:id="rId8" w:history="1">
        <w:r w:rsidRPr="004F7E48">
          <w:rPr>
            <w:rStyle w:val="Hypertextovodkaz"/>
            <w:sz w:val="22"/>
            <w:szCs w:val="22"/>
          </w:rPr>
          <w:t>https://www.uskvbl.cz</w:t>
        </w:r>
      </w:hyperlink>
      <w:r w:rsidRPr="004F7E48">
        <w:rPr>
          <w:sz w:val="22"/>
          <w:szCs w:val="22"/>
        </w:rPr>
        <w:t>).</w:t>
      </w:r>
    </w:p>
    <w:bookmarkEnd w:id="7"/>
    <w:p w14:paraId="60B69AA9" w14:textId="77777777" w:rsidR="00360D34" w:rsidRPr="00D15821" w:rsidRDefault="00360D34" w:rsidP="00173B2B"/>
    <w:sectPr w:rsidR="00360D34" w:rsidRPr="00D15821" w:rsidSect="00F06B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BF54A8" w16cex:dateUtc="2025-05-20T12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B1586" w14:textId="77777777" w:rsidR="0029467E" w:rsidRDefault="0029467E" w:rsidP="00730492">
      <w:r>
        <w:separator/>
      </w:r>
    </w:p>
  </w:endnote>
  <w:endnote w:type="continuationSeparator" w:id="0">
    <w:p w14:paraId="60E0BC4C" w14:textId="77777777" w:rsidR="0029467E" w:rsidRDefault="0029467E" w:rsidP="007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58431" w14:textId="77777777" w:rsidR="00730492" w:rsidRDefault="00730492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03D4CC0" w14:textId="77777777" w:rsidR="00730492" w:rsidRDefault="00730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68B26" w14:textId="77777777" w:rsidR="0029467E" w:rsidRDefault="0029467E" w:rsidP="00730492">
      <w:r>
        <w:separator/>
      </w:r>
    </w:p>
  </w:footnote>
  <w:footnote w:type="continuationSeparator" w:id="0">
    <w:p w14:paraId="4D8EEE55" w14:textId="77777777" w:rsidR="0029467E" w:rsidRDefault="0029467E" w:rsidP="0073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7FA"/>
    <w:multiLevelType w:val="hybridMultilevel"/>
    <w:tmpl w:val="7526B6FE"/>
    <w:lvl w:ilvl="0" w:tplc="B6322670">
      <w:start w:val="1"/>
      <w:numFmt w:val="decimal"/>
      <w:lvlText w:val="6.%1"/>
      <w:lvlJc w:val="left"/>
      <w:pPr>
        <w:tabs>
          <w:tab w:val="num" w:pos="780"/>
        </w:tabs>
        <w:ind w:left="780" w:hanging="360"/>
      </w:pPr>
      <w:rPr>
        <w:rFonts w:ascii="Arial" w:hAnsi="Arial" w:hint="default"/>
        <w:b w:val="0"/>
        <w:i w:val="0"/>
        <w:sz w:val="24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576FE"/>
    <w:multiLevelType w:val="multilevel"/>
    <w:tmpl w:val="6CCC3C8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416BDF"/>
    <w:multiLevelType w:val="hybridMultilevel"/>
    <w:tmpl w:val="5D52ABA2"/>
    <w:lvl w:ilvl="0" w:tplc="A9CA3540">
      <w:start w:val="4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519B9"/>
    <w:multiLevelType w:val="multilevel"/>
    <w:tmpl w:val="A7609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B5D6F"/>
    <w:multiLevelType w:val="hybridMultilevel"/>
    <w:tmpl w:val="295028C8"/>
    <w:lvl w:ilvl="0" w:tplc="CBFCF944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916CC3"/>
    <w:multiLevelType w:val="singleLevel"/>
    <w:tmpl w:val="98FEE7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41517E"/>
    <w:multiLevelType w:val="hybridMultilevel"/>
    <w:tmpl w:val="62F48FC2"/>
    <w:lvl w:ilvl="0" w:tplc="2158AC84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E3358"/>
    <w:multiLevelType w:val="multilevel"/>
    <w:tmpl w:val="5AFA8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4"/>
      <w:numFmt w:val="decimal"/>
      <w:lvlText w:val="%3."/>
      <w:lvlJc w:val="left"/>
      <w:pPr>
        <w:tabs>
          <w:tab w:val="num" w:pos="2505"/>
        </w:tabs>
        <w:ind w:left="2505" w:hanging="5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291427"/>
    <w:multiLevelType w:val="multilevel"/>
    <w:tmpl w:val="56C8CA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4"/>
      <w:numFmt w:val="decimal"/>
      <w:lvlText w:val="%3."/>
      <w:lvlJc w:val="left"/>
      <w:pPr>
        <w:tabs>
          <w:tab w:val="num" w:pos="2505"/>
        </w:tabs>
        <w:ind w:left="2505" w:hanging="5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9279BD"/>
    <w:multiLevelType w:val="multilevel"/>
    <w:tmpl w:val="FE628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4"/>
        <w:szCs w:val="24"/>
        <w:u w:val="none"/>
      </w:rPr>
    </w:lvl>
    <w:lvl w:ilvl="2">
      <w:start w:val="4"/>
      <w:numFmt w:val="decimal"/>
      <w:lvlText w:val="%3."/>
      <w:lvlJc w:val="left"/>
      <w:pPr>
        <w:tabs>
          <w:tab w:val="num" w:pos="2505"/>
        </w:tabs>
        <w:ind w:left="2505" w:hanging="5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7B58CA"/>
    <w:multiLevelType w:val="multilevel"/>
    <w:tmpl w:val="5EF0802C"/>
    <w:lvl w:ilvl="0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981464"/>
    <w:multiLevelType w:val="hybridMultilevel"/>
    <w:tmpl w:val="A698C976"/>
    <w:lvl w:ilvl="0" w:tplc="A2CC191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168C6"/>
    <w:multiLevelType w:val="hybridMultilevel"/>
    <w:tmpl w:val="B39E3530"/>
    <w:lvl w:ilvl="0" w:tplc="72024CDC">
      <w:start w:val="1"/>
      <w:numFmt w:val="decimal"/>
      <w:lvlText w:val="5.%1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b/>
        <w:i w:val="0"/>
        <w:sz w:val="24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73F2F"/>
    <w:multiLevelType w:val="multilevel"/>
    <w:tmpl w:val="605C0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4"/>
      <w:numFmt w:val="decimal"/>
      <w:lvlText w:val="%3."/>
      <w:lvlJc w:val="left"/>
      <w:pPr>
        <w:tabs>
          <w:tab w:val="num" w:pos="2505"/>
        </w:tabs>
        <w:ind w:left="2505" w:hanging="5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2212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FD06195"/>
    <w:multiLevelType w:val="hybridMultilevel"/>
    <w:tmpl w:val="A7609290"/>
    <w:lvl w:ilvl="0" w:tplc="C1AA12D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E722CF"/>
    <w:multiLevelType w:val="hybridMultilevel"/>
    <w:tmpl w:val="03A410AC"/>
    <w:lvl w:ilvl="0" w:tplc="E9DC5812">
      <w:start w:val="4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7E053C"/>
    <w:multiLevelType w:val="hybridMultilevel"/>
    <w:tmpl w:val="820C8336"/>
    <w:lvl w:ilvl="0" w:tplc="0EE0F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B44403"/>
    <w:multiLevelType w:val="hybridMultilevel"/>
    <w:tmpl w:val="BAE6C286"/>
    <w:lvl w:ilvl="0" w:tplc="63DC43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586188">
      <w:start w:val="1"/>
      <w:numFmt w:val="decimal"/>
      <w:pStyle w:val="Nadpis3"/>
      <w:lvlText w:val="3.%2."/>
      <w:lvlJc w:val="left"/>
      <w:pPr>
        <w:ind w:left="2629" w:hanging="360"/>
      </w:pPr>
      <w:rPr>
        <w:rFonts w:hint="default"/>
        <w:b/>
        <w:i w:val="0"/>
        <w:sz w:val="24"/>
      </w:rPr>
    </w:lvl>
    <w:lvl w:ilvl="2" w:tplc="5FB2AA58">
      <w:start w:val="4"/>
      <w:numFmt w:val="decimal"/>
      <w:lvlText w:val="%3."/>
      <w:lvlJc w:val="left"/>
      <w:pPr>
        <w:tabs>
          <w:tab w:val="num" w:pos="2505"/>
        </w:tabs>
        <w:ind w:left="2505" w:hanging="52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6365AA"/>
    <w:multiLevelType w:val="multilevel"/>
    <w:tmpl w:val="16BCA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4"/>
      <w:numFmt w:val="decimal"/>
      <w:lvlText w:val="%3."/>
      <w:lvlJc w:val="left"/>
      <w:pPr>
        <w:tabs>
          <w:tab w:val="num" w:pos="2505"/>
        </w:tabs>
        <w:ind w:left="2505" w:hanging="5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4B55B4"/>
    <w:multiLevelType w:val="multilevel"/>
    <w:tmpl w:val="56C8CA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4"/>
      <w:numFmt w:val="decimal"/>
      <w:lvlText w:val="%3."/>
      <w:lvlJc w:val="left"/>
      <w:pPr>
        <w:tabs>
          <w:tab w:val="num" w:pos="2505"/>
        </w:tabs>
        <w:ind w:left="2505" w:hanging="5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6D3946"/>
    <w:multiLevelType w:val="multilevel"/>
    <w:tmpl w:val="F6D4AB7C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09A4580"/>
    <w:multiLevelType w:val="hybridMultilevel"/>
    <w:tmpl w:val="E8BADD42"/>
    <w:lvl w:ilvl="0" w:tplc="A74ED2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8424E"/>
    <w:multiLevelType w:val="multilevel"/>
    <w:tmpl w:val="0F72D4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4"/>
        <w:szCs w:val="24"/>
        <w:u w:val="none"/>
      </w:rPr>
    </w:lvl>
    <w:lvl w:ilvl="2">
      <w:start w:val="4"/>
      <w:numFmt w:val="decimal"/>
      <w:lvlText w:val="%3."/>
      <w:lvlJc w:val="left"/>
      <w:pPr>
        <w:tabs>
          <w:tab w:val="num" w:pos="2505"/>
        </w:tabs>
        <w:ind w:left="2505" w:hanging="5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E9592E"/>
    <w:multiLevelType w:val="multilevel"/>
    <w:tmpl w:val="733AD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4"/>
      <w:numFmt w:val="decimal"/>
      <w:lvlText w:val="%3."/>
      <w:lvlJc w:val="left"/>
      <w:pPr>
        <w:tabs>
          <w:tab w:val="num" w:pos="2505"/>
        </w:tabs>
        <w:ind w:left="2505" w:hanging="5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F33D30"/>
    <w:multiLevelType w:val="multilevel"/>
    <w:tmpl w:val="7526B6FE"/>
    <w:lvl w:ilvl="0">
      <w:start w:val="1"/>
      <w:numFmt w:val="decimal"/>
      <w:lvlText w:val="6.%1"/>
      <w:lvlJc w:val="left"/>
      <w:pPr>
        <w:tabs>
          <w:tab w:val="num" w:pos="780"/>
        </w:tabs>
        <w:ind w:left="780" w:hanging="360"/>
      </w:pPr>
      <w:rPr>
        <w:rFonts w:ascii="Arial" w:hAnsi="Arial" w:hint="default"/>
        <w:b w:val="0"/>
        <w:i w:val="0"/>
        <w:sz w:val="24"/>
        <w:szCs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3A5A6F"/>
    <w:multiLevelType w:val="singleLevel"/>
    <w:tmpl w:val="98FEE7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3F306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68B7278"/>
    <w:multiLevelType w:val="hybridMultilevel"/>
    <w:tmpl w:val="443887C8"/>
    <w:lvl w:ilvl="0" w:tplc="2158AC84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14"/>
  </w:num>
  <w:num w:numId="4">
    <w:abstractNumId w:val="27"/>
  </w:num>
  <w:num w:numId="5">
    <w:abstractNumId w:val="1"/>
  </w:num>
  <w:num w:numId="6">
    <w:abstractNumId w:val="21"/>
  </w:num>
  <w:num w:numId="7">
    <w:abstractNumId w:val="18"/>
  </w:num>
  <w:num w:numId="8">
    <w:abstractNumId w:val="16"/>
  </w:num>
  <w:num w:numId="9">
    <w:abstractNumId w:val="13"/>
  </w:num>
  <w:num w:numId="10">
    <w:abstractNumId w:val="24"/>
  </w:num>
  <w:num w:numId="11">
    <w:abstractNumId w:val="2"/>
  </w:num>
  <w:num w:numId="12">
    <w:abstractNumId w:val="19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  <w:num w:numId="17">
    <w:abstractNumId w:val="4"/>
  </w:num>
  <w:num w:numId="18">
    <w:abstractNumId w:val="20"/>
  </w:num>
  <w:num w:numId="19">
    <w:abstractNumId w:val="7"/>
  </w:num>
  <w:num w:numId="20">
    <w:abstractNumId w:val="23"/>
  </w:num>
  <w:num w:numId="21">
    <w:abstractNumId w:val="6"/>
  </w:num>
  <w:num w:numId="22">
    <w:abstractNumId w:val="9"/>
  </w:num>
  <w:num w:numId="23">
    <w:abstractNumId w:val="25"/>
  </w:num>
  <w:num w:numId="24">
    <w:abstractNumId w:val="12"/>
  </w:num>
  <w:num w:numId="25">
    <w:abstractNumId w:val="10"/>
  </w:num>
  <w:num w:numId="26">
    <w:abstractNumId w:val="17"/>
  </w:num>
  <w:num w:numId="27">
    <w:abstractNumId w:val="28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9F1"/>
    <w:rsid w:val="000316B0"/>
    <w:rsid w:val="000469D8"/>
    <w:rsid w:val="00082101"/>
    <w:rsid w:val="00094723"/>
    <w:rsid w:val="000B49F1"/>
    <w:rsid w:val="000D4BE3"/>
    <w:rsid w:val="001068B4"/>
    <w:rsid w:val="00123E0D"/>
    <w:rsid w:val="00135D1C"/>
    <w:rsid w:val="00173B2B"/>
    <w:rsid w:val="00184518"/>
    <w:rsid w:val="001A3C11"/>
    <w:rsid w:val="001B2F25"/>
    <w:rsid w:val="001E527A"/>
    <w:rsid w:val="002877BB"/>
    <w:rsid w:val="0029467E"/>
    <w:rsid w:val="002B4698"/>
    <w:rsid w:val="002B6AEF"/>
    <w:rsid w:val="002D6D99"/>
    <w:rsid w:val="002F1636"/>
    <w:rsid w:val="0036009B"/>
    <w:rsid w:val="00360D34"/>
    <w:rsid w:val="003668F7"/>
    <w:rsid w:val="003823BE"/>
    <w:rsid w:val="0039120E"/>
    <w:rsid w:val="003C1965"/>
    <w:rsid w:val="003D27F6"/>
    <w:rsid w:val="003E6546"/>
    <w:rsid w:val="003F1DBD"/>
    <w:rsid w:val="004758CC"/>
    <w:rsid w:val="004A4876"/>
    <w:rsid w:val="004F7E48"/>
    <w:rsid w:val="00524B22"/>
    <w:rsid w:val="00535E8A"/>
    <w:rsid w:val="00542A9F"/>
    <w:rsid w:val="005760CC"/>
    <w:rsid w:val="005808EB"/>
    <w:rsid w:val="00590DF7"/>
    <w:rsid w:val="0059171D"/>
    <w:rsid w:val="0059319E"/>
    <w:rsid w:val="006127DF"/>
    <w:rsid w:val="006207A2"/>
    <w:rsid w:val="00683363"/>
    <w:rsid w:val="00685524"/>
    <w:rsid w:val="00706CAD"/>
    <w:rsid w:val="00730492"/>
    <w:rsid w:val="00732105"/>
    <w:rsid w:val="00767A47"/>
    <w:rsid w:val="00780B5D"/>
    <w:rsid w:val="007B27E3"/>
    <w:rsid w:val="007D316B"/>
    <w:rsid w:val="00807A8B"/>
    <w:rsid w:val="00811146"/>
    <w:rsid w:val="00825045"/>
    <w:rsid w:val="00830E28"/>
    <w:rsid w:val="00836596"/>
    <w:rsid w:val="008546F6"/>
    <w:rsid w:val="008A0523"/>
    <w:rsid w:val="008A1973"/>
    <w:rsid w:val="008D41DB"/>
    <w:rsid w:val="00933105"/>
    <w:rsid w:val="00950781"/>
    <w:rsid w:val="00992F6A"/>
    <w:rsid w:val="009A6B4B"/>
    <w:rsid w:val="009D5C96"/>
    <w:rsid w:val="00A01016"/>
    <w:rsid w:val="00A11BB3"/>
    <w:rsid w:val="00A52368"/>
    <w:rsid w:val="00A802CA"/>
    <w:rsid w:val="00AE3B87"/>
    <w:rsid w:val="00B332F3"/>
    <w:rsid w:val="00BB17F7"/>
    <w:rsid w:val="00BC134E"/>
    <w:rsid w:val="00BF45DD"/>
    <w:rsid w:val="00C10185"/>
    <w:rsid w:val="00C25333"/>
    <w:rsid w:val="00C26878"/>
    <w:rsid w:val="00CC46F1"/>
    <w:rsid w:val="00CE55D8"/>
    <w:rsid w:val="00D002DF"/>
    <w:rsid w:val="00D15821"/>
    <w:rsid w:val="00D31B49"/>
    <w:rsid w:val="00DA1E33"/>
    <w:rsid w:val="00DA56CE"/>
    <w:rsid w:val="00DB793A"/>
    <w:rsid w:val="00DF30CE"/>
    <w:rsid w:val="00DF616C"/>
    <w:rsid w:val="00E12D7D"/>
    <w:rsid w:val="00E3751D"/>
    <w:rsid w:val="00E91607"/>
    <w:rsid w:val="00E91763"/>
    <w:rsid w:val="00F0192F"/>
    <w:rsid w:val="00F068B9"/>
    <w:rsid w:val="00F06B55"/>
    <w:rsid w:val="00F115A8"/>
    <w:rsid w:val="00F43FD3"/>
    <w:rsid w:val="00F54D78"/>
    <w:rsid w:val="00F9656B"/>
    <w:rsid w:val="00F96954"/>
    <w:rsid w:val="00FC1296"/>
    <w:rsid w:val="00FC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B08CB"/>
  <w15:chartTrackingRefBased/>
  <w15:docId w15:val="{6BE11D10-6566-428A-92DD-827DC5A5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B49F1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708"/>
      </w:tabs>
      <w:snapToGrid w:val="0"/>
      <w:outlineLvl w:val="0"/>
    </w:pPr>
    <w:rPr>
      <w:rFonts w:eastAsia="Arial Unicode MS"/>
      <w:b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8A0523"/>
    <w:pPr>
      <w:keepNext/>
      <w:numPr>
        <w:ilvl w:val="1"/>
        <w:numId w:val="7"/>
      </w:numPr>
      <w:spacing w:before="240" w:after="60"/>
      <w:ind w:left="1068"/>
      <w:outlineLvl w:val="2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link w:val="ZkladntextChar"/>
    <w:rPr>
      <w:szCs w:val="20"/>
    </w:rPr>
  </w:style>
  <w:style w:type="paragraph" w:styleId="Zkladntext2">
    <w:name w:val="Body Text 2"/>
    <w:basedOn w:val="Normln"/>
    <w:pPr>
      <w:spacing w:before="120"/>
    </w:pPr>
    <w:rPr>
      <w:snapToGrid w:val="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Siln">
    <w:name w:val="Strong"/>
    <w:qFormat/>
    <w:rPr>
      <w:b/>
      <w:bCs/>
    </w:rPr>
  </w:style>
  <w:style w:type="paragraph" w:styleId="Revize">
    <w:name w:val="Revision"/>
    <w:hidden/>
    <w:uiPriority w:val="99"/>
    <w:semiHidden/>
    <w:rsid w:val="00D15821"/>
    <w:rPr>
      <w:sz w:val="24"/>
      <w:szCs w:val="24"/>
    </w:rPr>
  </w:style>
  <w:style w:type="character" w:customStyle="1" w:styleId="Nadpis2Char">
    <w:name w:val="Nadpis 2 Char"/>
    <w:link w:val="Nadpis2"/>
    <w:rsid w:val="004758CC"/>
    <w:rPr>
      <w:rFonts w:ascii="Arial" w:hAnsi="Arial"/>
      <w:b/>
      <w:i/>
      <w:sz w:val="24"/>
      <w:lang w:eastAsia="cs-CZ"/>
    </w:rPr>
  </w:style>
  <w:style w:type="paragraph" w:styleId="Zhlav">
    <w:name w:val="header"/>
    <w:basedOn w:val="Normln"/>
    <w:link w:val="ZhlavChar"/>
    <w:rsid w:val="007304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30492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04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0492"/>
    <w:rPr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39120E"/>
    <w:rPr>
      <w:sz w:val="24"/>
    </w:rPr>
  </w:style>
  <w:style w:type="table" w:styleId="Mkatabulky">
    <w:name w:val="Table Grid"/>
    <w:basedOn w:val="Normlntabulka"/>
    <w:rsid w:val="008A1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A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1313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Souhrn údajů o přípravku (SCP)</vt:lpstr>
    </vt:vector>
  </TitlesOfParts>
  <Company/>
  <LinksUpToDate>false</LinksUpToDate>
  <CharactersWithSpaces>9048</CharactersWithSpaces>
  <SharedDoc>false</SharedDoc>
  <HLinks>
    <vt:vector size="12" baseType="variant"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4980841</vt:i4>
      </vt:variant>
      <vt:variant>
        <vt:i4>0</vt:i4>
      </vt:variant>
      <vt:variant>
        <vt:i4>0</vt:i4>
      </vt:variant>
      <vt:variant>
        <vt:i4>5</vt:i4>
      </vt:variant>
      <vt:variant>
        <vt:lpwstr>mailto:sales@contipro.cz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 (SCP)</dc:title>
  <dc:subject/>
  <dc:creator>Vernerova Eva, MVDr.</dc:creator>
  <cp:keywords/>
  <dc:description/>
  <cp:lastModifiedBy>Nepejchalová Leona</cp:lastModifiedBy>
  <cp:revision>39</cp:revision>
  <cp:lastPrinted>2025-12-02T10:36:00Z</cp:lastPrinted>
  <dcterms:created xsi:type="dcterms:W3CDTF">2025-05-20T11:11:00Z</dcterms:created>
  <dcterms:modified xsi:type="dcterms:W3CDTF">2025-12-02T10:36:00Z</dcterms:modified>
</cp:coreProperties>
</file>