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4C" w:rsidRPr="005B6D4B" w:rsidRDefault="00816F4C" w:rsidP="00816F4C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PŘÍLOHA I</w:t>
      </w: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</w:p>
    <w:p w:rsidR="00816F4C" w:rsidRPr="005B6D4B" w:rsidRDefault="00816F4C" w:rsidP="00816F4C">
      <w:pPr>
        <w:jc w:val="center"/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SOUHRN ÚDAJŮ O PŘÍPRAVKU</w:t>
      </w:r>
    </w:p>
    <w:p w:rsidR="00816F4C" w:rsidRPr="005B6D4B" w:rsidRDefault="00816F4C" w:rsidP="00816F4C">
      <w:pPr>
        <w:jc w:val="center"/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br w:type="page"/>
      </w:r>
      <w:r w:rsidRPr="005B6D4B">
        <w:rPr>
          <w:b/>
          <w:sz w:val="22"/>
          <w:szCs w:val="22"/>
        </w:rPr>
        <w:lastRenderedPageBreak/>
        <w:t>1.</w:t>
      </w:r>
      <w:r w:rsidRPr="005B6D4B">
        <w:rPr>
          <w:b/>
          <w:sz w:val="22"/>
          <w:szCs w:val="22"/>
        </w:rPr>
        <w:tab/>
        <w:t>NÁZEV VETERINÁRNÍHO LÉČIVÉHO PŘÍPRAVKU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AURIZON ušní kapky, suspenze   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Přípravek s indikačním omezením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2.</w:t>
      </w:r>
      <w:r w:rsidRPr="005B6D4B">
        <w:rPr>
          <w:b/>
          <w:sz w:val="22"/>
          <w:szCs w:val="22"/>
        </w:rPr>
        <w:tab/>
        <w:t>KVALITATIVNÍ A KVANTITATIVNÍ SLOŽENÍ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1 ml obsahuje:</w:t>
      </w: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Léčivé látky:</w:t>
      </w:r>
    </w:p>
    <w:p w:rsidR="00816F4C" w:rsidRPr="005B6D4B" w:rsidRDefault="00816F4C" w:rsidP="00816F4C">
      <w:pPr>
        <w:tabs>
          <w:tab w:val="left" w:pos="1701"/>
        </w:tabs>
        <w:rPr>
          <w:iCs/>
          <w:sz w:val="22"/>
          <w:szCs w:val="22"/>
        </w:rPr>
      </w:pPr>
      <w:proofErr w:type="spellStart"/>
      <w:r w:rsidRPr="005B6D4B">
        <w:rPr>
          <w:iCs/>
          <w:sz w:val="22"/>
          <w:szCs w:val="22"/>
        </w:rPr>
        <w:t>Marbofloxacinum</w:t>
      </w:r>
      <w:proofErr w:type="spellEnd"/>
      <w:r w:rsidRPr="005B6D4B">
        <w:rPr>
          <w:iCs/>
          <w:sz w:val="22"/>
          <w:szCs w:val="22"/>
        </w:rPr>
        <w:t xml:space="preserve">                  3 mg</w:t>
      </w:r>
    </w:p>
    <w:p w:rsidR="00816F4C" w:rsidRPr="005B6D4B" w:rsidRDefault="00816F4C" w:rsidP="00816F4C">
      <w:pPr>
        <w:tabs>
          <w:tab w:val="left" w:pos="1701"/>
        </w:tabs>
        <w:rPr>
          <w:iCs/>
          <w:sz w:val="22"/>
          <w:szCs w:val="22"/>
        </w:rPr>
      </w:pPr>
      <w:proofErr w:type="spellStart"/>
      <w:r w:rsidRPr="005B6D4B">
        <w:rPr>
          <w:iCs/>
          <w:sz w:val="22"/>
          <w:szCs w:val="22"/>
        </w:rPr>
        <w:t>Clotrimazolum</w:t>
      </w:r>
      <w:proofErr w:type="spellEnd"/>
      <w:r w:rsidRPr="005B6D4B">
        <w:rPr>
          <w:iCs/>
          <w:sz w:val="22"/>
          <w:szCs w:val="22"/>
        </w:rPr>
        <w:t xml:space="preserve">                     10 mg</w:t>
      </w:r>
    </w:p>
    <w:p w:rsidR="00816F4C" w:rsidRPr="005B6D4B" w:rsidRDefault="00816F4C" w:rsidP="00816F4C">
      <w:pPr>
        <w:tabs>
          <w:tab w:val="left" w:pos="1701"/>
        </w:tabs>
        <w:rPr>
          <w:iCs/>
          <w:sz w:val="22"/>
          <w:szCs w:val="22"/>
        </w:rPr>
      </w:pPr>
      <w:proofErr w:type="spellStart"/>
      <w:r w:rsidRPr="005B6D4B">
        <w:rPr>
          <w:iCs/>
          <w:sz w:val="22"/>
          <w:szCs w:val="22"/>
        </w:rPr>
        <w:t>Dexamethasoni</w:t>
      </w:r>
      <w:proofErr w:type="spellEnd"/>
      <w:r w:rsidRPr="005B6D4B">
        <w:rPr>
          <w:iCs/>
          <w:sz w:val="22"/>
          <w:szCs w:val="22"/>
        </w:rPr>
        <w:t xml:space="preserve"> </w:t>
      </w:r>
      <w:proofErr w:type="spellStart"/>
      <w:r w:rsidRPr="005B6D4B">
        <w:rPr>
          <w:iCs/>
          <w:sz w:val="22"/>
          <w:szCs w:val="22"/>
        </w:rPr>
        <w:t>acetas</w:t>
      </w:r>
      <w:proofErr w:type="spellEnd"/>
      <w:r w:rsidRPr="005B6D4B">
        <w:rPr>
          <w:iCs/>
          <w:sz w:val="22"/>
          <w:szCs w:val="22"/>
        </w:rPr>
        <w:t xml:space="preserve">            1 mg</w:t>
      </w:r>
    </w:p>
    <w:p w:rsidR="00816F4C" w:rsidRPr="005B6D4B" w:rsidRDefault="00816F4C" w:rsidP="00816F4C">
      <w:pPr>
        <w:rPr>
          <w:b/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Pomocné látky: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Úplný seznam pomocných látek viz bod 6.1.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3.</w:t>
      </w:r>
      <w:r w:rsidRPr="005B6D4B">
        <w:rPr>
          <w:b/>
          <w:sz w:val="22"/>
          <w:szCs w:val="22"/>
        </w:rPr>
        <w:tab/>
        <w:t>LÉKOVÁ FORMA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Ušní kapky, suspenze.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Světle žlutá suspenze.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</w:t>
      </w:r>
      <w:r w:rsidRPr="005B6D4B">
        <w:rPr>
          <w:b/>
          <w:sz w:val="22"/>
          <w:szCs w:val="22"/>
        </w:rPr>
        <w:tab/>
        <w:t>KLINICKÉ ÚDAJE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4.1</w:t>
      </w:r>
      <w:r w:rsidRPr="005B6D4B">
        <w:rPr>
          <w:b/>
          <w:sz w:val="22"/>
          <w:szCs w:val="22"/>
        </w:rPr>
        <w:tab/>
        <w:t>Cílové druhy zvířat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Psi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4.2</w:t>
      </w:r>
      <w:r w:rsidRPr="005B6D4B">
        <w:rPr>
          <w:b/>
          <w:sz w:val="22"/>
          <w:szCs w:val="22"/>
        </w:rPr>
        <w:tab/>
        <w:t xml:space="preserve">Indikace s upřesněním pro cílový druh zvířat 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 xml:space="preserve">Infekční zánět zevního zvukovodu vyvolaný bakteriemi citlivými na </w:t>
      </w:r>
      <w:proofErr w:type="spellStart"/>
      <w:r w:rsidRPr="005B6D4B">
        <w:rPr>
          <w:sz w:val="22"/>
          <w:szCs w:val="22"/>
        </w:rPr>
        <w:t>marbofloxacin</w:t>
      </w:r>
      <w:proofErr w:type="spellEnd"/>
      <w:r w:rsidRPr="005B6D4B">
        <w:rPr>
          <w:sz w:val="22"/>
          <w:szCs w:val="22"/>
        </w:rPr>
        <w:t xml:space="preserve"> a kvasinkami (zvláště </w:t>
      </w:r>
      <w:proofErr w:type="spellStart"/>
      <w:r w:rsidRPr="005B6D4B">
        <w:rPr>
          <w:i/>
          <w:sz w:val="22"/>
          <w:szCs w:val="22"/>
        </w:rPr>
        <w:t>Malassezia</w:t>
      </w:r>
      <w:proofErr w:type="spellEnd"/>
      <w:r w:rsidRPr="005B6D4B">
        <w:rPr>
          <w:i/>
          <w:sz w:val="22"/>
          <w:szCs w:val="22"/>
        </w:rPr>
        <w:t xml:space="preserve"> </w:t>
      </w:r>
      <w:proofErr w:type="spellStart"/>
      <w:r w:rsidRPr="005B6D4B">
        <w:rPr>
          <w:i/>
          <w:sz w:val="22"/>
          <w:szCs w:val="22"/>
        </w:rPr>
        <w:t>pachydermatis</w:t>
      </w:r>
      <w:proofErr w:type="spellEnd"/>
      <w:r w:rsidRPr="005B6D4B">
        <w:rPr>
          <w:sz w:val="22"/>
          <w:szCs w:val="22"/>
        </w:rPr>
        <w:t xml:space="preserve"> s  citlivostí na </w:t>
      </w:r>
      <w:proofErr w:type="spellStart"/>
      <w:r w:rsidRPr="005B6D4B">
        <w:rPr>
          <w:sz w:val="22"/>
          <w:szCs w:val="22"/>
        </w:rPr>
        <w:t>clotrimazol</w:t>
      </w:r>
      <w:proofErr w:type="spellEnd"/>
      <w:r w:rsidRPr="005B6D4B">
        <w:rPr>
          <w:sz w:val="22"/>
          <w:szCs w:val="22"/>
        </w:rPr>
        <w:t>).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 xml:space="preserve">Přípravek by měl být aplikován pouze na základě diagnostikování původce </w:t>
      </w:r>
      <w:proofErr w:type="gramStart"/>
      <w:r w:rsidRPr="005B6D4B">
        <w:rPr>
          <w:sz w:val="22"/>
          <w:szCs w:val="22"/>
        </w:rPr>
        <w:t>onemocnění</w:t>
      </w:r>
      <w:proofErr w:type="gramEnd"/>
      <w:r w:rsidRPr="005B6D4B">
        <w:rPr>
          <w:sz w:val="22"/>
          <w:szCs w:val="22"/>
        </w:rPr>
        <w:t xml:space="preserve"> a to po zjištění jeho citlivosti k dané účinné látce.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4.3</w:t>
      </w:r>
      <w:r w:rsidRPr="005B6D4B">
        <w:rPr>
          <w:b/>
          <w:sz w:val="22"/>
          <w:szCs w:val="22"/>
        </w:rPr>
        <w:tab/>
        <w:t>Kontraindikace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Neaplikovat u psů s perforovaným ušním bubínkem.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Neaplikovat, jestliže je známa přecitlivělost na výše uvedené léčivé látky.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Neaplikovat březím a kojícím fenám.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4.4</w:t>
      </w:r>
      <w:r w:rsidRPr="005B6D4B">
        <w:rPr>
          <w:b/>
          <w:sz w:val="22"/>
          <w:szCs w:val="22"/>
        </w:rPr>
        <w:tab/>
        <w:t>Zvláštní upozornění pro každý cílový druh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Bakteriální a kvasinkové otitidy jsou ve skutečnosti často sekundární. Měla by být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identifikována a léčena základní příčina.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4.5</w:t>
      </w:r>
      <w:r w:rsidRPr="005B6D4B">
        <w:rPr>
          <w:b/>
          <w:sz w:val="22"/>
          <w:szCs w:val="22"/>
        </w:rPr>
        <w:tab/>
        <w:t>Zvláštní opatření pro použití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  <w:u w:val="single"/>
        </w:rPr>
      </w:pPr>
      <w:r w:rsidRPr="005B6D4B">
        <w:rPr>
          <w:sz w:val="22"/>
          <w:szCs w:val="22"/>
          <w:u w:val="single"/>
        </w:rPr>
        <w:t>Zvláštní opatření pro použití u zvířat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Přípravek má indikační omezení tzn., že smí být aplikován pouze na základě diagnostikování původce </w:t>
      </w:r>
      <w:proofErr w:type="gramStart"/>
      <w:r w:rsidRPr="005B6D4B">
        <w:rPr>
          <w:sz w:val="22"/>
          <w:szCs w:val="22"/>
        </w:rPr>
        <w:t>onemocnění</w:t>
      </w:r>
      <w:proofErr w:type="gramEnd"/>
      <w:r w:rsidRPr="005B6D4B">
        <w:rPr>
          <w:sz w:val="22"/>
          <w:szCs w:val="22"/>
        </w:rPr>
        <w:t xml:space="preserve"> a to po zjištění jeho citlivosti k dané účinné látce a rezistence k běžným antibiotikům.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Zevní zvukovod by měl být před vlastním ošetřením vyčištěn a vysušen.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keepNext/>
        <w:rPr>
          <w:sz w:val="22"/>
          <w:szCs w:val="22"/>
          <w:u w:val="single"/>
        </w:rPr>
      </w:pPr>
      <w:r w:rsidRPr="005B6D4B">
        <w:rPr>
          <w:sz w:val="22"/>
          <w:szCs w:val="22"/>
          <w:u w:val="single"/>
        </w:rPr>
        <w:lastRenderedPageBreak/>
        <w:t>Zvláštní opatření určené osobám, které podávají veterinární léčivý přípravek zvířatům</w:t>
      </w:r>
    </w:p>
    <w:p w:rsidR="00816F4C" w:rsidRPr="005B6D4B" w:rsidRDefault="00816F4C" w:rsidP="00816F4C">
      <w:pPr>
        <w:keepNext/>
        <w:rPr>
          <w:sz w:val="22"/>
          <w:szCs w:val="22"/>
        </w:rPr>
      </w:pPr>
      <w:r w:rsidRPr="005B6D4B">
        <w:rPr>
          <w:sz w:val="22"/>
          <w:szCs w:val="22"/>
        </w:rPr>
        <w:t xml:space="preserve">Vyhněte se kontaktu přípravku s očima. </w:t>
      </w:r>
    </w:p>
    <w:p w:rsidR="00816F4C" w:rsidRPr="005B6D4B" w:rsidRDefault="00816F4C" w:rsidP="00816F4C">
      <w:pPr>
        <w:pStyle w:val="Zkladntext"/>
        <w:keepNext/>
        <w:rPr>
          <w:sz w:val="22"/>
          <w:szCs w:val="22"/>
        </w:rPr>
      </w:pPr>
      <w:r w:rsidRPr="005B6D4B">
        <w:rPr>
          <w:sz w:val="22"/>
          <w:szCs w:val="22"/>
        </w:rPr>
        <w:t>Při náhodném zasažení očí je ihned vypláchněte velkým množstvím vody. Pokud podráždění přetrvává, nebo v případě náhodného požití, vyhledejte lékařskou pomoc a ukažte příbalovou informaci nebo etiketu praktickému lékaři.</w:t>
      </w:r>
    </w:p>
    <w:p w:rsidR="00816F4C" w:rsidRPr="005B6D4B" w:rsidRDefault="00816F4C" w:rsidP="00816F4C">
      <w:pPr>
        <w:keepNext/>
        <w:rPr>
          <w:sz w:val="22"/>
          <w:szCs w:val="22"/>
        </w:rPr>
      </w:pPr>
      <w:r w:rsidRPr="005B6D4B">
        <w:rPr>
          <w:sz w:val="22"/>
          <w:szCs w:val="22"/>
        </w:rPr>
        <w:t>Lidé se známou přecitlivělostí k </w:t>
      </w:r>
      <w:proofErr w:type="spellStart"/>
      <w:r w:rsidRPr="005B6D4B">
        <w:rPr>
          <w:sz w:val="22"/>
          <w:szCs w:val="22"/>
        </w:rPr>
        <w:t>fluorochinolonům</w:t>
      </w:r>
      <w:proofErr w:type="spellEnd"/>
      <w:r w:rsidRPr="005B6D4B">
        <w:rPr>
          <w:sz w:val="22"/>
          <w:szCs w:val="22"/>
        </w:rPr>
        <w:t xml:space="preserve"> nebo kterékoliv složce přípravku by se měli vyhnout kontaktu s veterinárním léčivým přípravkem.</w:t>
      </w:r>
    </w:p>
    <w:p w:rsidR="00816F4C" w:rsidRPr="005B6D4B" w:rsidRDefault="00816F4C" w:rsidP="00816F4C">
      <w:pPr>
        <w:keepNext/>
        <w:rPr>
          <w:sz w:val="22"/>
          <w:szCs w:val="22"/>
        </w:rPr>
      </w:pPr>
      <w:r w:rsidRPr="005B6D4B">
        <w:rPr>
          <w:sz w:val="22"/>
          <w:szCs w:val="22"/>
        </w:rPr>
        <w:t>Po použití si umyjte ruce.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4.6</w:t>
      </w:r>
      <w:r w:rsidRPr="005B6D4B">
        <w:rPr>
          <w:b/>
          <w:sz w:val="22"/>
          <w:szCs w:val="22"/>
        </w:rPr>
        <w:tab/>
        <w:t>Nežádoucí účinky (frekvence a závažnost)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Mohou se vyskytnout klasické nežádoucí účinky na použití kortikosteroidů (poruchy biochemických a hematologických parametrů jako je zvýšení alkalické fosfatázy, </w:t>
      </w:r>
      <w:proofErr w:type="spellStart"/>
      <w:r w:rsidRPr="005B6D4B">
        <w:rPr>
          <w:sz w:val="22"/>
          <w:szCs w:val="22"/>
        </w:rPr>
        <w:t>aminotransferázy</w:t>
      </w:r>
      <w:proofErr w:type="spellEnd"/>
      <w:r w:rsidRPr="005B6D4B">
        <w:rPr>
          <w:sz w:val="22"/>
          <w:szCs w:val="22"/>
        </w:rPr>
        <w:t xml:space="preserve">, nebo také omezená </w:t>
      </w:r>
      <w:proofErr w:type="spellStart"/>
      <w:r w:rsidRPr="005B6D4B">
        <w:rPr>
          <w:sz w:val="22"/>
          <w:szCs w:val="22"/>
        </w:rPr>
        <w:t>neutrofilie</w:t>
      </w:r>
      <w:proofErr w:type="spellEnd"/>
      <w:r w:rsidRPr="005B6D4B">
        <w:rPr>
          <w:sz w:val="22"/>
          <w:szCs w:val="22"/>
        </w:rPr>
        <w:t>), tyto však nejsou doprovázeny klinickými symptomy.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Dlouhodobě intenzivní používání topických kortikosteroidů může mít obecně známé  lokální a systémové následky jako je potlačení adrenálních funkcí, ztenčení kůže a zpomalení hojení ran.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Ve velmi vzácných případech může být pozorována polydipsie nebo polyurie.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Ve vzácných případech, u starých psů, může být použití přípravku doprovázeno hluchotou, většinou přechodnou.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Četnost nežádoucích účinků je charakterizována podle následujících pravidel: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- velmi časté (nežádoucí účinek(</w:t>
      </w:r>
      <w:proofErr w:type="spellStart"/>
      <w:r w:rsidRPr="005B6D4B">
        <w:rPr>
          <w:sz w:val="22"/>
          <w:szCs w:val="22"/>
        </w:rPr>
        <w:t>nky</w:t>
      </w:r>
      <w:proofErr w:type="spellEnd"/>
      <w:r w:rsidRPr="005B6D4B">
        <w:rPr>
          <w:sz w:val="22"/>
          <w:szCs w:val="22"/>
        </w:rPr>
        <w:t>) se projevil(y) u více než 1 z 10 ošetřených zvířat)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- časté (u více než 1, ale méně než 10 ze 100 ošetřených zvířat)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- neobvyklé (u více než 1, ale méně než 10 z 1 000 ošetřených zvířat)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- vzácné (u více než 1, ale méně než 10 z 10 000 ošetřených zvířat)</w:t>
      </w: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- velmi vzácné (u méně než 1 z 10 000 ošetřených zvířat, včetně ojedinělých hlášení).</w:t>
      </w:r>
    </w:p>
    <w:p w:rsidR="00816F4C" w:rsidRPr="005B6D4B" w:rsidRDefault="00816F4C" w:rsidP="00816F4C">
      <w:pPr>
        <w:rPr>
          <w:b/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4.7</w:t>
      </w:r>
      <w:r w:rsidRPr="005B6D4B">
        <w:rPr>
          <w:b/>
          <w:sz w:val="22"/>
          <w:szCs w:val="22"/>
        </w:rPr>
        <w:tab/>
        <w:t>Použití v průběhu březosti, laktace nebo snášky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Neaplikovat u březích a kojících fen.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4.8</w:t>
      </w:r>
      <w:r w:rsidRPr="005B6D4B">
        <w:rPr>
          <w:b/>
          <w:sz w:val="22"/>
          <w:szCs w:val="22"/>
        </w:rPr>
        <w:tab/>
        <w:t>Interakce s dalšími léčivými přípravky a další formy interakce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Nejsou známy.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4.9</w:t>
      </w:r>
      <w:r w:rsidRPr="005B6D4B">
        <w:rPr>
          <w:b/>
          <w:sz w:val="22"/>
          <w:szCs w:val="22"/>
        </w:rPr>
        <w:tab/>
        <w:t>Podávané množství a způsob podání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K ušnímu podání do zevního zvukovodu.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iCs/>
          <w:sz w:val="22"/>
          <w:szCs w:val="22"/>
        </w:rPr>
      </w:pPr>
      <w:r w:rsidRPr="005B6D4B">
        <w:rPr>
          <w:iCs/>
          <w:sz w:val="22"/>
          <w:szCs w:val="22"/>
        </w:rPr>
        <w:t>Obecná dávka  je 10 kapek do zevního zvukovodu psa 1krát denně po dobu 7 až 14 dnů.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Před použitím protřepat!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Po 7 dnech aplikace je nutná kontrola veterinárním  lékařem, aby rozhodl o případném prodloužení ošetření o další týden.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Jedna kapka přípravku obsahuje 71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  </w:t>
      </w:r>
      <w:proofErr w:type="spellStart"/>
      <w:r w:rsidRPr="005B6D4B">
        <w:rPr>
          <w:bCs/>
          <w:sz w:val="22"/>
          <w:szCs w:val="22"/>
        </w:rPr>
        <w:t>marbofloxacinu</w:t>
      </w:r>
      <w:proofErr w:type="spellEnd"/>
      <w:r w:rsidRPr="005B6D4B">
        <w:rPr>
          <w:sz w:val="22"/>
          <w:szCs w:val="22"/>
        </w:rPr>
        <w:t xml:space="preserve">, 237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  </w:t>
      </w:r>
      <w:proofErr w:type="spellStart"/>
      <w:r w:rsidRPr="005B6D4B">
        <w:rPr>
          <w:bCs/>
          <w:sz w:val="22"/>
          <w:szCs w:val="22"/>
        </w:rPr>
        <w:t>clotrimazolu</w:t>
      </w:r>
      <w:proofErr w:type="spellEnd"/>
      <w:r w:rsidRPr="005B6D4B">
        <w:rPr>
          <w:sz w:val="22"/>
          <w:szCs w:val="22"/>
        </w:rPr>
        <w:t xml:space="preserve"> a 23,7 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 </w:t>
      </w:r>
      <w:proofErr w:type="spellStart"/>
      <w:r w:rsidRPr="005B6D4B">
        <w:rPr>
          <w:bCs/>
          <w:sz w:val="22"/>
          <w:szCs w:val="22"/>
        </w:rPr>
        <w:t>dexamethason</w:t>
      </w:r>
      <w:proofErr w:type="spellEnd"/>
      <w:r w:rsidRPr="005B6D4B">
        <w:rPr>
          <w:bCs/>
          <w:sz w:val="22"/>
          <w:szCs w:val="22"/>
        </w:rPr>
        <w:t xml:space="preserve"> acetátu</w:t>
      </w:r>
      <w:r w:rsidRPr="005B6D4B">
        <w:rPr>
          <w:sz w:val="22"/>
          <w:szCs w:val="22"/>
        </w:rPr>
        <w:t>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Po aplikaci ušní bázi krátce a jemně promasírovat a tím se ušní kapky rychleji dostanou do ušního kanálu. V případě, že přípravek je používán u více psů, je nutné použít pro každého psa jednu kanylu.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4.10</w:t>
      </w:r>
      <w:r w:rsidRPr="005B6D4B">
        <w:rPr>
          <w:b/>
          <w:sz w:val="22"/>
          <w:szCs w:val="22"/>
        </w:rPr>
        <w:tab/>
        <w:t xml:space="preserve">Předávkování (symptomy, první pomoc, </w:t>
      </w:r>
      <w:proofErr w:type="spellStart"/>
      <w:r w:rsidRPr="005B6D4B">
        <w:rPr>
          <w:b/>
          <w:sz w:val="22"/>
          <w:szCs w:val="22"/>
        </w:rPr>
        <w:t>antidota</w:t>
      </w:r>
      <w:proofErr w:type="spellEnd"/>
      <w:r w:rsidRPr="005B6D4B">
        <w:rPr>
          <w:b/>
          <w:sz w:val="22"/>
          <w:szCs w:val="22"/>
        </w:rPr>
        <w:t>), pokud je to nutné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Změny hematologických a biochemických parametrů (jako je zvýšení fosfatázy, </w:t>
      </w:r>
      <w:proofErr w:type="spellStart"/>
      <w:r w:rsidRPr="005B6D4B">
        <w:rPr>
          <w:sz w:val="22"/>
          <w:szCs w:val="22"/>
        </w:rPr>
        <w:t>aminotransferázy</w:t>
      </w:r>
      <w:proofErr w:type="spellEnd"/>
      <w:r w:rsidRPr="005B6D4B">
        <w:rPr>
          <w:sz w:val="22"/>
          <w:szCs w:val="22"/>
        </w:rPr>
        <w:t xml:space="preserve">, omezené </w:t>
      </w:r>
      <w:proofErr w:type="spellStart"/>
      <w:r w:rsidRPr="005B6D4B">
        <w:rPr>
          <w:sz w:val="22"/>
          <w:szCs w:val="22"/>
        </w:rPr>
        <w:t>neutofilie</w:t>
      </w:r>
      <w:proofErr w:type="spellEnd"/>
      <w:r w:rsidRPr="005B6D4B">
        <w:rPr>
          <w:sz w:val="22"/>
          <w:szCs w:val="22"/>
        </w:rPr>
        <w:t xml:space="preserve">, </w:t>
      </w:r>
      <w:proofErr w:type="spellStart"/>
      <w:r w:rsidRPr="005B6D4B">
        <w:rPr>
          <w:sz w:val="22"/>
          <w:szCs w:val="22"/>
        </w:rPr>
        <w:t>eosinopenie</w:t>
      </w:r>
      <w:proofErr w:type="spellEnd"/>
      <w:r w:rsidRPr="005B6D4B">
        <w:rPr>
          <w:sz w:val="22"/>
          <w:szCs w:val="22"/>
        </w:rPr>
        <w:t>, leukopenie) byly pozorovány až po podání trojnásobné dávky, tyto změny nejsou závažné a jsou reversibilní s ukončením terapie.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4.11</w:t>
      </w:r>
      <w:r w:rsidRPr="005B6D4B">
        <w:rPr>
          <w:b/>
          <w:sz w:val="22"/>
          <w:szCs w:val="22"/>
        </w:rPr>
        <w:tab/>
        <w:t>Ochranná(é) lhůta(y)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Není určeno pro potravinová zvířata.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keepNext/>
        <w:rPr>
          <w:sz w:val="22"/>
          <w:szCs w:val="22"/>
        </w:rPr>
      </w:pPr>
      <w:r w:rsidRPr="005B6D4B">
        <w:rPr>
          <w:b/>
          <w:sz w:val="22"/>
          <w:szCs w:val="22"/>
        </w:rPr>
        <w:t>5.</w:t>
      </w:r>
      <w:r w:rsidRPr="005B6D4B">
        <w:rPr>
          <w:b/>
          <w:sz w:val="22"/>
          <w:szCs w:val="22"/>
        </w:rPr>
        <w:tab/>
        <w:t>FARMAKOLOGICKÉ VLASTNOSTI</w:t>
      </w:r>
    </w:p>
    <w:p w:rsidR="00816F4C" w:rsidRPr="005B6D4B" w:rsidRDefault="00816F4C" w:rsidP="00816F4C">
      <w:pPr>
        <w:keepNext/>
        <w:rPr>
          <w:sz w:val="22"/>
          <w:szCs w:val="22"/>
        </w:rPr>
      </w:pPr>
    </w:p>
    <w:p w:rsidR="00816F4C" w:rsidRPr="005B6D4B" w:rsidRDefault="00816F4C" w:rsidP="00816F4C">
      <w:pPr>
        <w:keepNext/>
        <w:rPr>
          <w:sz w:val="22"/>
          <w:szCs w:val="22"/>
        </w:rPr>
      </w:pPr>
      <w:r w:rsidRPr="005B6D4B">
        <w:rPr>
          <w:sz w:val="22"/>
          <w:szCs w:val="22"/>
        </w:rPr>
        <w:t xml:space="preserve">Farmakoterapeutická skupina: </w:t>
      </w:r>
      <w:proofErr w:type="spellStart"/>
      <w:r w:rsidRPr="005B6D4B">
        <w:rPr>
          <w:sz w:val="22"/>
          <w:szCs w:val="22"/>
        </w:rPr>
        <w:t>otologika</w:t>
      </w:r>
      <w:proofErr w:type="spellEnd"/>
      <w:r w:rsidRPr="005B6D4B">
        <w:rPr>
          <w:sz w:val="22"/>
          <w:szCs w:val="22"/>
        </w:rPr>
        <w:t xml:space="preserve">, kortikosteroidy a </w:t>
      </w:r>
      <w:proofErr w:type="spellStart"/>
      <w:r w:rsidRPr="005B6D4B">
        <w:rPr>
          <w:sz w:val="22"/>
          <w:szCs w:val="22"/>
        </w:rPr>
        <w:t>antiinfektiva</w:t>
      </w:r>
      <w:proofErr w:type="spellEnd"/>
      <w:r w:rsidRPr="005B6D4B">
        <w:rPr>
          <w:sz w:val="22"/>
          <w:szCs w:val="22"/>
        </w:rPr>
        <w:t xml:space="preserve"> v kombinaci.</w:t>
      </w:r>
    </w:p>
    <w:p w:rsidR="00816F4C" w:rsidRPr="005B6D4B" w:rsidRDefault="00816F4C" w:rsidP="00816F4C">
      <w:pPr>
        <w:rPr>
          <w:sz w:val="22"/>
          <w:szCs w:val="22"/>
        </w:rPr>
      </w:pPr>
      <w:proofErr w:type="spellStart"/>
      <w:r w:rsidRPr="005B6D4B">
        <w:rPr>
          <w:sz w:val="22"/>
          <w:szCs w:val="22"/>
        </w:rPr>
        <w:t>ATCvet</w:t>
      </w:r>
      <w:proofErr w:type="spellEnd"/>
      <w:r w:rsidRPr="005B6D4B">
        <w:rPr>
          <w:sz w:val="22"/>
          <w:szCs w:val="22"/>
        </w:rPr>
        <w:t xml:space="preserve"> kód: QS02CA06.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5.1</w:t>
      </w:r>
      <w:r w:rsidRPr="005B6D4B">
        <w:rPr>
          <w:b/>
          <w:sz w:val="22"/>
          <w:szCs w:val="22"/>
        </w:rPr>
        <w:tab/>
        <w:t>Farmakodynamické vlastnosti</w:t>
      </w:r>
    </w:p>
    <w:p w:rsidR="00816F4C" w:rsidRPr="005B6D4B" w:rsidRDefault="00816F4C" w:rsidP="00816F4C">
      <w:pPr>
        <w:rPr>
          <w:b/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b/>
          <w:bCs/>
          <w:iCs/>
          <w:sz w:val="22"/>
          <w:szCs w:val="22"/>
        </w:rPr>
        <w:t>Marbofloxacin</w:t>
      </w:r>
      <w:proofErr w:type="spellEnd"/>
      <w:r w:rsidRPr="005B6D4B">
        <w:rPr>
          <w:sz w:val="22"/>
          <w:szCs w:val="22"/>
        </w:rPr>
        <w:t xml:space="preserve"> je syntetické antibiotikum patřící do skupiny </w:t>
      </w:r>
      <w:proofErr w:type="spellStart"/>
      <w:r w:rsidRPr="005B6D4B">
        <w:rPr>
          <w:sz w:val="22"/>
          <w:szCs w:val="22"/>
        </w:rPr>
        <w:t>fluorochinolonů</w:t>
      </w:r>
      <w:proofErr w:type="spellEnd"/>
      <w:r w:rsidRPr="005B6D4B">
        <w:rPr>
          <w:sz w:val="22"/>
          <w:szCs w:val="22"/>
        </w:rPr>
        <w:t>. Mechanismem jeho účinku je inhibice DNA-</w:t>
      </w:r>
      <w:proofErr w:type="spellStart"/>
      <w:r w:rsidRPr="005B6D4B">
        <w:rPr>
          <w:sz w:val="22"/>
          <w:szCs w:val="22"/>
        </w:rPr>
        <w:t>gyrázy</w:t>
      </w:r>
      <w:proofErr w:type="spellEnd"/>
      <w:r w:rsidRPr="005B6D4B">
        <w:rPr>
          <w:sz w:val="22"/>
          <w:szCs w:val="22"/>
        </w:rPr>
        <w:t xml:space="preserve">. Jeho široké spektrum účinku zahrnuje </w:t>
      </w:r>
      <w:proofErr w:type="spellStart"/>
      <w:r w:rsidRPr="005B6D4B">
        <w:rPr>
          <w:sz w:val="22"/>
          <w:szCs w:val="22"/>
        </w:rPr>
        <w:t>grampozitivní</w:t>
      </w:r>
      <w:proofErr w:type="spellEnd"/>
      <w:r w:rsidRPr="005B6D4B">
        <w:rPr>
          <w:sz w:val="22"/>
          <w:szCs w:val="22"/>
        </w:rPr>
        <w:t xml:space="preserve"> bakterie (např. </w:t>
      </w:r>
      <w:proofErr w:type="spellStart"/>
      <w:r w:rsidRPr="005B6D4B">
        <w:rPr>
          <w:i/>
          <w:iCs/>
          <w:sz w:val="22"/>
          <w:szCs w:val="22"/>
        </w:rPr>
        <w:t>Staphylococcus</w:t>
      </w:r>
      <w:proofErr w:type="spellEnd"/>
      <w:r w:rsidRPr="005B6D4B">
        <w:rPr>
          <w:i/>
          <w:iCs/>
          <w:sz w:val="22"/>
          <w:szCs w:val="22"/>
        </w:rPr>
        <w:t xml:space="preserve"> </w:t>
      </w:r>
      <w:proofErr w:type="spellStart"/>
      <w:r w:rsidRPr="005B6D4B">
        <w:rPr>
          <w:i/>
          <w:iCs/>
          <w:sz w:val="22"/>
          <w:szCs w:val="22"/>
        </w:rPr>
        <w:t>intermedius</w:t>
      </w:r>
      <w:proofErr w:type="spellEnd"/>
      <w:r w:rsidRPr="005B6D4B">
        <w:rPr>
          <w:i/>
          <w:iCs/>
          <w:sz w:val="22"/>
          <w:szCs w:val="22"/>
        </w:rPr>
        <w:t>)</w:t>
      </w:r>
      <w:r w:rsidRPr="005B6D4B">
        <w:rPr>
          <w:sz w:val="22"/>
          <w:szCs w:val="22"/>
        </w:rPr>
        <w:t xml:space="preserve"> a gramnegativní bakterie (např. </w:t>
      </w:r>
      <w:proofErr w:type="spellStart"/>
      <w:r w:rsidRPr="005B6D4B">
        <w:rPr>
          <w:i/>
          <w:iCs/>
          <w:sz w:val="22"/>
          <w:szCs w:val="22"/>
        </w:rPr>
        <w:t>Escherichia</w:t>
      </w:r>
      <w:proofErr w:type="spellEnd"/>
      <w:r w:rsidRPr="005B6D4B">
        <w:rPr>
          <w:i/>
          <w:iCs/>
          <w:sz w:val="22"/>
          <w:szCs w:val="22"/>
        </w:rPr>
        <w:t xml:space="preserve"> </w:t>
      </w:r>
      <w:proofErr w:type="gramStart"/>
      <w:r w:rsidRPr="005B6D4B">
        <w:rPr>
          <w:i/>
          <w:iCs/>
          <w:sz w:val="22"/>
          <w:szCs w:val="22"/>
        </w:rPr>
        <w:t>coli,  Proteus</w:t>
      </w:r>
      <w:proofErr w:type="gramEnd"/>
      <w:r w:rsidRPr="005B6D4B">
        <w:rPr>
          <w:i/>
          <w:iCs/>
          <w:sz w:val="22"/>
          <w:szCs w:val="22"/>
        </w:rPr>
        <w:t xml:space="preserve"> </w:t>
      </w:r>
      <w:proofErr w:type="spellStart"/>
      <w:r w:rsidRPr="005B6D4B">
        <w:rPr>
          <w:i/>
          <w:iCs/>
          <w:sz w:val="22"/>
          <w:szCs w:val="22"/>
        </w:rPr>
        <w:t>mirabilis</w:t>
      </w:r>
      <w:proofErr w:type="spellEnd"/>
      <w:r w:rsidRPr="005B6D4B">
        <w:rPr>
          <w:i/>
          <w:iCs/>
          <w:sz w:val="22"/>
          <w:szCs w:val="22"/>
        </w:rPr>
        <w:t xml:space="preserve">, </w:t>
      </w:r>
      <w:proofErr w:type="spellStart"/>
      <w:r w:rsidRPr="005B6D4B">
        <w:rPr>
          <w:i/>
          <w:iCs/>
          <w:sz w:val="22"/>
          <w:szCs w:val="22"/>
        </w:rPr>
        <w:t>Pseudomonas</w:t>
      </w:r>
      <w:proofErr w:type="spellEnd"/>
      <w:r w:rsidRPr="005B6D4B">
        <w:rPr>
          <w:i/>
          <w:iCs/>
          <w:sz w:val="22"/>
          <w:szCs w:val="22"/>
        </w:rPr>
        <w:t xml:space="preserve"> </w:t>
      </w:r>
      <w:proofErr w:type="spellStart"/>
      <w:r w:rsidRPr="005B6D4B">
        <w:rPr>
          <w:i/>
          <w:iCs/>
          <w:sz w:val="22"/>
          <w:szCs w:val="22"/>
        </w:rPr>
        <w:t>aeruginosa</w:t>
      </w:r>
      <w:proofErr w:type="spellEnd"/>
      <w:r w:rsidRPr="005B6D4B">
        <w:rPr>
          <w:i/>
          <w:iCs/>
          <w:sz w:val="22"/>
          <w:szCs w:val="22"/>
        </w:rPr>
        <w:t>)</w:t>
      </w:r>
      <w:r w:rsidRPr="005B6D4B">
        <w:rPr>
          <w:sz w:val="22"/>
          <w:szCs w:val="22"/>
        </w:rPr>
        <w:t>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b/>
          <w:bCs/>
          <w:iCs/>
          <w:sz w:val="22"/>
          <w:szCs w:val="22"/>
        </w:rPr>
        <w:t>Clotrimazol</w:t>
      </w:r>
      <w:proofErr w:type="spellEnd"/>
      <w:r w:rsidRPr="005B6D4B">
        <w:rPr>
          <w:sz w:val="22"/>
          <w:szCs w:val="22"/>
        </w:rPr>
        <w:t xml:space="preserve"> je antimykotikum ze skupiny imidazolů narušující permeabilitu membrán, a tím dochází  k úniku intracelulárního obsahu s následnou inhibicí molekulární syntézy. Spektrum účinku je široké, především kvasinky </w:t>
      </w:r>
      <w:proofErr w:type="spellStart"/>
      <w:r w:rsidRPr="005B6D4B">
        <w:rPr>
          <w:i/>
          <w:iCs/>
          <w:sz w:val="22"/>
          <w:szCs w:val="22"/>
        </w:rPr>
        <w:t>Malassezia</w:t>
      </w:r>
      <w:proofErr w:type="spellEnd"/>
      <w:r w:rsidRPr="005B6D4B">
        <w:rPr>
          <w:i/>
          <w:iCs/>
          <w:sz w:val="22"/>
          <w:szCs w:val="22"/>
        </w:rPr>
        <w:t xml:space="preserve"> </w:t>
      </w:r>
      <w:proofErr w:type="spellStart"/>
      <w:r w:rsidRPr="005B6D4B">
        <w:rPr>
          <w:i/>
          <w:iCs/>
          <w:sz w:val="22"/>
          <w:szCs w:val="22"/>
        </w:rPr>
        <w:t>pachydermatis</w:t>
      </w:r>
      <w:proofErr w:type="spellEnd"/>
      <w:r w:rsidRPr="005B6D4B">
        <w:rPr>
          <w:sz w:val="22"/>
          <w:szCs w:val="22"/>
        </w:rPr>
        <w:t>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b/>
          <w:bCs/>
          <w:iCs/>
          <w:sz w:val="22"/>
          <w:szCs w:val="22"/>
        </w:rPr>
        <w:t>Dexamethason</w:t>
      </w:r>
      <w:proofErr w:type="spellEnd"/>
      <w:r w:rsidRPr="005B6D4B">
        <w:rPr>
          <w:b/>
          <w:bCs/>
          <w:iCs/>
          <w:sz w:val="22"/>
          <w:szCs w:val="22"/>
        </w:rPr>
        <w:t xml:space="preserve"> acetát</w:t>
      </w:r>
      <w:r w:rsidRPr="005B6D4B">
        <w:rPr>
          <w:sz w:val="22"/>
          <w:szCs w:val="22"/>
        </w:rPr>
        <w:t xml:space="preserve"> je syntetický glukokortikoid, který působí protizánětlivě a proti svědění.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5.2</w:t>
      </w:r>
      <w:r w:rsidRPr="005B6D4B">
        <w:rPr>
          <w:b/>
          <w:sz w:val="22"/>
          <w:szCs w:val="22"/>
        </w:rPr>
        <w:tab/>
        <w:t>Farmakokinetické údaje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Farmakokinetické studie u psů v terapeutických dávkách prokázaly že: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b/>
          <w:sz w:val="22"/>
          <w:szCs w:val="22"/>
        </w:rPr>
        <w:t>Marbofloxacin</w:t>
      </w:r>
      <w:proofErr w:type="spellEnd"/>
      <w:r w:rsidRPr="005B6D4B">
        <w:rPr>
          <w:sz w:val="22"/>
          <w:szCs w:val="22"/>
        </w:rPr>
        <w:t xml:space="preserve"> dosáhl u psů maximální koncentrace v plasmě 0,06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/ml, 14.den od začátku ošetření. Pouze nepatrná část </w:t>
      </w:r>
      <w:proofErr w:type="spellStart"/>
      <w:r w:rsidRPr="005B6D4B">
        <w:rPr>
          <w:sz w:val="22"/>
          <w:szCs w:val="22"/>
        </w:rPr>
        <w:t>marbofloxacinu</w:t>
      </w:r>
      <w:proofErr w:type="spellEnd"/>
      <w:r w:rsidRPr="005B6D4B">
        <w:rPr>
          <w:sz w:val="22"/>
          <w:szCs w:val="22"/>
        </w:rPr>
        <w:t xml:space="preserve"> se váže na proteiny v </w:t>
      </w:r>
      <w:proofErr w:type="gramStart"/>
      <w:r w:rsidRPr="005B6D4B">
        <w:rPr>
          <w:sz w:val="22"/>
          <w:szCs w:val="22"/>
        </w:rPr>
        <w:t>plazmě  (</w:t>
      </w:r>
      <w:proofErr w:type="gramEnd"/>
      <w:r w:rsidRPr="005B6D4B">
        <w:rPr>
          <w:sz w:val="22"/>
          <w:szCs w:val="22"/>
        </w:rPr>
        <w:t xml:space="preserve"> u psů méně než 10%). </w:t>
      </w:r>
      <w:proofErr w:type="spellStart"/>
      <w:r w:rsidRPr="005B6D4B">
        <w:rPr>
          <w:sz w:val="22"/>
          <w:szCs w:val="22"/>
        </w:rPr>
        <w:t>Marbofloxacin</w:t>
      </w:r>
      <w:proofErr w:type="spellEnd"/>
      <w:r w:rsidRPr="005B6D4B">
        <w:rPr>
          <w:sz w:val="22"/>
          <w:szCs w:val="22"/>
        </w:rPr>
        <w:t xml:space="preserve"> je jen velmi pomalu vylučován v aktivní formě močí ze 2/3 a trusem z 1/3.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b/>
          <w:bCs/>
          <w:iCs/>
          <w:sz w:val="22"/>
          <w:szCs w:val="22"/>
        </w:rPr>
        <w:t>Clotrimazol</w:t>
      </w:r>
      <w:proofErr w:type="spellEnd"/>
      <w:r w:rsidRPr="005B6D4B">
        <w:rPr>
          <w:sz w:val="22"/>
          <w:szCs w:val="22"/>
        </w:rPr>
        <w:t xml:space="preserve"> se jen velmi slabě vstřebává (jeho koncentrace v plazmě </w:t>
      </w:r>
      <w:proofErr w:type="gramStart"/>
      <w:r w:rsidRPr="005B6D4B">
        <w:rPr>
          <w:sz w:val="22"/>
          <w:szCs w:val="22"/>
        </w:rPr>
        <w:t>je  &lt;</w:t>
      </w:r>
      <w:proofErr w:type="gramEnd"/>
      <w:r w:rsidRPr="005B6D4B">
        <w:rPr>
          <w:sz w:val="22"/>
          <w:szCs w:val="22"/>
        </w:rPr>
        <w:t xml:space="preserve"> 0,04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/ml). </w:t>
      </w:r>
    </w:p>
    <w:p w:rsidR="00816F4C" w:rsidRPr="005B6D4B" w:rsidRDefault="00816F4C" w:rsidP="00816F4C">
      <w:pPr>
        <w:rPr>
          <w:sz w:val="22"/>
          <w:szCs w:val="22"/>
        </w:rPr>
      </w:pPr>
      <w:proofErr w:type="spellStart"/>
      <w:r w:rsidRPr="005B6D4B">
        <w:rPr>
          <w:b/>
          <w:bCs/>
          <w:iCs/>
          <w:sz w:val="22"/>
          <w:szCs w:val="22"/>
        </w:rPr>
        <w:t>Dexamethason</w:t>
      </w:r>
      <w:proofErr w:type="spellEnd"/>
      <w:r w:rsidRPr="005B6D4B">
        <w:rPr>
          <w:b/>
          <w:bCs/>
          <w:iCs/>
          <w:sz w:val="22"/>
          <w:szCs w:val="22"/>
        </w:rPr>
        <w:t xml:space="preserve"> acetát</w:t>
      </w:r>
      <w:r w:rsidRPr="005B6D4B">
        <w:rPr>
          <w:sz w:val="22"/>
          <w:szCs w:val="22"/>
        </w:rPr>
        <w:t xml:space="preserve"> je velmi rychle metabolizován na </w:t>
      </w:r>
      <w:proofErr w:type="spellStart"/>
      <w:r w:rsidRPr="005B6D4B">
        <w:rPr>
          <w:sz w:val="22"/>
          <w:szCs w:val="22"/>
        </w:rPr>
        <w:t>dexamethason</w:t>
      </w:r>
      <w:proofErr w:type="spellEnd"/>
      <w:r w:rsidRPr="005B6D4B">
        <w:rPr>
          <w:sz w:val="22"/>
          <w:szCs w:val="22"/>
        </w:rPr>
        <w:t xml:space="preserve">. Jeho koncentrace v plazmě dosahuje 14.den od začátku ošetření  1,25 </w:t>
      </w:r>
      <w:proofErr w:type="spellStart"/>
      <w:r w:rsidRPr="005B6D4B">
        <w:rPr>
          <w:sz w:val="22"/>
          <w:szCs w:val="22"/>
        </w:rPr>
        <w:t>μg</w:t>
      </w:r>
      <w:proofErr w:type="spellEnd"/>
      <w:r w:rsidRPr="005B6D4B">
        <w:rPr>
          <w:sz w:val="22"/>
          <w:szCs w:val="22"/>
        </w:rPr>
        <w:t xml:space="preserve">/ml. Absorpce </w:t>
      </w:r>
      <w:proofErr w:type="spellStart"/>
      <w:r w:rsidRPr="005B6D4B">
        <w:rPr>
          <w:sz w:val="22"/>
          <w:szCs w:val="22"/>
        </w:rPr>
        <w:t>dexamethasonu</w:t>
      </w:r>
      <w:proofErr w:type="spellEnd"/>
      <w:r w:rsidRPr="005B6D4B">
        <w:rPr>
          <w:sz w:val="22"/>
          <w:szCs w:val="22"/>
        </w:rPr>
        <w:t xml:space="preserve"> se nezvyšuje zánětlivým procesem v uchu.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6.</w:t>
      </w:r>
      <w:r w:rsidRPr="005B6D4B">
        <w:rPr>
          <w:b/>
          <w:sz w:val="22"/>
          <w:szCs w:val="22"/>
        </w:rPr>
        <w:tab/>
        <w:t>FARMACEUTICKÉ ÚDAJE</w:t>
      </w:r>
    </w:p>
    <w:p w:rsidR="00816F4C" w:rsidRPr="005B6D4B" w:rsidRDefault="00816F4C" w:rsidP="00816F4C">
      <w:pPr>
        <w:rPr>
          <w:b/>
          <w:sz w:val="22"/>
          <w:szCs w:val="22"/>
        </w:rPr>
      </w:pPr>
    </w:p>
    <w:p w:rsidR="00816F4C" w:rsidRPr="005B6D4B" w:rsidRDefault="00816F4C" w:rsidP="00816F4C">
      <w:pPr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6.1</w:t>
      </w:r>
      <w:r w:rsidRPr="005B6D4B">
        <w:rPr>
          <w:b/>
          <w:sz w:val="22"/>
          <w:szCs w:val="22"/>
        </w:rPr>
        <w:tab/>
        <w:t>Seznam pomocných látek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Koloidní bezvodý oxid křemičitý 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proofErr w:type="spellStart"/>
      <w:r w:rsidRPr="005B6D4B">
        <w:rPr>
          <w:sz w:val="22"/>
          <w:szCs w:val="22"/>
        </w:rPr>
        <w:t>Sorbitan</w:t>
      </w:r>
      <w:proofErr w:type="spellEnd"/>
      <w:r w:rsidRPr="005B6D4B">
        <w:rPr>
          <w:sz w:val="22"/>
          <w:szCs w:val="22"/>
        </w:rPr>
        <w:t xml:space="preserve">-oleát 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Propyl-</w:t>
      </w:r>
      <w:proofErr w:type="spellStart"/>
      <w:r w:rsidRPr="005B6D4B">
        <w:rPr>
          <w:sz w:val="22"/>
          <w:szCs w:val="22"/>
        </w:rPr>
        <w:t>gallát</w:t>
      </w:r>
      <w:proofErr w:type="spellEnd"/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Nasycené </w:t>
      </w:r>
      <w:proofErr w:type="spellStart"/>
      <w:r w:rsidRPr="005B6D4B">
        <w:rPr>
          <w:sz w:val="22"/>
          <w:szCs w:val="22"/>
        </w:rPr>
        <w:t>triacylglyceroly</w:t>
      </w:r>
      <w:proofErr w:type="spellEnd"/>
      <w:r w:rsidRPr="005B6D4B">
        <w:rPr>
          <w:sz w:val="22"/>
          <w:szCs w:val="22"/>
        </w:rPr>
        <w:t xml:space="preserve"> se středním řetězcem </w:t>
      </w:r>
    </w:p>
    <w:p w:rsidR="00816F4C" w:rsidRPr="005B6D4B" w:rsidRDefault="00816F4C" w:rsidP="00816F4C">
      <w:pPr>
        <w:rPr>
          <w:b/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6.2</w:t>
      </w:r>
      <w:r w:rsidRPr="005B6D4B">
        <w:rPr>
          <w:b/>
          <w:sz w:val="22"/>
          <w:szCs w:val="22"/>
        </w:rPr>
        <w:tab/>
        <w:t>Hlavní inkompatibility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Neuplatňuje se.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6.3</w:t>
      </w:r>
      <w:r w:rsidRPr="005B6D4B">
        <w:rPr>
          <w:b/>
          <w:sz w:val="22"/>
          <w:szCs w:val="22"/>
        </w:rPr>
        <w:tab/>
        <w:t>Doba použitelnosti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>Doba použitelnosti veterinárního léčivého přípravku v neporušeném obalu: 2 roky.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>Doba použitelnosti po prvním otevření vnitřního obalu: 2 měsíce.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6.4</w:t>
      </w:r>
      <w:r w:rsidRPr="005B6D4B">
        <w:rPr>
          <w:b/>
          <w:sz w:val="22"/>
          <w:szCs w:val="22"/>
        </w:rPr>
        <w:tab/>
        <w:t>Zvláštní opatření pro uchovávání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 xml:space="preserve">Uchovávejte při teplotě do 25 </w:t>
      </w:r>
      <w:r w:rsidRPr="005B6D4B">
        <w:rPr>
          <w:sz w:val="22"/>
          <w:szCs w:val="22"/>
        </w:rPr>
        <w:sym w:font="Symbol" w:char="F0B0"/>
      </w:r>
      <w:r w:rsidRPr="005B6D4B">
        <w:rPr>
          <w:sz w:val="22"/>
          <w:szCs w:val="22"/>
        </w:rPr>
        <w:t>C.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6.5</w:t>
      </w:r>
      <w:r w:rsidRPr="005B6D4B">
        <w:rPr>
          <w:b/>
          <w:sz w:val="22"/>
          <w:szCs w:val="22"/>
        </w:rPr>
        <w:tab/>
        <w:t>Druh a složení vnitřního obalu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 xml:space="preserve">Lahvička s nástavcem pro nasazení kanyly a se šroubovacím uzávěrem z bílého polyetylenu, kanyla z průsvitného PVC. Vnější přebal papírová krabička. 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iCs/>
          <w:sz w:val="22"/>
          <w:szCs w:val="22"/>
        </w:rPr>
        <w:lastRenderedPageBreak/>
        <w:t>Velikosti balení:</w:t>
      </w:r>
      <w:r w:rsidRPr="005B6D4B">
        <w:rPr>
          <w:sz w:val="22"/>
          <w:szCs w:val="22"/>
        </w:rPr>
        <w:t xml:space="preserve"> 1 x 10 ml + 1 kanyla, 1 x 20 ml + 2 kanyly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Na trhu nemusí být všechny velikosti balení.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b/>
          <w:sz w:val="22"/>
          <w:szCs w:val="22"/>
        </w:rPr>
        <w:t>6.6</w:t>
      </w:r>
      <w:r w:rsidRPr="005B6D4B">
        <w:rPr>
          <w:sz w:val="22"/>
          <w:szCs w:val="22"/>
        </w:rPr>
        <w:tab/>
      </w:r>
      <w:r w:rsidRPr="005B6D4B">
        <w:rPr>
          <w:b/>
          <w:sz w:val="22"/>
          <w:szCs w:val="22"/>
        </w:rPr>
        <w:t xml:space="preserve">Zvláštní opatření pro zneškodňování nepoužitého veterinárního léčivého přípravku nebo odpadu, který pochází z tohoto přípravku 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10"/>
        <w:rPr>
          <w:i/>
          <w:sz w:val="22"/>
          <w:szCs w:val="22"/>
        </w:rPr>
      </w:pPr>
      <w:r w:rsidRPr="005B6D4B">
        <w:rPr>
          <w:sz w:val="22"/>
          <w:szCs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keepNext/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7.</w:t>
      </w:r>
      <w:r w:rsidRPr="005B6D4B">
        <w:rPr>
          <w:b/>
          <w:sz w:val="22"/>
          <w:szCs w:val="22"/>
        </w:rPr>
        <w:tab/>
        <w:t xml:space="preserve">DRŽITEL ROZHODNUTÍ O REGISTRACI </w:t>
      </w:r>
    </w:p>
    <w:p w:rsidR="00816F4C" w:rsidRPr="005B6D4B" w:rsidRDefault="00816F4C" w:rsidP="00816F4C">
      <w:pPr>
        <w:keepNext/>
        <w:rPr>
          <w:b/>
          <w:sz w:val="22"/>
          <w:szCs w:val="22"/>
        </w:rPr>
      </w:pPr>
    </w:p>
    <w:p w:rsidR="00816F4C" w:rsidRPr="005B6D4B" w:rsidRDefault="00816F4C" w:rsidP="00816F4C">
      <w:pPr>
        <w:jc w:val="both"/>
        <w:rPr>
          <w:sz w:val="22"/>
          <w:szCs w:val="22"/>
        </w:rPr>
      </w:pPr>
      <w:proofErr w:type="spellStart"/>
      <w:r w:rsidRPr="005B6D4B">
        <w:rPr>
          <w:sz w:val="22"/>
          <w:szCs w:val="22"/>
        </w:rPr>
        <w:t>Vetoquinol</w:t>
      </w:r>
      <w:proofErr w:type="spellEnd"/>
      <w:r w:rsidRPr="005B6D4B">
        <w:rPr>
          <w:sz w:val="22"/>
          <w:szCs w:val="22"/>
        </w:rPr>
        <w:t xml:space="preserve"> s.r.o. </w:t>
      </w:r>
    </w:p>
    <w:p w:rsidR="00816F4C" w:rsidRPr="005B6D4B" w:rsidRDefault="00816F4C" w:rsidP="00816F4C">
      <w:pPr>
        <w:jc w:val="both"/>
        <w:rPr>
          <w:sz w:val="22"/>
          <w:szCs w:val="22"/>
        </w:rPr>
      </w:pPr>
      <w:r w:rsidRPr="005B6D4B">
        <w:rPr>
          <w:sz w:val="22"/>
          <w:szCs w:val="22"/>
        </w:rPr>
        <w:t xml:space="preserve">Walterovo náměstí 329/3 </w:t>
      </w:r>
    </w:p>
    <w:p w:rsidR="00816F4C" w:rsidRPr="005B6D4B" w:rsidRDefault="00816F4C" w:rsidP="00816F4C">
      <w:pPr>
        <w:jc w:val="both"/>
        <w:rPr>
          <w:sz w:val="22"/>
          <w:szCs w:val="22"/>
        </w:rPr>
      </w:pPr>
      <w:r w:rsidRPr="005B6D4B">
        <w:rPr>
          <w:sz w:val="22"/>
          <w:szCs w:val="22"/>
        </w:rPr>
        <w:t>158 00 Praha 5</w:t>
      </w:r>
    </w:p>
    <w:p w:rsidR="00816F4C" w:rsidRPr="005B6D4B" w:rsidRDefault="00816F4C" w:rsidP="00816F4C">
      <w:pPr>
        <w:ind w:right="-318"/>
        <w:jc w:val="both"/>
        <w:rPr>
          <w:sz w:val="22"/>
          <w:szCs w:val="22"/>
        </w:rPr>
      </w:pPr>
      <w:r w:rsidRPr="005B6D4B">
        <w:rPr>
          <w:sz w:val="22"/>
          <w:szCs w:val="22"/>
        </w:rPr>
        <w:t>Česká republika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b/>
          <w:caps/>
          <w:sz w:val="22"/>
          <w:szCs w:val="22"/>
        </w:rPr>
      </w:pPr>
      <w:r w:rsidRPr="005B6D4B">
        <w:rPr>
          <w:b/>
          <w:sz w:val="22"/>
          <w:szCs w:val="22"/>
        </w:rPr>
        <w:t>8.</w:t>
      </w:r>
      <w:r w:rsidRPr="005B6D4B">
        <w:rPr>
          <w:sz w:val="22"/>
          <w:szCs w:val="22"/>
        </w:rPr>
        <w:tab/>
      </w:r>
      <w:r w:rsidRPr="005B6D4B">
        <w:rPr>
          <w:b/>
          <w:caps/>
          <w:sz w:val="22"/>
          <w:szCs w:val="22"/>
        </w:rPr>
        <w:t>Registrační číslo(a)</w:t>
      </w:r>
    </w:p>
    <w:p w:rsidR="00816F4C" w:rsidRPr="005B6D4B" w:rsidRDefault="00816F4C" w:rsidP="00816F4C">
      <w:pPr>
        <w:pStyle w:val="Zkladntext"/>
        <w:rPr>
          <w:sz w:val="22"/>
          <w:szCs w:val="22"/>
        </w:rPr>
      </w:pPr>
    </w:p>
    <w:p w:rsidR="00816F4C" w:rsidRPr="005B6D4B" w:rsidRDefault="00816F4C" w:rsidP="00816F4C">
      <w:pPr>
        <w:pStyle w:val="Zkladntext"/>
        <w:rPr>
          <w:sz w:val="22"/>
          <w:szCs w:val="22"/>
        </w:rPr>
      </w:pPr>
      <w:r w:rsidRPr="005B6D4B">
        <w:rPr>
          <w:sz w:val="22"/>
          <w:szCs w:val="22"/>
        </w:rPr>
        <w:t>96/066/</w:t>
      </w:r>
      <w:proofErr w:type="gramStart"/>
      <w:r w:rsidRPr="005B6D4B">
        <w:rPr>
          <w:sz w:val="22"/>
          <w:szCs w:val="22"/>
        </w:rPr>
        <w:t>03-C</w:t>
      </w:r>
      <w:proofErr w:type="gramEnd"/>
    </w:p>
    <w:p w:rsidR="00816F4C" w:rsidRPr="005B6D4B" w:rsidRDefault="00816F4C" w:rsidP="00816F4C">
      <w:pPr>
        <w:ind w:right="-318"/>
        <w:rPr>
          <w:caps/>
          <w:sz w:val="22"/>
          <w:szCs w:val="22"/>
        </w:rPr>
      </w:pPr>
    </w:p>
    <w:p w:rsidR="00816F4C" w:rsidRPr="005B6D4B" w:rsidRDefault="00816F4C" w:rsidP="00816F4C">
      <w:pPr>
        <w:ind w:right="-318"/>
        <w:rPr>
          <w:caps/>
          <w:sz w:val="22"/>
          <w:szCs w:val="22"/>
        </w:rPr>
      </w:pPr>
    </w:p>
    <w:p w:rsidR="00816F4C" w:rsidRPr="005B6D4B" w:rsidRDefault="00816F4C" w:rsidP="00816F4C">
      <w:pPr>
        <w:ind w:right="-318"/>
        <w:rPr>
          <w:b/>
          <w:caps/>
          <w:sz w:val="22"/>
          <w:szCs w:val="22"/>
        </w:rPr>
      </w:pPr>
      <w:r w:rsidRPr="005B6D4B">
        <w:rPr>
          <w:b/>
          <w:caps/>
          <w:sz w:val="22"/>
          <w:szCs w:val="22"/>
        </w:rPr>
        <w:t>9.</w:t>
      </w:r>
      <w:r w:rsidRPr="005B6D4B">
        <w:rPr>
          <w:b/>
          <w:caps/>
          <w:sz w:val="22"/>
          <w:szCs w:val="22"/>
        </w:rPr>
        <w:tab/>
        <w:t>Datum registrace/ prodloužení registrace</w:t>
      </w:r>
    </w:p>
    <w:p w:rsidR="00816F4C" w:rsidRPr="005B6D4B" w:rsidRDefault="00816F4C" w:rsidP="00816F4C">
      <w:pPr>
        <w:ind w:right="-318"/>
        <w:rPr>
          <w:b/>
          <w:caps/>
          <w:sz w:val="22"/>
          <w:szCs w:val="22"/>
        </w:rPr>
      </w:pPr>
    </w:p>
    <w:p w:rsidR="00816F4C" w:rsidRPr="005B6D4B" w:rsidRDefault="00816F4C" w:rsidP="00816F4C">
      <w:pPr>
        <w:rPr>
          <w:sz w:val="22"/>
          <w:szCs w:val="22"/>
        </w:rPr>
      </w:pPr>
      <w:r w:rsidRPr="005B6D4B">
        <w:rPr>
          <w:sz w:val="22"/>
          <w:szCs w:val="22"/>
        </w:rPr>
        <w:t>Datum registrace: 19.11.2003.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>Datum posledního prodloužení: 16.10.2009.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 xml:space="preserve">10. </w:t>
      </w:r>
      <w:r w:rsidRPr="005B6D4B">
        <w:rPr>
          <w:b/>
          <w:sz w:val="22"/>
          <w:szCs w:val="22"/>
        </w:rPr>
        <w:tab/>
        <w:t>DATUM REVIZE TEXTU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D13CC2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>Září 2022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b/>
          <w:sz w:val="22"/>
          <w:szCs w:val="22"/>
        </w:rPr>
      </w:pPr>
      <w:r w:rsidRPr="005B6D4B">
        <w:rPr>
          <w:b/>
          <w:sz w:val="22"/>
          <w:szCs w:val="22"/>
        </w:rPr>
        <w:t>DALŠÍ  UPOZORNĚNÍ</w:t>
      </w:r>
    </w:p>
    <w:p w:rsidR="00816F4C" w:rsidRPr="005B6D4B" w:rsidRDefault="00816F4C" w:rsidP="00816F4C">
      <w:pPr>
        <w:ind w:right="-318"/>
        <w:rPr>
          <w:sz w:val="22"/>
          <w:szCs w:val="22"/>
        </w:rPr>
      </w:pPr>
    </w:p>
    <w:p w:rsidR="00816F4C" w:rsidRPr="005B6D4B" w:rsidRDefault="00816F4C" w:rsidP="00816F4C">
      <w:pPr>
        <w:ind w:right="-318"/>
        <w:rPr>
          <w:sz w:val="22"/>
          <w:szCs w:val="22"/>
        </w:rPr>
      </w:pPr>
      <w:r w:rsidRPr="005B6D4B">
        <w:rPr>
          <w:sz w:val="22"/>
          <w:szCs w:val="22"/>
        </w:rPr>
        <w:t>Veterinární léčivý přípravek je vydáván pouze na předpis.</w:t>
      </w:r>
    </w:p>
    <w:p w:rsidR="00816F4C" w:rsidRPr="005B6D4B" w:rsidRDefault="00816F4C" w:rsidP="00816F4C">
      <w:pPr>
        <w:rPr>
          <w:sz w:val="22"/>
          <w:szCs w:val="22"/>
        </w:rPr>
      </w:pPr>
    </w:p>
    <w:p w:rsidR="00816F4C" w:rsidRPr="005B6D4B" w:rsidRDefault="00816F4C" w:rsidP="00816F4C">
      <w:pPr>
        <w:jc w:val="center"/>
        <w:rPr>
          <w:bCs/>
          <w:sz w:val="22"/>
          <w:szCs w:val="22"/>
        </w:rPr>
      </w:pPr>
    </w:p>
    <w:p w:rsidR="00816F4C" w:rsidRPr="005B6D4B" w:rsidRDefault="00816F4C" w:rsidP="00816F4C">
      <w:pPr>
        <w:jc w:val="center"/>
        <w:rPr>
          <w:bCs/>
          <w:sz w:val="22"/>
          <w:szCs w:val="22"/>
        </w:rPr>
      </w:pPr>
    </w:p>
    <w:p w:rsidR="00816F4C" w:rsidRPr="005B6D4B" w:rsidRDefault="00816F4C" w:rsidP="00816F4C">
      <w:pPr>
        <w:jc w:val="center"/>
        <w:rPr>
          <w:bCs/>
          <w:sz w:val="22"/>
          <w:szCs w:val="22"/>
        </w:rPr>
      </w:pPr>
    </w:p>
    <w:p w:rsidR="00765FDB" w:rsidRPr="005B6D4B" w:rsidRDefault="00765FDB" w:rsidP="00816F4C">
      <w:pPr>
        <w:rPr>
          <w:sz w:val="22"/>
          <w:szCs w:val="22"/>
        </w:rPr>
      </w:pPr>
    </w:p>
    <w:sectPr w:rsidR="00765FDB" w:rsidRPr="005B6D4B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17" w:rsidRDefault="00CC3A17">
      <w:r>
        <w:separator/>
      </w:r>
    </w:p>
  </w:endnote>
  <w:endnote w:type="continuationSeparator" w:id="0">
    <w:p w:rsidR="00CC3A17" w:rsidRDefault="00CC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CB3" w:rsidRPr="000A6B2C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816F4C">
      <w:rPr>
        <w:rFonts w:ascii="Times New Roman" w:hAnsi="Times New Roman"/>
        <w:noProof/>
      </w:rPr>
      <w:t>3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CB3" w:rsidRDefault="00CF7CB3">
    <w:pPr>
      <w:pStyle w:val="Zpat"/>
      <w:tabs>
        <w:tab w:val="clear" w:pos="8930"/>
        <w:tab w:val="right" w:pos="8931"/>
      </w:tabs>
    </w:pPr>
  </w:p>
  <w:p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816F4C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17" w:rsidRDefault="00CC3A17">
      <w:r>
        <w:separator/>
      </w:r>
    </w:p>
  </w:footnote>
  <w:footnote w:type="continuationSeparator" w:id="0">
    <w:p w:rsidR="00CC3A17" w:rsidRDefault="00CC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B8" w:rsidRDefault="005B64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2EAF"/>
    <w:multiLevelType w:val="multilevel"/>
    <w:tmpl w:val="35DE07B6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96"/>
    <w:multiLevelType w:val="singleLevel"/>
    <w:tmpl w:val="7DDA9EC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1D2957D4"/>
    <w:multiLevelType w:val="multilevel"/>
    <w:tmpl w:val="68EE1124"/>
    <w:lvl w:ilvl="0">
      <w:start w:val="5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78494C1A"/>
    <w:multiLevelType w:val="multilevel"/>
    <w:tmpl w:val="1E88CB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F9E20D5"/>
    <w:multiLevelType w:val="multilevel"/>
    <w:tmpl w:val="9110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F"/>
    <w:rsid w:val="000A6B2C"/>
    <w:rsid w:val="000B6BFA"/>
    <w:rsid w:val="00162E2C"/>
    <w:rsid w:val="001C663D"/>
    <w:rsid w:val="002E6C9F"/>
    <w:rsid w:val="003812A6"/>
    <w:rsid w:val="003A2BA5"/>
    <w:rsid w:val="00457E92"/>
    <w:rsid w:val="004615CE"/>
    <w:rsid w:val="00487C3A"/>
    <w:rsid w:val="004F44D4"/>
    <w:rsid w:val="0055251E"/>
    <w:rsid w:val="00571AF1"/>
    <w:rsid w:val="005844C0"/>
    <w:rsid w:val="005B64B8"/>
    <w:rsid w:val="005B6D4B"/>
    <w:rsid w:val="005D6A5D"/>
    <w:rsid w:val="00736AA8"/>
    <w:rsid w:val="00765FDB"/>
    <w:rsid w:val="007E2754"/>
    <w:rsid w:val="00816F4C"/>
    <w:rsid w:val="008870DD"/>
    <w:rsid w:val="008D03AD"/>
    <w:rsid w:val="009A1813"/>
    <w:rsid w:val="009A6F56"/>
    <w:rsid w:val="009B3AA5"/>
    <w:rsid w:val="00A74D03"/>
    <w:rsid w:val="00AA1C58"/>
    <w:rsid w:val="00B52545"/>
    <w:rsid w:val="00C946C9"/>
    <w:rsid w:val="00CC3A17"/>
    <w:rsid w:val="00CF7CB3"/>
    <w:rsid w:val="00D13CC2"/>
    <w:rsid w:val="00DC023D"/>
    <w:rsid w:val="00DD3EC9"/>
    <w:rsid w:val="00E341C2"/>
    <w:rsid w:val="00E467E2"/>
    <w:rsid w:val="00EA0C98"/>
    <w:rsid w:val="00EA1E4F"/>
    <w:rsid w:val="00EC1BB0"/>
    <w:rsid w:val="00F30D3F"/>
    <w:rsid w:val="00FA2DBC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01D399-7C81-4210-ABC2-9E9B032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foot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C0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16F4C"/>
    <w:pPr>
      <w:tabs>
        <w:tab w:val="center" w:pos="4153"/>
        <w:tab w:val="right" w:pos="8306"/>
      </w:tabs>
      <w:autoSpaceDE/>
      <w:autoSpaceDN/>
      <w:ind w:left="567" w:hanging="567"/>
    </w:pPr>
    <w:rPr>
      <w:rFonts w:ascii="Helvetica" w:hAnsi="Helvetica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16F4C"/>
    <w:rPr>
      <w:rFonts w:ascii="Helvetica" w:hAnsi="Helvetica" w:cs="Times New Roman"/>
      <w:sz w:val="20"/>
      <w:szCs w:val="20"/>
      <w:lang w:val="x-none" w:eastAsia="en-US"/>
    </w:rPr>
  </w:style>
  <w:style w:type="paragraph" w:styleId="Zpat">
    <w:name w:val="footer"/>
    <w:basedOn w:val="Normln"/>
    <w:link w:val="ZpatChar"/>
    <w:uiPriority w:val="99"/>
    <w:rsid w:val="00816F4C"/>
    <w:pPr>
      <w:tabs>
        <w:tab w:val="center" w:pos="4536"/>
        <w:tab w:val="center" w:pos="8930"/>
      </w:tabs>
      <w:autoSpaceDE/>
      <w:autoSpaceDN/>
      <w:ind w:left="567" w:hanging="567"/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16F4C"/>
    <w:rPr>
      <w:rFonts w:ascii="Helvetica" w:hAnsi="Helvetica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GENTASEPTIN</vt:lpstr>
    </vt:vector>
  </TitlesOfParts>
  <Company>CHASSOT s.r.o.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GENTASEPTIN</dc:title>
  <dc:subject/>
  <dc:creator>CHASSOT</dc:creator>
  <cp:keywords/>
  <dc:description/>
  <cp:lastModifiedBy>Nejezchlebová Ladislava</cp:lastModifiedBy>
  <cp:revision>4</cp:revision>
  <cp:lastPrinted>2003-11-05T17:29:00Z</cp:lastPrinted>
  <dcterms:created xsi:type="dcterms:W3CDTF">2022-09-15T08:31:00Z</dcterms:created>
  <dcterms:modified xsi:type="dcterms:W3CDTF">2022-09-15T09:02:00Z</dcterms:modified>
</cp:coreProperties>
</file>