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7089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  <w:bookmarkStart w:id="0" w:name="_GoBack"/>
      <w:bookmarkEnd w:id="0"/>
    </w:p>
    <w:p w14:paraId="7C73963B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267FFFC2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2C716FDC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39968404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417D709B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6AC866A9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0D2A7AC8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06D6D7EB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7A17A5E4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694D2122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5A0EE9D9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484C4CC1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7B0103E4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0CD1306E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1C6B85D3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7D77DDB0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347860BE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48760B5C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27E63476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0FDD4116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1E4F2451" w14:textId="77777777" w:rsidR="00B32A77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40D6AE63" w14:textId="3616A89B" w:rsidR="00014F89" w:rsidRPr="00D76F19" w:rsidRDefault="00B32A77" w:rsidP="00B32A77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  <w:r w:rsidRPr="0063687E">
        <w:rPr>
          <w:b/>
          <w:szCs w:val="22"/>
          <w:lang w:val="cs-CZ"/>
        </w:rPr>
        <w:t>PŘÍLOHA I</w:t>
      </w:r>
    </w:p>
    <w:p w14:paraId="3C983EB8" w14:textId="77777777" w:rsidR="00B32A77" w:rsidRPr="0063687E" w:rsidRDefault="00B32A77" w:rsidP="0063687E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</w:p>
    <w:p w14:paraId="3EB32B33" w14:textId="3A0639F3" w:rsidR="00B32A77" w:rsidRPr="0063687E" w:rsidRDefault="00B32A77" w:rsidP="0063687E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cs-CZ"/>
        </w:rPr>
      </w:pPr>
      <w:r w:rsidRPr="0063687E">
        <w:rPr>
          <w:b/>
          <w:szCs w:val="22"/>
          <w:lang w:val="cs-CZ"/>
        </w:rPr>
        <w:t>SOUHRN ÚDAJŮ O PŘÍPRAVKU</w:t>
      </w:r>
    </w:p>
    <w:p w14:paraId="6223C4A2" w14:textId="77777777" w:rsidR="00B32A77" w:rsidRPr="00D76F19" w:rsidRDefault="00B32A77" w:rsidP="00BC0FA9">
      <w:pPr>
        <w:jc w:val="center"/>
        <w:rPr>
          <w:b/>
          <w:szCs w:val="22"/>
          <w:lang w:val="cs-CZ"/>
        </w:rPr>
      </w:pPr>
    </w:p>
    <w:p w14:paraId="2D82EC96" w14:textId="77777777" w:rsidR="00B32A77" w:rsidRPr="00D76F19" w:rsidRDefault="00B32A77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br w:type="page"/>
      </w:r>
    </w:p>
    <w:p w14:paraId="0D9FFAE0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lastRenderedPageBreak/>
        <w:t>1.</w:t>
      </w:r>
      <w:r w:rsidRPr="00D76F19">
        <w:rPr>
          <w:b/>
          <w:szCs w:val="22"/>
          <w:lang w:val="cs-CZ"/>
        </w:rPr>
        <w:tab/>
        <w:t>NÁZEV VETERINÁRNÍHO LÉČIVÉHO PŘÍPRAVKU</w:t>
      </w:r>
    </w:p>
    <w:p w14:paraId="4D681B59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2DEDFE9C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proofErr w:type="spellStart"/>
      <w:r w:rsidRPr="00D76F19">
        <w:rPr>
          <w:szCs w:val="22"/>
          <w:lang w:val="cs-CZ"/>
        </w:rPr>
        <w:t>Enroxil</w:t>
      </w:r>
      <w:proofErr w:type="spellEnd"/>
      <w:r w:rsidRPr="00D76F19">
        <w:rPr>
          <w:szCs w:val="22"/>
          <w:lang w:val="cs-CZ"/>
        </w:rPr>
        <w:t xml:space="preserve"> Ma</w:t>
      </w:r>
      <w:smartTag w:uri="schema-newheights-com/ya#smarttagtdial" w:element="MySmartTag1">
        <w:r w:rsidRPr="00D76F19">
          <w:rPr>
            <w:szCs w:val="22"/>
            <w:lang w:val="cs-CZ"/>
          </w:rPr>
          <w:t>x 100</w:t>
        </w:r>
      </w:smartTag>
      <w:r w:rsidRPr="00D76F19">
        <w:rPr>
          <w:szCs w:val="22"/>
          <w:lang w:val="cs-CZ"/>
        </w:rPr>
        <w:t xml:space="preserve"> mg/ml injekční roztok pro skot </w:t>
      </w:r>
    </w:p>
    <w:p w14:paraId="1E4D7D97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1DD7D84F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C9208FD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2.</w:t>
      </w:r>
      <w:r w:rsidRPr="00D76F19">
        <w:rPr>
          <w:b/>
          <w:szCs w:val="22"/>
          <w:lang w:val="cs-CZ"/>
        </w:rPr>
        <w:tab/>
        <w:t>KVALITATIVNÍ A KVANTITATIVNÍ SLOŽENÍ</w:t>
      </w:r>
    </w:p>
    <w:p w14:paraId="096FDE41" w14:textId="77777777" w:rsidR="00B3462C" w:rsidRPr="00D76F19" w:rsidRDefault="00B3462C" w:rsidP="00495FFE">
      <w:pPr>
        <w:spacing w:line="240" w:lineRule="auto"/>
        <w:rPr>
          <w:bCs/>
          <w:szCs w:val="22"/>
          <w:lang w:val="cs-CZ"/>
        </w:rPr>
      </w:pPr>
    </w:p>
    <w:p w14:paraId="23AE1F55" w14:textId="77777777" w:rsidR="00B3462C" w:rsidRPr="00D76F19" w:rsidRDefault="00B3462C" w:rsidP="00495FFE">
      <w:pPr>
        <w:spacing w:line="240" w:lineRule="auto"/>
        <w:rPr>
          <w:bCs/>
          <w:szCs w:val="22"/>
          <w:lang w:val="cs-CZ"/>
        </w:rPr>
      </w:pPr>
      <w:r w:rsidRPr="00D76F19">
        <w:rPr>
          <w:bCs/>
          <w:szCs w:val="22"/>
          <w:lang w:val="cs-CZ"/>
        </w:rPr>
        <w:t>Každý ml obsahuje:</w:t>
      </w:r>
    </w:p>
    <w:p w14:paraId="69F4D0CD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6FFB28E7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>Léčivá látka:</w:t>
      </w:r>
    </w:p>
    <w:p w14:paraId="115D1D5B" w14:textId="77777777" w:rsidR="00B3462C" w:rsidRPr="00D76F19" w:rsidRDefault="00B3462C" w:rsidP="00495FFE">
      <w:pPr>
        <w:tabs>
          <w:tab w:val="left" w:pos="1701"/>
        </w:tabs>
        <w:spacing w:line="240" w:lineRule="auto"/>
        <w:rPr>
          <w:iCs/>
          <w:szCs w:val="22"/>
          <w:lang w:val="cs-CZ"/>
        </w:rPr>
      </w:pPr>
      <w:proofErr w:type="spellStart"/>
      <w:r w:rsidRPr="00D76F19">
        <w:rPr>
          <w:szCs w:val="22"/>
          <w:lang w:val="cs-CZ"/>
        </w:rPr>
        <w:t>Enrofloxacinum</w:t>
      </w:r>
      <w:proofErr w:type="spellEnd"/>
      <w:r w:rsidRPr="00D76F19">
        <w:rPr>
          <w:szCs w:val="22"/>
          <w:lang w:val="cs-CZ"/>
        </w:rPr>
        <w:t xml:space="preserve"> 100 mg</w:t>
      </w:r>
      <w:r w:rsidRPr="00D76F19">
        <w:rPr>
          <w:szCs w:val="22"/>
          <w:lang w:val="cs-CZ"/>
        </w:rPr>
        <w:cr/>
      </w:r>
    </w:p>
    <w:p w14:paraId="3C3BF437" w14:textId="77777777" w:rsidR="00B3462C" w:rsidRPr="00D76F19" w:rsidRDefault="00B3462C" w:rsidP="00B3462C">
      <w:pPr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>Pomocné látky: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2"/>
        <w:gridCol w:w="4401"/>
      </w:tblGrid>
      <w:tr w:rsidR="00B3462C" w:rsidRPr="007E6A6F" w14:paraId="022D193E" w14:textId="77777777" w:rsidTr="004333A1">
        <w:tc>
          <w:tcPr>
            <w:tcW w:w="4552" w:type="dxa"/>
            <w:shd w:val="clear" w:color="auto" w:fill="auto"/>
          </w:tcPr>
          <w:p w14:paraId="6314B8BF" w14:textId="77777777" w:rsidR="00B3462C" w:rsidRPr="00D76F19" w:rsidRDefault="00B3462C" w:rsidP="004333A1">
            <w:pPr>
              <w:rPr>
                <w:b/>
                <w:bCs/>
                <w:iCs/>
                <w:szCs w:val="22"/>
                <w:lang w:val="cs-CZ"/>
              </w:rPr>
            </w:pPr>
            <w:r w:rsidRPr="00D76F19"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401" w:type="dxa"/>
          </w:tcPr>
          <w:p w14:paraId="2D005E44" w14:textId="77777777" w:rsidR="00B3462C" w:rsidRPr="00D76F19" w:rsidRDefault="00B3462C" w:rsidP="004333A1">
            <w:pPr>
              <w:rPr>
                <w:b/>
                <w:bCs/>
                <w:iCs/>
                <w:szCs w:val="22"/>
                <w:lang w:val="cs-CZ"/>
              </w:rPr>
            </w:pPr>
            <w:r w:rsidRPr="00D76F19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B3462C" w:rsidRPr="00D76F19" w14:paraId="33D76E42" w14:textId="77777777" w:rsidTr="004333A1">
        <w:tc>
          <w:tcPr>
            <w:tcW w:w="4552" w:type="dxa"/>
            <w:shd w:val="clear" w:color="auto" w:fill="auto"/>
            <w:vAlign w:val="center"/>
          </w:tcPr>
          <w:p w14:paraId="172E1E64" w14:textId="77777777" w:rsidR="00B3462C" w:rsidRPr="00D76F19" w:rsidRDefault="00B3462C" w:rsidP="004333A1">
            <w:pPr>
              <w:rPr>
                <w:iCs/>
                <w:szCs w:val="22"/>
                <w:lang w:val="cs-CZ"/>
              </w:rPr>
            </w:pPr>
            <w:proofErr w:type="spellStart"/>
            <w:r w:rsidRPr="00D76F19">
              <w:rPr>
                <w:bCs/>
                <w:szCs w:val="22"/>
                <w:lang w:val="cs-CZ"/>
              </w:rPr>
              <w:t>Benzylalkohol</w:t>
            </w:r>
            <w:proofErr w:type="spellEnd"/>
            <w:r w:rsidRPr="00D76F19">
              <w:rPr>
                <w:bCs/>
                <w:szCs w:val="22"/>
                <w:lang w:val="cs-CZ"/>
              </w:rPr>
              <w:t xml:space="preserve"> (E 1519)</w:t>
            </w:r>
          </w:p>
        </w:tc>
        <w:tc>
          <w:tcPr>
            <w:tcW w:w="4401" w:type="dxa"/>
          </w:tcPr>
          <w:p w14:paraId="5F50A504" w14:textId="77777777" w:rsidR="00B3462C" w:rsidRPr="00D76F19" w:rsidRDefault="00B3462C" w:rsidP="004333A1">
            <w:pPr>
              <w:rPr>
                <w:szCs w:val="22"/>
                <w:lang w:val="cs-CZ"/>
              </w:rPr>
            </w:pPr>
            <w:r w:rsidRPr="00D76F19">
              <w:rPr>
                <w:szCs w:val="22"/>
                <w:lang w:val="cs-CZ"/>
              </w:rPr>
              <w:t>20 mg</w:t>
            </w:r>
          </w:p>
        </w:tc>
      </w:tr>
      <w:tr w:rsidR="00B3462C" w:rsidRPr="00D76F19" w14:paraId="04337409" w14:textId="77777777" w:rsidTr="004333A1">
        <w:tc>
          <w:tcPr>
            <w:tcW w:w="4552" w:type="dxa"/>
            <w:shd w:val="clear" w:color="auto" w:fill="auto"/>
            <w:vAlign w:val="center"/>
          </w:tcPr>
          <w:p w14:paraId="6AADB1B7" w14:textId="77777777" w:rsidR="00B3462C" w:rsidRPr="00D76F19" w:rsidRDefault="00B3462C" w:rsidP="004333A1">
            <w:pPr>
              <w:rPr>
                <w:iCs/>
                <w:szCs w:val="22"/>
                <w:lang w:val="cs-CZ"/>
              </w:rPr>
            </w:pPr>
            <w:r w:rsidRPr="00D76F19">
              <w:rPr>
                <w:bCs/>
                <w:szCs w:val="22"/>
                <w:lang w:val="cs-CZ"/>
              </w:rPr>
              <w:t>Butanol</w:t>
            </w:r>
          </w:p>
        </w:tc>
        <w:tc>
          <w:tcPr>
            <w:tcW w:w="4401" w:type="dxa"/>
          </w:tcPr>
          <w:p w14:paraId="2487AE39" w14:textId="77777777" w:rsidR="00B3462C" w:rsidRPr="00D76F19" w:rsidRDefault="00B3462C" w:rsidP="004333A1">
            <w:pPr>
              <w:rPr>
                <w:szCs w:val="22"/>
                <w:lang w:val="cs-CZ"/>
              </w:rPr>
            </w:pPr>
            <w:r w:rsidRPr="00D76F19">
              <w:rPr>
                <w:szCs w:val="22"/>
                <w:lang w:val="cs-CZ"/>
              </w:rPr>
              <w:t>30 mg</w:t>
            </w:r>
          </w:p>
        </w:tc>
      </w:tr>
      <w:tr w:rsidR="00B3462C" w:rsidRPr="00D76F19" w14:paraId="0E17981E" w14:textId="77777777" w:rsidTr="004333A1">
        <w:tc>
          <w:tcPr>
            <w:tcW w:w="4552" w:type="dxa"/>
            <w:shd w:val="clear" w:color="auto" w:fill="auto"/>
            <w:vAlign w:val="center"/>
          </w:tcPr>
          <w:p w14:paraId="44F74101" w14:textId="77777777" w:rsidR="00B3462C" w:rsidRPr="00D76F19" w:rsidRDefault="00B3462C" w:rsidP="004333A1">
            <w:pPr>
              <w:rPr>
                <w:bCs/>
                <w:szCs w:val="22"/>
                <w:lang w:val="cs-CZ"/>
              </w:rPr>
            </w:pPr>
            <w:r w:rsidRPr="00D76F19">
              <w:rPr>
                <w:bCs/>
                <w:szCs w:val="22"/>
                <w:lang w:val="cs-CZ"/>
              </w:rPr>
              <w:t>L-arginin</w:t>
            </w:r>
          </w:p>
        </w:tc>
        <w:tc>
          <w:tcPr>
            <w:tcW w:w="4401" w:type="dxa"/>
          </w:tcPr>
          <w:p w14:paraId="5C85A4FE" w14:textId="77777777" w:rsidR="00B3462C" w:rsidRPr="00D76F19" w:rsidRDefault="00B3462C" w:rsidP="004333A1">
            <w:pPr>
              <w:rPr>
                <w:szCs w:val="22"/>
                <w:lang w:val="cs-CZ"/>
              </w:rPr>
            </w:pPr>
          </w:p>
        </w:tc>
      </w:tr>
      <w:tr w:rsidR="00B3462C" w:rsidRPr="00D76F19" w14:paraId="3D811087" w14:textId="77777777" w:rsidTr="004333A1">
        <w:tc>
          <w:tcPr>
            <w:tcW w:w="4552" w:type="dxa"/>
            <w:shd w:val="clear" w:color="auto" w:fill="auto"/>
            <w:vAlign w:val="center"/>
          </w:tcPr>
          <w:p w14:paraId="3A336355" w14:textId="77777777" w:rsidR="00B3462C" w:rsidRPr="00D76F19" w:rsidRDefault="00B3462C" w:rsidP="004333A1">
            <w:pPr>
              <w:rPr>
                <w:iCs/>
                <w:szCs w:val="22"/>
                <w:lang w:val="cs-CZ"/>
              </w:rPr>
            </w:pPr>
            <w:r w:rsidRPr="00D76F19">
              <w:rPr>
                <w:szCs w:val="22"/>
                <w:lang w:val="cs-CZ"/>
              </w:rPr>
              <w:t>Voda pro injekci</w:t>
            </w:r>
          </w:p>
        </w:tc>
        <w:tc>
          <w:tcPr>
            <w:tcW w:w="4401" w:type="dxa"/>
          </w:tcPr>
          <w:p w14:paraId="607682B4" w14:textId="77777777" w:rsidR="00B3462C" w:rsidRPr="00D76F19" w:rsidRDefault="00B3462C" w:rsidP="004333A1">
            <w:pPr>
              <w:rPr>
                <w:szCs w:val="22"/>
                <w:lang w:val="cs-CZ"/>
              </w:rPr>
            </w:pPr>
          </w:p>
        </w:tc>
      </w:tr>
    </w:tbl>
    <w:p w14:paraId="1B63DC6B" w14:textId="77777777" w:rsidR="00B3462C" w:rsidRPr="00D76F19" w:rsidRDefault="00B3462C" w:rsidP="00B3462C">
      <w:pPr>
        <w:rPr>
          <w:b/>
          <w:szCs w:val="22"/>
          <w:lang w:val="cs-CZ"/>
        </w:rPr>
      </w:pPr>
    </w:p>
    <w:p w14:paraId="610BB263" w14:textId="5A860091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szCs w:val="22"/>
          <w:lang w:val="cs-CZ"/>
        </w:rPr>
        <w:t>Čirý žlutý roztok</w:t>
      </w:r>
      <w:r w:rsidRPr="00D76F19">
        <w:rPr>
          <w:szCs w:val="22"/>
          <w:lang w:val="cs-CZ"/>
        </w:rPr>
        <w:cr/>
      </w:r>
    </w:p>
    <w:p w14:paraId="18C75EAD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3387DD1A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</w:t>
      </w:r>
      <w:r w:rsidRPr="00D76F19">
        <w:rPr>
          <w:b/>
          <w:szCs w:val="22"/>
          <w:lang w:val="cs-CZ"/>
        </w:rPr>
        <w:tab/>
        <w:t>KLINICKÉ INFORMACE</w:t>
      </w:r>
    </w:p>
    <w:p w14:paraId="7E3A0881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136549CE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>3.1</w:t>
      </w:r>
      <w:r w:rsidRPr="00D76F19">
        <w:rPr>
          <w:b/>
          <w:szCs w:val="22"/>
          <w:lang w:val="cs-CZ"/>
        </w:rPr>
        <w:tab/>
        <w:t>Cílové druhy zvířat</w:t>
      </w:r>
    </w:p>
    <w:p w14:paraId="2FCD30F0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6DDB3D81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szCs w:val="22"/>
          <w:lang w:val="cs-CZ"/>
        </w:rPr>
        <w:t>Skot.</w:t>
      </w:r>
    </w:p>
    <w:p w14:paraId="0ED3614C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5E485595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3.2</w:t>
      </w:r>
      <w:r w:rsidRPr="00D76F19">
        <w:rPr>
          <w:b/>
          <w:szCs w:val="22"/>
          <w:lang w:val="cs-CZ"/>
        </w:rPr>
        <w:tab/>
        <w:t>Indikace pro použití pro každý cílový druh zvířat</w:t>
      </w:r>
    </w:p>
    <w:p w14:paraId="18081F15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0A9D15F7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Léčba respiračního onemocnění skotu vyvolaného původci </w:t>
      </w:r>
      <w:proofErr w:type="spellStart"/>
      <w:r w:rsidRPr="00D76F19">
        <w:rPr>
          <w:i/>
          <w:szCs w:val="22"/>
          <w:lang w:val="cs-CZ"/>
        </w:rPr>
        <w:t>Mannheimia</w:t>
      </w:r>
      <w:proofErr w:type="spellEnd"/>
      <w:r w:rsidRPr="00D76F19">
        <w:rPr>
          <w:i/>
          <w:szCs w:val="22"/>
          <w:lang w:val="cs-CZ"/>
        </w:rPr>
        <w:t xml:space="preserve"> </w:t>
      </w:r>
      <w:proofErr w:type="spellStart"/>
      <w:r w:rsidRPr="00D76F19">
        <w:rPr>
          <w:i/>
          <w:szCs w:val="22"/>
          <w:lang w:val="cs-CZ"/>
        </w:rPr>
        <w:t>haemolytica</w:t>
      </w:r>
      <w:proofErr w:type="spellEnd"/>
      <w:r w:rsidRPr="00D76F19">
        <w:rPr>
          <w:i/>
          <w:szCs w:val="22"/>
          <w:lang w:val="cs-CZ"/>
        </w:rPr>
        <w:t xml:space="preserve">, </w:t>
      </w:r>
      <w:proofErr w:type="spellStart"/>
      <w:r w:rsidRPr="00D76F19">
        <w:rPr>
          <w:i/>
          <w:szCs w:val="22"/>
          <w:lang w:val="cs-CZ"/>
        </w:rPr>
        <w:t>Pasteurella</w:t>
      </w:r>
      <w:proofErr w:type="spellEnd"/>
      <w:r w:rsidRPr="00D76F19">
        <w:rPr>
          <w:i/>
          <w:szCs w:val="22"/>
          <w:lang w:val="cs-CZ"/>
        </w:rPr>
        <w:t xml:space="preserve"> </w:t>
      </w:r>
      <w:proofErr w:type="spellStart"/>
      <w:r w:rsidRPr="00D76F19">
        <w:rPr>
          <w:i/>
          <w:szCs w:val="22"/>
          <w:lang w:val="cs-CZ"/>
        </w:rPr>
        <w:t>multocida</w:t>
      </w:r>
      <w:proofErr w:type="spellEnd"/>
      <w:r w:rsidRPr="00D76F19">
        <w:rPr>
          <w:i/>
          <w:szCs w:val="22"/>
          <w:lang w:val="cs-CZ"/>
        </w:rPr>
        <w:t xml:space="preserve">, </w:t>
      </w:r>
      <w:proofErr w:type="spellStart"/>
      <w:r w:rsidRPr="00D76F19">
        <w:rPr>
          <w:i/>
          <w:szCs w:val="22"/>
          <w:lang w:val="cs-CZ"/>
        </w:rPr>
        <w:t>Histophilus</w:t>
      </w:r>
      <w:proofErr w:type="spellEnd"/>
      <w:r w:rsidRPr="00D76F19">
        <w:rPr>
          <w:i/>
          <w:szCs w:val="22"/>
          <w:lang w:val="cs-CZ"/>
        </w:rPr>
        <w:t xml:space="preserve"> </w:t>
      </w:r>
      <w:proofErr w:type="spellStart"/>
      <w:r w:rsidRPr="00D76F19">
        <w:rPr>
          <w:i/>
          <w:szCs w:val="22"/>
          <w:lang w:val="cs-CZ"/>
        </w:rPr>
        <w:t>somni</w:t>
      </w:r>
      <w:proofErr w:type="spellEnd"/>
      <w:r w:rsidRPr="00D76F19">
        <w:rPr>
          <w:i/>
          <w:szCs w:val="22"/>
          <w:lang w:val="cs-CZ"/>
        </w:rPr>
        <w:t xml:space="preserve"> </w:t>
      </w:r>
      <w:r w:rsidRPr="00D76F19">
        <w:rPr>
          <w:szCs w:val="22"/>
          <w:lang w:val="cs-CZ"/>
        </w:rPr>
        <w:t>a</w:t>
      </w:r>
      <w:r w:rsidRPr="00D76F19">
        <w:rPr>
          <w:i/>
          <w:szCs w:val="22"/>
          <w:lang w:val="cs-CZ"/>
        </w:rPr>
        <w:t xml:space="preserve"> </w:t>
      </w:r>
      <w:proofErr w:type="spellStart"/>
      <w:r w:rsidRPr="00D76F19">
        <w:rPr>
          <w:i/>
          <w:szCs w:val="22"/>
          <w:lang w:val="cs-CZ"/>
        </w:rPr>
        <w:t>Mycoplasma</w:t>
      </w:r>
      <w:proofErr w:type="spellEnd"/>
      <w:r w:rsidRPr="00D76F19">
        <w:rPr>
          <w:i/>
          <w:szCs w:val="22"/>
          <w:lang w:val="cs-CZ"/>
        </w:rPr>
        <w:t xml:space="preserve"> </w:t>
      </w:r>
      <w:r w:rsidRPr="00D76F19">
        <w:rPr>
          <w:szCs w:val="22"/>
          <w:lang w:val="cs-CZ"/>
        </w:rPr>
        <w:t>spp., v případech, kdy klinické zkušenosti podpořené vždy když je to možné stanovením citlivosti původce indikují enrofloxacin jako lék volby.</w:t>
      </w:r>
    </w:p>
    <w:p w14:paraId="47605416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5586A20A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Léčba lokálních příznaků (zánět, kvalita a množství nadojeného mléka) </w:t>
      </w:r>
      <w:proofErr w:type="spellStart"/>
      <w:r w:rsidRPr="00D76F19">
        <w:rPr>
          <w:szCs w:val="22"/>
          <w:lang w:val="cs-CZ"/>
        </w:rPr>
        <w:t>perakutní</w:t>
      </w:r>
      <w:proofErr w:type="spellEnd"/>
      <w:r w:rsidRPr="00D76F19">
        <w:rPr>
          <w:szCs w:val="22"/>
          <w:lang w:val="cs-CZ"/>
        </w:rPr>
        <w:t xml:space="preserve">/akutní mastitidy u </w:t>
      </w:r>
      <w:proofErr w:type="spellStart"/>
      <w:r w:rsidRPr="00D76F19">
        <w:rPr>
          <w:szCs w:val="22"/>
          <w:lang w:val="cs-CZ"/>
        </w:rPr>
        <w:t>laktujícího</w:t>
      </w:r>
      <w:proofErr w:type="spellEnd"/>
      <w:r w:rsidRPr="00D76F19">
        <w:rPr>
          <w:szCs w:val="22"/>
          <w:lang w:val="cs-CZ"/>
        </w:rPr>
        <w:t xml:space="preserve"> mléčného skotu vyvolané </w:t>
      </w:r>
      <w:r w:rsidRPr="00D76F19">
        <w:rPr>
          <w:i/>
          <w:szCs w:val="22"/>
          <w:lang w:val="cs-CZ"/>
        </w:rPr>
        <w:t>E. coli</w:t>
      </w:r>
      <w:r w:rsidRPr="00D76F19">
        <w:rPr>
          <w:szCs w:val="22"/>
          <w:lang w:val="cs-CZ"/>
        </w:rPr>
        <w:t>, kde anamnéza stáda a předchozí stanovení citlivosti indikují enrofloxacin jako lék volby.</w:t>
      </w:r>
    </w:p>
    <w:p w14:paraId="29032F81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A42217B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3.3</w:t>
      </w:r>
      <w:r w:rsidRPr="00D76F19">
        <w:rPr>
          <w:b/>
          <w:szCs w:val="22"/>
          <w:lang w:val="cs-CZ"/>
        </w:rPr>
        <w:tab/>
        <w:t>Kontraindikace</w:t>
      </w:r>
    </w:p>
    <w:p w14:paraId="560B5FAC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0D622A38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Nepoužívat k profylaxi.</w:t>
      </w:r>
    </w:p>
    <w:p w14:paraId="09FA6CEE" w14:textId="61D0AC5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Nepoužívat v případ</w:t>
      </w:r>
      <w:r w:rsidR="00550159" w:rsidRPr="00D76F19">
        <w:rPr>
          <w:szCs w:val="22"/>
          <w:lang w:val="cs-CZ"/>
        </w:rPr>
        <w:t>ech</w:t>
      </w:r>
      <w:r w:rsidRPr="00D76F19">
        <w:rPr>
          <w:szCs w:val="22"/>
          <w:lang w:val="cs-CZ"/>
        </w:rPr>
        <w:t xml:space="preserve"> přecitlivělosti na léčivou látku nebo na některou z pomocných látek.</w:t>
      </w:r>
    </w:p>
    <w:p w14:paraId="67319DFB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58696DF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>3.4</w:t>
      </w:r>
      <w:r w:rsidRPr="00D76F19">
        <w:rPr>
          <w:b/>
          <w:szCs w:val="22"/>
          <w:lang w:val="cs-CZ"/>
        </w:rPr>
        <w:tab/>
        <w:t xml:space="preserve">Zvláštní upozornění </w:t>
      </w:r>
    </w:p>
    <w:p w14:paraId="4756F068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6D51A84F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szCs w:val="22"/>
          <w:lang w:val="cs-CZ"/>
        </w:rPr>
        <w:t>Nejsou.</w:t>
      </w:r>
    </w:p>
    <w:p w14:paraId="70B2D96E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184C3F2F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3.5</w:t>
      </w:r>
      <w:r w:rsidRPr="00D76F19">
        <w:rPr>
          <w:b/>
          <w:szCs w:val="22"/>
          <w:lang w:val="cs-CZ"/>
        </w:rPr>
        <w:tab/>
        <w:t>Zvláštní opatření pro použití</w:t>
      </w:r>
    </w:p>
    <w:p w14:paraId="4020A90B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4001E2F6" w14:textId="77777777" w:rsidR="00B3462C" w:rsidRPr="00D76F19" w:rsidRDefault="00B3462C" w:rsidP="00495FFE">
      <w:pPr>
        <w:spacing w:line="240" w:lineRule="auto"/>
        <w:jc w:val="both"/>
        <w:rPr>
          <w:szCs w:val="22"/>
          <w:u w:val="single"/>
          <w:lang w:val="cs-CZ"/>
        </w:rPr>
      </w:pPr>
      <w:r w:rsidRPr="00D76F19">
        <w:rPr>
          <w:szCs w:val="22"/>
          <w:u w:val="single"/>
          <w:lang w:val="cs-CZ"/>
        </w:rPr>
        <w:t>Zvláštní opatření pro bezpečné použití u cílových druhů zvířat:</w:t>
      </w:r>
    </w:p>
    <w:p w14:paraId="236CDAA6" w14:textId="77777777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szCs w:val="22"/>
          <w:lang w:val="cs-CZ"/>
        </w:rPr>
      </w:pPr>
    </w:p>
    <w:p w14:paraId="220CDFA2" w14:textId="77777777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  <w:r w:rsidRPr="00D76F19">
        <w:rPr>
          <w:color w:val="000000"/>
          <w:szCs w:val="22"/>
          <w:lang w:val="cs-CZ"/>
        </w:rPr>
        <w:t>Je třeba dodržet obecná pravidla pro sterilní podání.</w:t>
      </w:r>
    </w:p>
    <w:p w14:paraId="62EC0EB5" w14:textId="77777777" w:rsidR="00B3462C" w:rsidRPr="00D76F19" w:rsidRDefault="00B3462C" w:rsidP="00495FFE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cs-CZ"/>
        </w:rPr>
      </w:pPr>
      <w:r w:rsidRPr="00D76F19">
        <w:rPr>
          <w:bCs/>
          <w:szCs w:val="22"/>
          <w:lang w:val="cs-CZ"/>
        </w:rPr>
        <w:t>Nebyla stanovena bezpečnost veterinárního léčivého přípravku u telat po intravenózním podání, a tato cesta podání u telat se proto nedoporučuje.</w:t>
      </w:r>
    </w:p>
    <w:p w14:paraId="14FD3330" w14:textId="64DEE2A8" w:rsidR="00B3462C" w:rsidRPr="00D76F19" w:rsidRDefault="00B3462C" w:rsidP="00495FFE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cs-CZ"/>
        </w:rPr>
      </w:pPr>
      <w:r w:rsidRPr="00D76F19">
        <w:rPr>
          <w:bCs/>
          <w:szCs w:val="22"/>
          <w:lang w:val="cs-CZ"/>
        </w:rPr>
        <w:lastRenderedPageBreak/>
        <w:t xml:space="preserve">Při použití tohoto veterinárního léčivého přípravku </w:t>
      </w:r>
      <w:r w:rsidR="00550159" w:rsidRPr="00D76F19">
        <w:rPr>
          <w:bCs/>
          <w:szCs w:val="22"/>
          <w:lang w:val="cs-CZ"/>
        </w:rPr>
        <w:t xml:space="preserve"> je nutno vzít </w:t>
      </w:r>
      <w:r w:rsidRPr="00D76F19">
        <w:rPr>
          <w:bCs/>
          <w:szCs w:val="22"/>
          <w:lang w:val="cs-CZ"/>
        </w:rPr>
        <w:t>v úvahu oficiální a</w:t>
      </w:r>
      <w:r w:rsidR="0048702E" w:rsidRPr="00D76F19">
        <w:rPr>
          <w:bCs/>
          <w:szCs w:val="22"/>
          <w:lang w:val="cs-CZ"/>
        </w:rPr>
        <w:t> </w:t>
      </w:r>
      <w:r w:rsidR="00550159" w:rsidRPr="00D76F19">
        <w:rPr>
          <w:bCs/>
          <w:szCs w:val="22"/>
          <w:lang w:val="cs-CZ"/>
        </w:rPr>
        <w:t>místní pravidla</w:t>
      </w:r>
      <w:r w:rsidRPr="00D76F19">
        <w:rPr>
          <w:bCs/>
          <w:szCs w:val="22"/>
          <w:lang w:val="cs-CZ"/>
        </w:rPr>
        <w:t xml:space="preserve"> antibiotické politiky. </w:t>
      </w:r>
    </w:p>
    <w:p w14:paraId="50A16E76" w14:textId="4AC44E09" w:rsidR="00B3462C" w:rsidRPr="00D76F19" w:rsidRDefault="00B3462C" w:rsidP="00495FFE">
      <w:pPr>
        <w:pStyle w:val="Zkladntext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Fluorochinolony by měly být vyhrazeny pro léčbu klinických případů, které mají slabou odezvu nebo se očekává, že budou mít slabou odezvu na </w:t>
      </w:r>
      <w:proofErr w:type="spellStart"/>
      <w:r w:rsidRPr="00D76F19">
        <w:rPr>
          <w:szCs w:val="22"/>
          <w:lang w:val="cs-CZ"/>
        </w:rPr>
        <w:t>antimikrob</w:t>
      </w:r>
      <w:r w:rsidR="00550159" w:rsidRPr="00D76F19">
        <w:rPr>
          <w:szCs w:val="22"/>
          <w:lang w:val="cs-CZ"/>
        </w:rPr>
        <w:t>ika</w:t>
      </w:r>
      <w:proofErr w:type="spellEnd"/>
      <w:r w:rsidRPr="00D76F19">
        <w:rPr>
          <w:szCs w:val="22"/>
          <w:lang w:val="cs-CZ"/>
        </w:rPr>
        <w:t xml:space="preserve"> z dalších farmakologických skupin.  </w:t>
      </w:r>
    </w:p>
    <w:p w14:paraId="5C177D48" w14:textId="67F28642" w:rsidR="00B3462C" w:rsidRPr="00D76F19" w:rsidRDefault="00A7712E" w:rsidP="00495FFE">
      <w:pPr>
        <w:pStyle w:val="Zkladntext"/>
        <w:rPr>
          <w:szCs w:val="22"/>
          <w:lang w:val="cs-CZ"/>
        </w:rPr>
      </w:pPr>
      <w:bookmarkStart w:id="1" w:name="_Hlk229556499"/>
      <w:r w:rsidRPr="00D76F19">
        <w:rPr>
          <w:szCs w:val="22"/>
          <w:lang w:val="cs-CZ"/>
        </w:rPr>
        <w:t xml:space="preserve">Použití </w:t>
      </w:r>
      <w:proofErr w:type="spellStart"/>
      <w:r w:rsidRPr="00D76F19">
        <w:rPr>
          <w:szCs w:val="22"/>
          <w:lang w:val="cs-CZ"/>
        </w:rPr>
        <w:t>fluorochinolonů</w:t>
      </w:r>
      <w:proofErr w:type="spellEnd"/>
      <w:r w:rsidRPr="00D76F19">
        <w:rPr>
          <w:szCs w:val="22"/>
          <w:lang w:val="cs-CZ"/>
        </w:rPr>
        <w:t xml:space="preserve"> by mělo být vždy, když je to možné, založeno na výsledku testu citlivosti.</w:t>
      </w:r>
      <w:r w:rsidR="00B3462C" w:rsidRPr="00D76F19">
        <w:rPr>
          <w:szCs w:val="22"/>
          <w:lang w:val="cs-CZ"/>
        </w:rPr>
        <w:t>.</w:t>
      </w:r>
    </w:p>
    <w:bookmarkEnd w:id="1"/>
    <w:p w14:paraId="0C2E19E3" w14:textId="486D658C" w:rsidR="00B3462C" w:rsidRPr="00D76F19" w:rsidRDefault="00B3462C" w:rsidP="00495FFE">
      <w:pPr>
        <w:pStyle w:val="Zkladntext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Použití </w:t>
      </w:r>
      <w:r w:rsidRPr="00D76F19">
        <w:rPr>
          <w:bCs/>
          <w:szCs w:val="22"/>
          <w:lang w:val="cs-CZ"/>
        </w:rPr>
        <w:t xml:space="preserve">veterinárního léčivého </w:t>
      </w:r>
      <w:r w:rsidRPr="00D76F19">
        <w:rPr>
          <w:szCs w:val="22"/>
          <w:lang w:val="cs-CZ"/>
        </w:rPr>
        <w:t>přípravku</w:t>
      </w:r>
      <w:r w:rsidR="00A7712E" w:rsidRPr="00D76F19">
        <w:rPr>
          <w:szCs w:val="22"/>
          <w:lang w:val="cs-CZ"/>
        </w:rPr>
        <w:t>, které je odlišné od</w:t>
      </w:r>
      <w:r w:rsidRPr="00D76F19">
        <w:rPr>
          <w:szCs w:val="22"/>
          <w:lang w:val="cs-CZ"/>
        </w:rPr>
        <w:t> pokyn</w:t>
      </w:r>
      <w:r w:rsidR="00A7712E" w:rsidRPr="00D76F19">
        <w:rPr>
          <w:szCs w:val="22"/>
          <w:lang w:val="cs-CZ"/>
        </w:rPr>
        <w:t>ů</w:t>
      </w:r>
      <w:r w:rsidRPr="00D76F19">
        <w:rPr>
          <w:szCs w:val="22"/>
          <w:lang w:val="cs-CZ"/>
        </w:rPr>
        <w:t xml:space="preserve"> uvedenými v</w:t>
      </w:r>
      <w:r w:rsidR="00A7712E" w:rsidRPr="00D76F19">
        <w:rPr>
          <w:szCs w:val="22"/>
          <w:lang w:val="cs-CZ"/>
        </w:rPr>
        <w:t> tomto souhrnu údajů o přípravku (</w:t>
      </w:r>
      <w:r w:rsidRPr="00D76F19">
        <w:rPr>
          <w:szCs w:val="22"/>
          <w:lang w:val="cs-CZ"/>
        </w:rPr>
        <w:t>SPC</w:t>
      </w:r>
      <w:r w:rsidR="00A7712E" w:rsidRPr="00D76F19">
        <w:rPr>
          <w:szCs w:val="22"/>
          <w:lang w:val="cs-CZ"/>
        </w:rPr>
        <w:t>)</w:t>
      </w:r>
      <w:r w:rsidRPr="00D76F19">
        <w:rPr>
          <w:szCs w:val="22"/>
          <w:lang w:val="cs-CZ"/>
        </w:rPr>
        <w:t xml:space="preserve"> může </w:t>
      </w:r>
      <w:r w:rsidR="00A7712E" w:rsidRPr="00D76F19">
        <w:rPr>
          <w:szCs w:val="22"/>
          <w:lang w:val="cs-CZ"/>
        </w:rPr>
        <w:t xml:space="preserve">zvýšit </w:t>
      </w:r>
      <w:r w:rsidRPr="00D76F19">
        <w:rPr>
          <w:szCs w:val="22"/>
          <w:lang w:val="cs-CZ"/>
        </w:rPr>
        <w:t>prevalenc</w:t>
      </w:r>
      <w:r w:rsidR="00A7712E" w:rsidRPr="00D76F19">
        <w:rPr>
          <w:szCs w:val="22"/>
          <w:lang w:val="cs-CZ"/>
        </w:rPr>
        <w:t>i</w:t>
      </w:r>
      <w:r w:rsidRPr="00D76F19">
        <w:rPr>
          <w:szCs w:val="22"/>
          <w:lang w:val="cs-CZ"/>
        </w:rPr>
        <w:t xml:space="preserve"> kmenů bakterií rezistentních </w:t>
      </w:r>
      <w:r w:rsidR="00A7712E" w:rsidRPr="00D76F19">
        <w:rPr>
          <w:szCs w:val="22"/>
          <w:lang w:val="cs-CZ"/>
        </w:rPr>
        <w:t>k</w:t>
      </w:r>
      <w:r w:rsidRPr="00D76F19">
        <w:rPr>
          <w:szCs w:val="22"/>
          <w:lang w:val="cs-CZ"/>
        </w:rPr>
        <w:t xml:space="preserve"> </w:t>
      </w:r>
      <w:proofErr w:type="spellStart"/>
      <w:r w:rsidRPr="00D76F19">
        <w:rPr>
          <w:szCs w:val="22"/>
          <w:lang w:val="cs-CZ"/>
        </w:rPr>
        <w:t>fluorochinolon</w:t>
      </w:r>
      <w:r w:rsidR="00A7712E" w:rsidRPr="00D76F19">
        <w:rPr>
          <w:szCs w:val="22"/>
          <w:lang w:val="cs-CZ"/>
        </w:rPr>
        <w:t>ům</w:t>
      </w:r>
      <w:proofErr w:type="spellEnd"/>
      <w:r w:rsidRPr="00D76F19">
        <w:rPr>
          <w:szCs w:val="22"/>
          <w:lang w:val="cs-CZ"/>
        </w:rPr>
        <w:t xml:space="preserve"> a snížit účinnost léčby ostatními chinolony z důvodů možné zkřížené rezistence.</w:t>
      </w:r>
    </w:p>
    <w:p w14:paraId="5FA3CE10" w14:textId="77777777" w:rsidR="00B3462C" w:rsidRPr="00D76F19" w:rsidRDefault="00B3462C" w:rsidP="00495FFE">
      <w:pPr>
        <w:pStyle w:val="Zkladntext"/>
        <w:tabs>
          <w:tab w:val="left" w:pos="567"/>
        </w:tabs>
        <w:rPr>
          <w:szCs w:val="22"/>
          <w:lang w:val="cs-CZ"/>
        </w:rPr>
      </w:pPr>
    </w:p>
    <w:p w14:paraId="2A252949" w14:textId="77777777" w:rsidR="00B3462C" w:rsidRPr="00D76F19" w:rsidRDefault="00B3462C" w:rsidP="00495FFE">
      <w:pPr>
        <w:keepNext/>
        <w:spacing w:line="240" w:lineRule="auto"/>
        <w:jc w:val="both"/>
        <w:rPr>
          <w:szCs w:val="22"/>
          <w:u w:val="single"/>
          <w:lang w:val="cs-CZ"/>
        </w:rPr>
      </w:pPr>
      <w:r w:rsidRPr="00D76F19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6EAD9774" w14:textId="77777777" w:rsidR="00B3462C" w:rsidRPr="00D76F19" w:rsidRDefault="00B3462C" w:rsidP="00495FFE">
      <w:pPr>
        <w:keepNext/>
        <w:spacing w:line="240" w:lineRule="auto"/>
        <w:jc w:val="both"/>
        <w:rPr>
          <w:szCs w:val="22"/>
          <w:lang w:val="cs-CZ"/>
        </w:rPr>
      </w:pPr>
    </w:p>
    <w:p w14:paraId="1498375A" w14:textId="77819FA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Tento </w:t>
      </w:r>
      <w:r w:rsidRPr="00D76F19">
        <w:rPr>
          <w:bCs/>
          <w:szCs w:val="22"/>
          <w:lang w:val="cs-CZ"/>
        </w:rPr>
        <w:t xml:space="preserve">veterinární léčivý </w:t>
      </w:r>
      <w:r w:rsidRPr="00D76F19">
        <w:rPr>
          <w:szCs w:val="22"/>
          <w:lang w:val="cs-CZ"/>
        </w:rPr>
        <w:t xml:space="preserve">přípravek je alkalický roztok. </w:t>
      </w:r>
      <w:r w:rsidR="00931680" w:rsidRPr="00D76F19">
        <w:rPr>
          <w:szCs w:val="22"/>
          <w:lang w:val="cs-CZ"/>
        </w:rPr>
        <w:t>Jakékoliv potřísnění pokožky ihned omyjte vodou.</w:t>
      </w:r>
    </w:p>
    <w:p w14:paraId="2E903510" w14:textId="4689907C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V případě zasažení očí je vypláchněte velkým množstvím čisté vody. Pokud </w:t>
      </w:r>
      <w:r w:rsidR="005E0FD6" w:rsidRPr="00D76F19">
        <w:rPr>
          <w:szCs w:val="22"/>
          <w:lang w:val="cs-CZ"/>
        </w:rPr>
        <w:t xml:space="preserve">se objeví </w:t>
      </w:r>
      <w:r w:rsidRPr="00D76F19">
        <w:rPr>
          <w:szCs w:val="22"/>
          <w:lang w:val="cs-CZ"/>
        </w:rPr>
        <w:t>podráždění, vyhledejte lékařskou pomoc.</w:t>
      </w:r>
    </w:p>
    <w:p w14:paraId="6D507795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Při používání </w:t>
      </w:r>
      <w:r w:rsidRPr="00D76F19">
        <w:rPr>
          <w:bCs/>
          <w:szCs w:val="22"/>
          <w:lang w:val="cs-CZ"/>
        </w:rPr>
        <w:t xml:space="preserve">veterinárního léčivého </w:t>
      </w:r>
      <w:r w:rsidRPr="00D76F19">
        <w:rPr>
          <w:szCs w:val="22"/>
          <w:lang w:val="cs-CZ"/>
        </w:rPr>
        <w:t>přípravku nejezte, nepijte ani nekuřte.</w:t>
      </w:r>
    </w:p>
    <w:p w14:paraId="430887FD" w14:textId="7F880FEC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bCs/>
          <w:szCs w:val="22"/>
          <w:lang w:val="cs-CZ"/>
        </w:rPr>
        <w:t xml:space="preserve">Zabraňte náhodnému sebepoškození injekčně </w:t>
      </w:r>
      <w:r w:rsidR="005E0FD6" w:rsidRPr="00D76F19">
        <w:rPr>
          <w:bCs/>
          <w:szCs w:val="22"/>
          <w:lang w:val="cs-CZ"/>
        </w:rPr>
        <w:t xml:space="preserve">podaným </w:t>
      </w:r>
      <w:r w:rsidRPr="00D76F19">
        <w:rPr>
          <w:bCs/>
          <w:szCs w:val="22"/>
          <w:lang w:val="cs-CZ"/>
        </w:rPr>
        <w:t xml:space="preserve">veterinárním léčivým přípravkem. </w:t>
      </w:r>
      <w:r w:rsidRPr="00D76F19">
        <w:rPr>
          <w:szCs w:val="22"/>
          <w:lang w:val="cs-CZ"/>
        </w:rPr>
        <w:t xml:space="preserve">V případě náhodného sebepoškození injekčně </w:t>
      </w:r>
      <w:r w:rsidR="005E0FD6" w:rsidRPr="00D76F19">
        <w:rPr>
          <w:szCs w:val="22"/>
          <w:lang w:val="cs-CZ"/>
        </w:rPr>
        <w:t xml:space="preserve">podaným </w:t>
      </w:r>
      <w:r w:rsidRPr="00D76F19">
        <w:rPr>
          <w:bCs/>
          <w:szCs w:val="22"/>
          <w:lang w:val="cs-CZ"/>
        </w:rPr>
        <w:t xml:space="preserve">veterinárním léčivým </w:t>
      </w:r>
      <w:r w:rsidRPr="00D76F19">
        <w:rPr>
          <w:szCs w:val="22"/>
          <w:lang w:val="cs-CZ"/>
        </w:rPr>
        <w:t>přípravkem vyhledejte ihned lékařskou pomoc a ukažte příbalovou informaci nebo etiketu praktickému lékaři.</w:t>
      </w:r>
    </w:p>
    <w:p w14:paraId="3955CE4D" w14:textId="6D94D39C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Lidé se známou přecitlivělostí na (</w:t>
      </w:r>
      <w:proofErr w:type="spellStart"/>
      <w:r w:rsidRPr="00D76F19">
        <w:rPr>
          <w:szCs w:val="22"/>
          <w:lang w:val="cs-CZ"/>
        </w:rPr>
        <w:t>fluoro</w:t>
      </w:r>
      <w:proofErr w:type="spellEnd"/>
      <w:r w:rsidRPr="00D76F19">
        <w:rPr>
          <w:szCs w:val="22"/>
          <w:lang w:val="cs-CZ"/>
        </w:rPr>
        <w:t>)</w:t>
      </w:r>
      <w:r w:rsidR="00D76F19">
        <w:rPr>
          <w:szCs w:val="22"/>
          <w:lang w:val="cs-CZ"/>
        </w:rPr>
        <w:t xml:space="preserve"> </w:t>
      </w:r>
      <w:proofErr w:type="spellStart"/>
      <w:r w:rsidRPr="00D76F19">
        <w:rPr>
          <w:szCs w:val="22"/>
          <w:lang w:val="cs-CZ"/>
        </w:rPr>
        <w:t>chinolony</w:t>
      </w:r>
      <w:proofErr w:type="spellEnd"/>
      <w:r w:rsidRPr="00D76F19">
        <w:rPr>
          <w:szCs w:val="22"/>
          <w:lang w:val="cs-CZ"/>
        </w:rPr>
        <w:t xml:space="preserve"> by se měli vyhnout kontaktu s tímto veterinárním léčivým přípravkem.</w:t>
      </w:r>
    </w:p>
    <w:p w14:paraId="2BD82E33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1F712648" w14:textId="77777777" w:rsidR="00B3462C" w:rsidRPr="00D76F19" w:rsidRDefault="00B3462C" w:rsidP="00495FFE">
      <w:pPr>
        <w:keepNext/>
        <w:spacing w:line="240" w:lineRule="auto"/>
        <w:jc w:val="both"/>
        <w:rPr>
          <w:szCs w:val="22"/>
          <w:u w:val="single"/>
          <w:lang w:val="cs-CZ"/>
        </w:rPr>
      </w:pPr>
      <w:r w:rsidRPr="00D76F19">
        <w:rPr>
          <w:szCs w:val="22"/>
          <w:u w:val="single"/>
          <w:lang w:val="cs-CZ"/>
        </w:rPr>
        <w:t>Zvláštní opatření pro ochranu životního prostředí:</w:t>
      </w:r>
    </w:p>
    <w:p w14:paraId="52D66422" w14:textId="77777777" w:rsidR="00B3462C" w:rsidRPr="00D76F19" w:rsidRDefault="00B3462C" w:rsidP="00495FFE">
      <w:pPr>
        <w:keepNext/>
        <w:spacing w:line="240" w:lineRule="auto"/>
        <w:jc w:val="both"/>
        <w:rPr>
          <w:szCs w:val="22"/>
          <w:u w:val="single"/>
          <w:lang w:val="cs-CZ"/>
        </w:rPr>
      </w:pPr>
    </w:p>
    <w:p w14:paraId="05CC4D3D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Neuplatňuje se.</w:t>
      </w:r>
    </w:p>
    <w:p w14:paraId="09BBCB52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0473B813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3.6</w:t>
      </w:r>
      <w:r w:rsidRPr="00D76F19">
        <w:rPr>
          <w:b/>
          <w:szCs w:val="22"/>
          <w:lang w:val="cs-CZ"/>
        </w:rPr>
        <w:tab/>
        <w:t xml:space="preserve">Nežádoucí účinky </w:t>
      </w:r>
    </w:p>
    <w:p w14:paraId="6669559D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2066862" w14:textId="77777777" w:rsidR="00B3462C" w:rsidRPr="0063687E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63687E">
        <w:rPr>
          <w:szCs w:val="22"/>
          <w:lang w:val="cs-CZ"/>
        </w:rPr>
        <w:t>Skot:</w:t>
      </w:r>
    </w:p>
    <w:p w14:paraId="7ADF7D92" w14:textId="77777777" w:rsidR="00B3462C" w:rsidRPr="00D76F19" w:rsidRDefault="00B3462C" w:rsidP="00B3462C">
      <w:pPr>
        <w:jc w:val="both"/>
        <w:rPr>
          <w:szCs w:val="22"/>
          <w:highlight w:val="green"/>
          <w:lang w:val="cs-CZ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4949"/>
      </w:tblGrid>
      <w:tr w:rsidR="00B3462C" w:rsidRPr="00D76F19" w14:paraId="2E92009B" w14:textId="77777777" w:rsidTr="004333A1">
        <w:trPr>
          <w:trHeight w:val="665"/>
        </w:trPr>
        <w:tc>
          <w:tcPr>
            <w:tcW w:w="2235" w:type="pct"/>
          </w:tcPr>
          <w:p w14:paraId="23DB5776" w14:textId="3D74C391" w:rsidR="00B3462C" w:rsidRPr="0063687E" w:rsidRDefault="00571DF2" w:rsidP="004333A1">
            <w:pPr>
              <w:ind w:right="-109"/>
              <w:rPr>
                <w:szCs w:val="22"/>
                <w:lang w:val="cs-CZ"/>
              </w:rPr>
            </w:pPr>
            <w:r w:rsidRPr="0063687E">
              <w:rPr>
                <w:szCs w:val="22"/>
                <w:lang w:val="cs-CZ"/>
              </w:rPr>
              <w:t>Neurčená frekvence</w:t>
            </w:r>
          </w:p>
          <w:p w14:paraId="5E9C8D45" w14:textId="0F6EEC89" w:rsidR="00571DF2" w:rsidRPr="00D76F19" w:rsidRDefault="00571DF2" w:rsidP="004333A1">
            <w:pPr>
              <w:ind w:right="-109"/>
              <w:rPr>
                <w:szCs w:val="22"/>
                <w:highlight w:val="green"/>
                <w:lang w:val="cs-CZ"/>
              </w:rPr>
            </w:pPr>
            <w:r w:rsidRPr="0063687E">
              <w:rPr>
                <w:szCs w:val="22"/>
                <w:lang w:val="cs-CZ"/>
              </w:rPr>
              <w:t>(z dostupných údajů nelze určit)</w:t>
            </w:r>
          </w:p>
        </w:tc>
        <w:tc>
          <w:tcPr>
            <w:tcW w:w="2765" w:type="pct"/>
          </w:tcPr>
          <w:p w14:paraId="36E4822F" w14:textId="437F649F" w:rsidR="00B3462C" w:rsidRPr="0063687E" w:rsidRDefault="00B3462C" w:rsidP="004333A1">
            <w:pPr>
              <w:jc w:val="both"/>
              <w:rPr>
                <w:szCs w:val="22"/>
                <w:lang w:val="cs-CZ"/>
              </w:rPr>
            </w:pPr>
            <w:r w:rsidRPr="0063687E">
              <w:rPr>
                <w:szCs w:val="22"/>
                <w:lang w:val="cs-CZ"/>
              </w:rPr>
              <w:t xml:space="preserve">Reakce v místě </w:t>
            </w:r>
            <w:r w:rsidR="00571DF2" w:rsidRPr="0063687E">
              <w:rPr>
                <w:szCs w:val="22"/>
                <w:lang w:val="cs-CZ"/>
              </w:rPr>
              <w:t>injekčního podání</w:t>
            </w:r>
            <w:r w:rsidRPr="0063687E">
              <w:rPr>
                <w:szCs w:val="22"/>
                <w:vertAlign w:val="superscript"/>
                <w:lang w:val="cs-CZ"/>
              </w:rPr>
              <w:t>1</w:t>
            </w:r>
          </w:p>
          <w:p w14:paraId="7763110C" w14:textId="77777777" w:rsidR="00B3462C" w:rsidRPr="00D76F19" w:rsidRDefault="00B3462C" w:rsidP="004333A1">
            <w:pPr>
              <w:jc w:val="both"/>
              <w:rPr>
                <w:szCs w:val="22"/>
                <w:highlight w:val="green"/>
                <w:lang w:val="cs-CZ"/>
              </w:rPr>
            </w:pPr>
          </w:p>
        </w:tc>
      </w:tr>
    </w:tbl>
    <w:p w14:paraId="322E0EE7" w14:textId="77777777" w:rsidR="00B3462C" w:rsidRPr="00D76F19" w:rsidRDefault="00B3462C" w:rsidP="00B3462C">
      <w:pPr>
        <w:jc w:val="both"/>
        <w:rPr>
          <w:szCs w:val="22"/>
          <w:lang w:val="cs-CZ"/>
        </w:rPr>
      </w:pPr>
      <w:r w:rsidRPr="0063687E">
        <w:rPr>
          <w:szCs w:val="22"/>
          <w:vertAlign w:val="superscript"/>
          <w:lang w:val="cs-CZ"/>
        </w:rPr>
        <w:t xml:space="preserve">1 </w:t>
      </w:r>
      <w:r w:rsidRPr="0063687E">
        <w:rPr>
          <w:szCs w:val="22"/>
          <w:lang w:val="cs-CZ"/>
        </w:rPr>
        <w:t>přechodné</w:t>
      </w:r>
    </w:p>
    <w:p w14:paraId="2BFE9088" w14:textId="77777777" w:rsidR="00B3462C" w:rsidRPr="00D76F19" w:rsidRDefault="00B3462C" w:rsidP="00B3462C">
      <w:pPr>
        <w:rPr>
          <w:szCs w:val="22"/>
          <w:lang w:val="cs-CZ"/>
        </w:rPr>
      </w:pPr>
    </w:p>
    <w:p w14:paraId="5FFB785D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 příbalové informaci.</w:t>
      </w:r>
    </w:p>
    <w:p w14:paraId="4D456226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9D327E3" w14:textId="77777777" w:rsidR="00B3462C" w:rsidRPr="00D76F19" w:rsidRDefault="00B3462C" w:rsidP="00495FFE">
      <w:pPr>
        <w:keepNext/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3.7</w:t>
      </w:r>
      <w:r w:rsidRPr="00D76F19">
        <w:rPr>
          <w:b/>
          <w:szCs w:val="22"/>
          <w:lang w:val="cs-CZ"/>
        </w:rPr>
        <w:tab/>
        <w:t>Použití v průběhu březosti, laktace nebo snášky</w:t>
      </w:r>
    </w:p>
    <w:p w14:paraId="34AE38BC" w14:textId="77777777" w:rsidR="00B3462C" w:rsidRPr="00D76F19" w:rsidRDefault="00B3462C" w:rsidP="00495FFE">
      <w:pPr>
        <w:keepNext/>
        <w:spacing w:line="240" w:lineRule="auto"/>
        <w:rPr>
          <w:szCs w:val="22"/>
          <w:lang w:val="cs-CZ"/>
        </w:rPr>
      </w:pPr>
    </w:p>
    <w:p w14:paraId="1AC35526" w14:textId="77777777" w:rsidR="00B3462C" w:rsidRPr="00D76F19" w:rsidRDefault="00B3462C" w:rsidP="00495FFE">
      <w:pPr>
        <w:spacing w:line="240" w:lineRule="auto"/>
        <w:rPr>
          <w:color w:val="000000"/>
          <w:szCs w:val="22"/>
          <w:u w:val="single"/>
          <w:lang w:val="cs-CZ"/>
        </w:rPr>
      </w:pPr>
      <w:r w:rsidRPr="00D76F19">
        <w:rPr>
          <w:color w:val="000000"/>
          <w:szCs w:val="22"/>
          <w:u w:val="single"/>
          <w:lang w:val="cs-CZ"/>
        </w:rPr>
        <w:t>Březost a laktace:</w:t>
      </w:r>
    </w:p>
    <w:p w14:paraId="52A645E8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4FD4AA79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szCs w:val="22"/>
          <w:lang w:val="cs-CZ"/>
        </w:rPr>
        <w:t>Lze použít během březosti a laktace.</w:t>
      </w:r>
    </w:p>
    <w:p w14:paraId="2C9CD1F4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172F49FF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3.8</w:t>
      </w:r>
      <w:r w:rsidRPr="00D76F19">
        <w:rPr>
          <w:b/>
          <w:szCs w:val="22"/>
          <w:lang w:val="cs-CZ"/>
        </w:rPr>
        <w:tab/>
        <w:t>Interakce s jinými léčivými přípravky a další formy interakce</w:t>
      </w:r>
    </w:p>
    <w:p w14:paraId="0C3672A3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1FD89722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Nejsou známy.</w:t>
      </w:r>
    </w:p>
    <w:p w14:paraId="532AA481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25F5C8B3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3.9</w:t>
      </w:r>
      <w:r w:rsidRPr="00D76F19">
        <w:rPr>
          <w:b/>
          <w:szCs w:val="22"/>
          <w:lang w:val="cs-CZ"/>
        </w:rPr>
        <w:tab/>
        <w:t>Cesty podání a dávkování</w:t>
      </w:r>
    </w:p>
    <w:p w14:paraId="5AD13077" w14:textId="77777777" w:rsidR="00454D1A" w:rsidRPr="0063687E" w:rsidRDefault="00454D1A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br/>
      </w:r>
      <w:r w:rsidRPr="0063687E">
        <w:rPr>
          <w:szCs w:val="22"/>
          <w:lang w:val="cs-CZ"/>
        </w:rPr>
        <w:t>Subkutánní nebo intravenózní podání.</w:t>
      </w:r>
    </w:p>
    <w:p w14:paraId="57B602C4" w14:textId="77777777" w:rsidR="00454D1A" w:rsidRPr="00D76F19" w:rsidRDefault="00454D1A" w:rsidP="00495FFE">
      <w:pPr>
        <w:spacing w:line="240" w:lineRule="auto"/>
        <w:jc w:val="both"/>
        <w:rPr>
          <w:szCs w:val="22"/>
          <w:lang w:val="cs-CZ"/>
        </w:rPr>
      </w:pPr>
    </w:p>
    <w:p w14:paraId="52D66774" w14:textId="304FCB84" w:rsidR="00B3462C" w:rsidRPr="00D76F19" w:rsidRDefault="00A7712E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Pro</w:t>
      </w:r>
      <w:r w:rsidR="00B3462C" w:rsidRPr="00D76F19">
        <w:rPr>
          <w:szCs w:val="22"/>
          <w:lang w:val="cs-CZ"/>
        </w:rPr>
        <w:t xml:space="preserve"> zajištění správného dávkování </w:t>
      </w:r>
      <w:r w:rsidRPr="00D76F19">
        <w:rPr>
          <w:szCs w:val="22"/>
          <w:lang w:val="cs-CZ"/>
        </w:rPr>
        <w:t xml:space="preserve"> je třeba co nejpřesněji stanovit </w:t>
      </w:r>
      <w:r w:rsidR="00B3462C" w:rsidRPr="00D76F19">
        <w:rPr>
          <w:szCs w:val="22"/>
          <w:lang w:val="cs-CZ"/>
        </w:rPr>
        <w:t>živ</w:t>
      </w:r>
      <w:r w:rsidRPr="00D76F19">
        <w:rPr>
          <w:szCs w:val="22"/>
          <w:lang w:val="cs-CZ"/>
        </w:rPr>
        <w:t>ou</w:t>
      </w:r>
      <w:r w:rsidR="00B3462C" w:rsidRPr="00D76F19">
        <w:rPr>
          <w:szCs w:val="22"/>
          <w:lang w:val="cs-CZ"/>
        </w:rPr>
        <w:t xml:space="preserve"> hmotnost</w:t>
      </w:r>
      <w:r w:rsidRPr="00D76F19">
        <w:rPr>
          <w:szCs w:val="22"/>
          <w:lang w:val="cs-CZ"/>
        </w:rPr>
        <w:t>.</w:t>
      </w:r>
    </w:p>
    <w:p w14:paraId="064BB957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2211FD2C" w14:textId="77777777" w:rsidR="00B3462C" w:rsidRPr="00D76F19" w:rsidRDefault="00B3462C" w:rsidP="00FB561E">
      <w:pPr>
        <w:keepNext/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lastRenderedPageBreak/>
        <w:t>Dávkování a délka trvání léčby:</w:t>
      </w:r>
    </w:p>
    <w:p w14:paraId="272A4E2A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1D05582F" w14:textId="1ABEB9EE" w:rsidR="00B3462C" w:rsidRPr="00D76F19" w:rsidRDefault="00B3462C" w:rsidP="00495FFE">
      <w:pPr>
        <w:spacing w:line="240" w:lineRule="auto"/>
        <w:jc w:val="both"/>
        <w:rPr>
          <w:szCs w:val="22"/>
          <w:u w:val="single"/>
          <w:lang w:val="cs-CZ"/>
        </w:rPr>
      </w:pPr>
      <w:r w:rsidRPr="00D76F19">
        <w:rPr>
          <w:szCs w:val="22"/>
          <w:u w:val="single"/>
          <w:lang w:val="cs-CZ"/>
        </w:rPr>
        <w:t>Respirační infekce skotu:</w:t>
      </w:r>
      <w:r w:rsidRPr="00D76F19">
        <w:rPr>
          <w:szCs w:val="22"/>
          <w:lang w:val="cs-CZ"/>
        </w:rPr>
        <w:t xml:space="preserve"> subkutánní </w:t>
      </w:r>
      <w:r w:rsidR="00D76F19">
        <w:rPr>
          <w:szCs w:val="22"/>
          <w:lang w:val="cs-CZ"/>
        </w:rPr>
        <w:t>podání</w:t>
      </w:r>
      <w:r w:rsidRPr="00D76F19">
        <w:rPr>
          <w:szCs w:val="22"/>
          <w:lang w:val="cs-CZ"/>
        </w:rPr>
        <w:t>:</w:t>
      </w:r>
    </w:p>
    <w:p w14:paraId="7114BC04" w14:textId="10538ADA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Jednorázová dávka 7,5 mg/kg živé hmotnosti (7,5 ml </w:t>
      </w:r>
      <w:r w:rsidR="00A7712E" w:rsidRPr="00D76F19">
        <w:rPr>
          <w:szCs w:val="22"/>
          <w:lang w:val="cs-CZ"/>
        </w:rPr>
        <w:t xml:space="preserve">veterinárního léčivého </w:t>
      </w:r>
      <w:r w:rsidRPr="00D76F19">
        <w:rPr>
          <w:szCs w:val="22"/>
          <w:lang w:val="cs-CZ"/>
        </w:rPr>
        <w:t>přípravku na 100 kg živé hmotnosti).</w:t>
      </w:r>
    </w:p>
    <w:p w14:paraId="437DE774" w14:textId="2E67BC9A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Objem </w:t>
      </w:r>
      <w:r w:rsidR="00A7712E" w:rsidRPr="00D76F19">
        <w:rPr>
          <w:szCs w:val="22"/>
          <w:lang w:val="cs-CZ"/>
        </w:rPr>
        <w:t xml:space="preserve">veterinárního léčivého </w:t>
      </w:r>
      <w:r w:rsidRPr="00D76F19">
        <w:rPr>
          <w:szCs w:val="22"/>
          <w:lang w:val="cs-CZ"/>
        </w:rPr>
        <w:t>přípravku podávaný na jedno místo</w:t>
      </w:r>
      <w:r w:rsidR="00A7712E" w:rsidRPr="00D76F19">
        <w:rPr>
          <w:szCs w:val="22"/>
          <w:lang w:val="cs-CZ"/>
        </w:rPr>
        <w:t xml:space="preserve"> subkutánního injekčního podání</w:t>
      </w:r>
      <w:r w:rsidRPr="00D76F19">
        <w:rPr>
          <w:szCs w:val="22"/>
          <w:lang w:val="cs-CZ"/>
        </w:rPr>
        <w:t xml:space="preserve"> nesmí překročit 15 ml.</w:t>
      </w:r>
    </w:p>
    <w:p w14:paraId="50252CAC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3D2FB307" w14:textId="329196EA" w:rsidR="00B3462C" w:rsidRPr="00D76F19" w:rsidRDefault="00B3462C" w:rsidP="00495FFE">
      <w:pPr>
        <w:spacing w:line="240" w:lineRule="auto"/>
        <w:jc w:val="both"/>
        <w:rPr>
          <w:szCs w:val="22"/>
          <w:u w:val="single"/>
          <w:lang w:val="cs-CZ"/>
        </w:rPr>
      </w:pPr>
      <w:r w:rsidRPr="00D76F19">
        <w:rPr>
          <w:i/>
          <w:szCs w:val="22"/>
          <w:u w:val="single"/>
          <w:lang w:val="cs-CZ"/>
        </w:rPr>
        <w:t>E. coli</w:t>
      </w:r>
      <w:r w:rsidRPr="00D76F19">
        <w:rPr>
          <w:szCs w:val="22"/>
          <w:u w:val="single"/>
          <w:lang w:val="cs-CZ"/>
        </w:rPr>
        <w:t xml:space="preserve"> mastitida skotu:</w:t>
      </w:r>
      <w:r w:rsidRPr="00D76F19">
        <w:rPr>
          <w:szCs w:val="22"/>
          <w:lang w:val="cs-CZ"/>
        </w:rPr>
        <w:t xml:space="preserve"> pomal</w:t>
      </w:r>
      <w:r w:rsidR="00D76F19">
        <w:rPr>
          <w:szCs w:val="22"/>
          <w:lang w:val="cs-CZ"/>
        </w:rPr>
        <w:t xml:space="preserve">é </w:t>
      </w:r>
      <w:r w:rsidRPr="00D76F19">
        <w:rPr>
          <w:szCs w:val="22"/>
          <w:lang w:val="cs-CZ"/>
        </w:rPr>
        <w:t xml:space="preserve">intravenózní </w:t>
      </w:r>
      <w:r w:rsidR="00D76F19">
        <w:rPr>
          <w:szCs w:val="22"/>
          <w:lang w:val="cs-CZ"/>
        </w:rPr>
        <w:t>podání</w:t>
      </w:r>
      <w:r w:rsidRPr="00D76F19">
        <w:rPr>
          <w:szCs w:val="22"/>
          <w:lang w:val="cs-CZ"/>
        </w:rPr>
        <w:t>:</w:t>
      </w:r>
    </w:p>
    <w:p w14:paraId="69F3E6A3" w14:textId="303BF714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5,0 ml na 100 kg </w:t>
      </w:r>
      <w:r w:rsidR="00A7712E" w:rsidRPr="00D76F19">
        <w:rPr>
          <w:szCs w:val="22"/>
          <w:lang w:val="cs-CZ"/>
        </w:rPr>
        <w:t xml:space="preserve">živé </w:t>
      </w:r>
      <w:r w:rsidRPr="00D76F19">
        <w:rPr>
          <w:szCs w:val="22"/>
          <w:lang w:val="cs-CZ"/>
        </w:rPr>
        <w:t xml:space="preserve">hmotnosti (5 mg enrofloxacinu na kg </w:t>
      </w:r>
      <w:r w:rsidR="00A7712E" w:rsidRPr="00D76F19">
        <w:rPr>
          <w:szCs w:val="22"/>
          <w:lang w:val="cs-CZ"/>
        </w:rPr>
        <w:t xml:space="preserve"> živé </w:t>
      </w:r>
      <w:r w:rsidRPr="00D76F19">
        <w:rPr>
          <w:szCs w:val="22"/>
          <w:lang w:val="cs-CZ"/>
        </w:rPr>
        <w:t>hmotnosti) denně po dobu 2 dnů.</w:t>
      </w:r>
    </w:p>
    <w:p w14:paraId="4CE3E5EA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5DF80EA8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3.10</w:t>
      </w:r>
      <w:r w:rsidRPr="00D76F19">
        <w:rPr>
          <w:b/>
          <w:szCs w:val="22"/>
          <w:lang w:val="cs-CZ"/>
        </w:rPr>
        <w:tab/>
        <w:t>Příznaky předávkování (a kde je relevantní, první pomoc a antidota)</w:t>
      </w:r>
    </w:p>
    <w:p w14:paraId="10573C45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DAFD27E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Dávka 25 mg/kg živé hmotnosti podávaná po dobu 15 po sobě jdoucích dnů je tolerována bez jakýchkoliv klinických symptomů.</w:t>
      </w:r>
    </w:p>
    <w:p w14:paraId="5D2B2B26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5C2348EA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Klinické příznaky pozorované při velkém předávkování zahrnují otupělost, kulhání, ataxii, mírné slinění a svalový třes. V případě náhodného předávkování neexistuje </w:t>
      </w:r>
      <w:proofErr w:type="spellStart"/>
      <w:r w:rsidRPr="00D76F19">
        <w:rPr>
          <w:szCs w:val="22"/>
          <w:lang w:val="cs-CZ"/>
        </w:rPr>
        <w:t>antidotum</w:t>
      </w:r>
      <w:proofErr w:type="spellEnd"/>
      <w:r w:rsidRPr="00D76F19">
        <w:rPr>
          <w:szCs w:val="22"/>
          <w:lang w:val="cs-CZ"/>
        </w:rPr>
        <w:t xml:space="preserve"> a léčba by měla být symptomatická.</w:t>
      </w:r>
    </w:p>
    <w:p w14:paraId="50B1195D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3526F541" w14:textId="77777777" w:rsidR="00B3462C" w:rsidRPr="00D76F19" w:rsidRDefault="00B3462C" w:rsidP="00495FFE">
      <w:pPr>
        <w:pStyle w:val="Style1"/>
        <w:ind w:left="0" w:firstLine="0"/>
        <w:jc w:val="both"/>
      </w:pPr>
      <w:r w:rsidRPr="00D76F19">
        <w:t>3.11</w:t>
      </w:r>
      <w:r w:rsidRPr="00D76F19">
        <w:tab/>
        <w:t xml:space="preserve">Zvláštní omezení pro použití a zvláštní podmínky pro použití, včetně omezení používání antimikrobních a </w:t>
      </w:r>
      <w:proofErr w:type="spellStart"/>
      <w:r w:rsidRPr="00D76F19">
        <w:t>antiparazitárních</w:t>
      </w:r>
      <w:proofErr w:type="spellEnd"/>
      <w:r w:rsidRPr="00D76F19">
        <w:t xml:space="preserve"> veterinárních léčivých přípravků, za účelem snížení rizika rozvoje rezistence</w:t>
      </w:r>
    </w:p>
    <w:p w14:paraId="329B8ABE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1426637B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szCs w:val="22"/>
          <w:lang w:val="cs-CZ"/>
        </w:rPr>
        <w:t>Neuplatňuje se.</w:t>
      </w:r>
    </w:p>
    <w:p w14:paraId="1E6080C3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</w:p>
    <w:p w14:paraId="77387CDF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3.12</w:t>
      </w:r>
      <w:r w:rsidRPr="00D76F19">
        <w:rPr>
          <w:b/>
          <w:szCs w:val="22"/>
          <w:lang w:val="cs-CZ"/>
        </w:rPr>
        <w:tab/>
        <w:t>Ochranné lhůty</w:t>
      </w:r>
    </w:p>
    <w:p w14:paraId="4D1B7484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3151CF62" w14:textId="6280583F" w:rsidR="00B3462C" w:rsidRPr="00D76F19" w:rsidRDefault="00B3462C" w:rsidP="00495FFE">
      <w:pPr>
        <w:spacing w:line="240" w:lineRule="auto"/>
        <w:jc w:val="both"/>
        <w:rPr>
          <w:szCs w:val="22"/>
          <w:u w:val="single"/>
          <w:lang w:val="cs-CZ"/>
        </w:rPr>
      </w:pPr>
      <w:r w:rsidRPr="00D76F19">
        <w:rPr>
          <w:szCs w:val="22"/>
          <w:u w:val="single"/>
          <w:lang w:val="cs-CZ"/>
        </w:rPr>
        <w:t>Subkutánní podání</w:t>
      </w:r>
      <w:r w:rsidR="00462AA1" w:rsidRPr="00D76F19">
        <w:rPr>
          <w:szCs w:val="22"/>
          <w:u w:val="single"/>
          <w:lang w:val="cs-CZ"/>
        </w:rPr>
        <w:t>:</w:t>
      </w:r>
    </w:p>
    <w:p w14:paraId="2A8DBDDE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Maso: 14 dní.</w:t>
      </w:r>
    </w:p>
    <w:p w14:paraId="1AB9AA45" w14:textId="77777777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Mléko: 84 hodin.</w:t>
      </w:r>
    </w:p>
    <w:p w14:paraId="5FC5CA84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41F725A9" w14:textId="70C6572E" w:rsidR="00B3462C" w:rsidRPr="00D76F19" w:rsidRDefault="00B3462C" w:rsidP="00495FFE">
      <w:pPr>
        <w:spacing w:line="240" w:lineRule="auto"/>
        <w:jc w:val="both"/>
        <w:rPr>
          <w:szCs w:val="22"/>
          <w:u w:val="single"/>
          <w:lang w:val="cs-CZ"/>
        </w:rPr>
      </w:pPr>
      <w:r w:rsidRPr="00D76F19">
        <w:rPr>
          <w:szCs w:val="22"/>
          <w:u w:val="single"/>
          <w:lang w:val="cs-CZ"/>
        </w:rPr>
        <w:t>Intravenózní podání</w:t>
      </w:r>
      <w:r w:rsidR="00462AA1" w:rsidRPr="00D76F19">
        <w:rPr>
          <w:szCs w:val="22"/>
          <w:u w:val="single"/>
          <w:lang w:val="cs-CZ"/>
        </w:rPr>
        <w:t>:</w:t>
      </w:r>
    </w:p>
    <w:p w14:paraId="416C99F6" w14:textId="040B67F1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Maso: 4 dny</w:t>
      </w:r>
      <w:r w:rsidR="00462AA1" w:rsidRPr="00D76F19">
        <w:rPr>
          <w:szCs w:val="22"/>
          <w:lang w:val="cs-CZ"/>
        </w:rPr>
        <w:t>.</w:t>
      </w:r>
    </w:p>
    <w:p w14:paraId="7E5B5CD6" w14:textId="449F2F24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Mléko: 72 hodin</w:t>
      </w:r>
      <w:r w:rsidR="00462AA1" w:rsidRPr="00D76F19">
        <w:rPr>
          <w:szCs w:val="22"/>
          <w:lang w:val="cs-CZ"/>
        </w:rPr>
        <w:t>.</w:t>
      </w:r>
    </w:p>
    <w:p w14:paraId="12058238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</w:p>
    <w:p w14:paraId="78615736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</w:p>
    <w:p w14:paraId="495BADA6" w14:textId="77777777" w:rsidR="00B3462C" w:rsidRPr="00D76F19" w:rsidRDefault="00B3462C" w:rsidP="00495FFE">
      <w:pPr>
        <w:keepNext/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4.</w:t>
      </w:r>
      <w:r w:rsidRPr="00D76F19">
        <w:rPr>
          <w:b/>
          <w:szCs w:val="22"/>
          <w:lang w:val="cs-CZ"/>
        </w:rPr>
        <w:tab/>
        <w:t>FARMAKOLOGICKÉ INFORMACE</w:t>
      </w:r>
    </w:p>
    <w:p w14:paraId="5D219D08" w14:textId="77777777" w:rsidR="00B3462C" w:rsidRPr="00D76F19" w:rsidRDefault="00B3462C" w:rsidP="00495FFE">
      <w:pPr>
        <w:keepNext/>
        <w:spacing w:line="240" w:lineRule="auto"/>
        <w:rPr>
          <w:szCs w:val="22"/>
          <w:lang w:val="cs-CZ"/>
        </w:rPr>
      </w:pPr>
    </w:p>
    <w:p w14:paraId="6D92330A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>4.1</w:t>
      </w:r>
      <w:r w:rsidRPr="00D76F19">
        <w:rPr>
          <w:b/>
          <w:szCs w:val="22"/>
          <w:lang w:val="cs-CZ"/>
        </w:rPr>
        <w:tab/>
      </w:r>
      <w:proofErr w:type="spellStart"/>
      <w:r w:rsidRPr="00D76F19">
        <w:rPr>
          <w:b/>
          <w:szCs w:val="22"/>
          <w:lang w:val="cs-CZ"/>
        </w:rPr>
        <w:t>ATCvet</w:t>
      </w:r>
      <w:proofErr w:type="spellEnd"/>
      <w:r w:rsidRPr="00D76F19">
        <w:rPr>
          <w:b/>
          <w:szCs w:val="22"/>
          <w:lang w:val="cs-CZ"/>
        </w:rPr>
        <w:t xml:space="preserve"> kód: </w:t>
      </w:r>
      <w:r w:rsidRPr="00D76F19">
        <w:rPr>
          <w:bCs/>
          <w:szCs w:val="22"/>
          <w:lang w:val="cs-CZ"/>
        </w:rPr>
        <w:t>QJ01MA90</w:t>
      </w:r>
    </w:p>
    <w:p w14:paraId="1CBCFF7F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19A25E2A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>4.2</w:t>
      </w:r>
      <w:r w:rsidRPr="00D76F19">
        <w:rPr>
          <w:b/>
          <w:szCs w:val="22"/>
          <w:lang w:val="cs-CZ"/>
        </w:rPr>
        <w:tab/>
        <w:t>Farmakodynamika</w:t>
      </w:r>
    </w:p>
    <w:p w14:paraId="05033F7D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68A743CC" w14:textId="77777777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  <w:r w:rsidRPr="00D76F19">
        <w:rPr>
          <w:color w:val="000000"/>
          <w:szCs w:val="22"/>
          <w:lang w:val="cs-CZ"/>
        </w:rPr>
        <w:t xml:space="preserve">Enrofloxacin působí baktericidně proti řadě grampozitivních a gramnegativních bakterií a </w:t>
      </w:r>
      <w:proofErr w:type="spellStart"/>
      <w:r w:rsidRPr="00D76F19">
        <w:rPr>
          <w:color w:val="000000"/>
          <w:szCs w:val="22"/>
          <w:lang w:val="cs-CZ"/>
        </w:rPr>
        <w:t>mykoplazmat</w:t>
      </w:r>
      <w:proofErr w:type="spellEnd"/>
      <w:r w:rsidRPr="00D76F19">
        <w:rPr>
          <w:color w:val="000000"/>
          <w:szCs w:val="22"/>
          <w:lang w:val="cs-CZ"/>
        </w:rPr>
        <w:t xml:space="preserve">. Mechanismus působení </w:t>
      </w:r>
      <w:proofErr w:type="spellStart"/>
      <w:r w:rsidRPr="00D76F19">
        <w:rPr>
          <w:color w:val="000000"/>
          <w:szCs w:val="22"/>
          <w:lang w:val="cs-CZ"/>
        </w:rPr>
        <w:t>chiniolonů</w:t>
      </w:r>
      <w:proofErr w:type="spellEnd"/>
      <w:r w:rsidRPr="00D76F19">
        <w:rPr>
          <w:color w:val="000000"/>
          <w:szCs w:val="22"/>
          <w:lang w:val="cs-CZ"/>
        </w:rPr>
        <w:t xml:space="preserve"> je mezi </w:t>
      </w:r>
      <w:proofErr w:type="spellStart"/>
      <w:r w:rsidRPr="00D76F19">
        <w:rPr>
          <w:color w:val="000000"/>
          <w:szCs w:val="22"/>
          <w:lang w:val="cs-CZ"/>
        </w:rPr>
        <w:t>antimikrobiky</w:t>
      </w:r>
      <w:proofErr w:type="spellEnd"/>
      <w:r w:rsidRPr="00D76F19">
        <w:rPr>
          <w:color w:val="000000"/>
          <w:szCs w:val="22"/>
          <w:lang w:val="cs-CZ"/>
        </w:rPr>
        <w:t xml:space="preserve"> jedinečný – primárně inhibují DNA-</w:t>
      </w:r>
      <w:proofErr w:type="spellStart"/>
      <w:r w:rsidRPr="00D76F19">
        <w:rPr>
          <w:color w:val="000000"/>
          <w:szCs w:val="22"/>
          <w:lang w:val="cs-CZ"/>
        </w:rPr>
        <w:t>gyrázu</w:t>
      </w:r>
      <w:proofErr w:type="spellEnd"/>
      <w:r w:rsidRPr="00D76F19">
        <w:rPr>
          <w:color w:val="000000"/>
          <w:szCs w:val="22"/>
          <w:lang w:val="cs-CZ"/>
        </w:rPr>
        <w:t xml:space="preserve">, enzym odpovědný za kontrolu prostorové konfirmace vinutí bakteriální DNA v průběhu replikace. Inhibuje se opětovné spojení dvoušroubovice s následkem nevratné degradace chromosomální DNA. Fluorochinolony též působí proti bakteriím ve stacionární fázi změnou propustnosti vnější </w:t>
      </w:r>
      <w:proofErr w:type="spellStart"/>
      <w:r w:rsidRPr="00D76F19">
        <w:rPr>
          <w:color w:val="000000"/>
          <w:szCs w:val="22"/>
          <w:lang w:val="cs-CZ"/>
        </w:rPr>
        <w:t>fosfolipidové</w:t>
      </w:r>
      <w:proofErr w:type="spellEnd"/>
      <w:r w:rsidRPr="00D76F19">
        <w:rPr>
          <w:color w:val="000000"/>
          <w:szCs w:val="22"/>
          <w:lang w:val="cs-CZ"/>
        </w:rPr>
        <w:t xml:space="preserve"> membrány buněčné stěny, avšak nepůsobí proti striktně anaerobním mikroorganismům. </w:t>
      </w:r>
    </w:p>
    <w:p w14:paraId="73E0DB72" w14:textId="77777777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b/>
          <w:color w:val="000000"/>
          <w:szCs w:val="22"/>
          <w:lang w:val="cs-CZ"/>
        </w:rPr>
      </w:pPr>
    </w:p>
    <w:p w14:paraId="144FABAA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color w:val="000000"/>
          <w:szCs w:val="22"/>
          <w:lang w:val="cs-CZ"/>
        </w:rPr>
        <w:t xml:space="preserve">Bylo pozorováno, že rezistence na </w:t>
      </w:r>
      <w:r w:rsidRPr="00D76F19">
        <w:rPr>
          <w:szCs w:val="22"/>
          <w:lang w:val="cs-CZ"/>
        </w:rPr>
        <w:t xml:space="preserve">fluorochinolony na molekulární úrovni vzniká na základě dvou základních příčin, (i) změnou DNA </w:t>
      </w:r>
      <w:proofErr w:type="spellStart"/>
      <w:r w:rsidRPr="00D76F19">
        <w:rPr>
          <w:szCs w:val="22"/>
          <w:lang w:val="cs-CZ"/>
        </w:rPr>
        <w:t>gyrázy</w:t>
      </w:r>
      <w:proofErr w:type="spellEnd"/>
      <w:r w:rsidRPr="00D76F19">
        <w:rPr>
          <w:szCs w:val="22"/>
          <w:lang w:val="cs-CZ"/>
        </w:rPr>
        <w:t xml:space="preserve"> nebo </w:t>
      </w:r>
      <w:proofErr w:type="spellStart"/>
      <w:r w:rsidRPr="00D76F19">
        <w:rPr>
          <w:szCs w:val="22"/>
          <w:lang w:val="cs-CZ"/>
        </w:rPr>
        <w:t>topoizomerázy</w:t>
      </w:r>
      <w:proofErr w:type="spellEnd"/>
      <w:r w:rsidRPr="00D76F19">
        <w:rPr>
          <w:szCs w:val="22"/>
          <w:lang w:val="cs-CZ"/>
        </w:rPr>
        <w:t xml:space="preserve"> IV a (</w:t>
      </w:r>
      <w:proofErr w:type="spellStart"/>
      <w:r w:rsidRPr="00D76F19">
        <w:rPr>
          <w:szCs w:val="22"/>
          <w:lang w:val="cs-CZ"/>
        </w:rPr>
        <w:t>ii</w:t>
      </w:r>
      <w:proofErr w:type="spellEnd"/>
      <w:r w:rsidRPr="00D76F19">
        <w:rPr>
          <w:szCs w:val="22"/>
          <w:lang w:val="cs-CZ"/>
        </w:rPr>
        <w:t>) změnou propustnosti bakteriální stěny k léčivu. Oba mechanizmy vedou ke snížené citlivosti bakterií k fluorochinolonům. Klinická rezistence je důsledkem nahromadění několika mutací, ke kterým dochází postupně.</w:t>
      </w:r>
    </w:p>
    <w:p w14:paraId="4F7946FD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7AA53485" w14:textId="77777777" w:rsidR="00B3462C" w:rsidRPr="00D76F19" w:rsidRDefault="00B3462C" w:rsidP="00FB561E">
      <w:pPr>
        <w:keepNext/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lastRenderedPageBreak/>
        <w:t>4.3</w:t>
      </w:r>
      <w:r w:rsidRPr="00D76F19">
        <w:rPr>
          <w:b/>
          <w:szCs w:val="22"/>
          <w:lang w:val="cs-CZ"/>
        </w:rPr>
        <w:tab/>
        <w:t>Farmakokinetika</w:t>
      </w:r>
    </w:p>
    <w:p w14:paraId="2EDCBFA3" w14:textId="77777777" w:rsidR="00B3462C" w:rsidRPr="00D76F19" w:rsidRDefault="00B3462C" w:rsidP="00FB561E">
      <w:pPr>
        <w:keepNext/>
        <w:spacing w:line="240" w:lineRule="auto"/>
        <w:rPr>
          <w:szCs w:val="22"/>
          <w:lang w:val="cs-CZ"/>
        </w:rPr>
      </w:pPr>
    </w:p>
    <w:p w14:paraId="65B0AAA7" w14:textId="57D812E3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  <w:r w:rsidRPr="00D76F19">
        <w:rPr>
          <w:color w:val="000000"/>
          <w:szCs w:val="22"/>
          <w:lang w:val="cs-CZ"/>
        </w:rPr>
        <w:t>Farmakokinetika enrofloxacinu je taková, že perorální a parenterální způsoby podání vedou k podobným hladinám v krevním séru. Enrofloxacin je rozpustný v tucích, je amfoterní a má velký distribuční objem. Koncentrace v tkáních dvakrát až třikrát vyšší</w:t>
      </w:r>
      <w:r w:rsidR="00A15EC1" w:rsidRPr="00D76F19">
        <w:rPr>
          <w:color w:val="000000"/>
          <w:szCs w:val="22"/>
          <w:lang w:val="cs-CZ"/>
        </w:rPr>
        <w:t>,</w:t>
      </w:r>
      <w:r w:rsidRPr="00D76F19">
        <w:rPr>
          <w:color w:val="000000"/>
          <w:szCs w:val="22"/>
          <w:lang w:val="cs-CZ"/>
        </w:rPr>
        <w:t xml:space="preserve"> než v krevním séru byly prokázány u</w:t>
      </w:r>
      <w:r w:rsidR="00FB561E" w:rsidRPr="00D76F19">
        <w:rPr>
          <w:color w:val="000000"/>
          <w:szCs w:val="22"/>
          <w:lang w:val="cs-CZ"/>
        </w:rPr>
        <w:t> </w:t>
      </w:r>
      <w:r w:rsidRPr="00D76F19">
        <w:rPr>
          <w:color w:val="000000"/>
          <w:szCs w:val="22"/>
          <w:lang w:val="cs-CZ"/>
        </w:rPr>
        <w:t xml:space="preserve">laboratorních zvířat a cílových druhů. Vysoké hladiny lze očekávat v následujících orgánech: plíce, játra, ledviny, kůže, kosti a lymfatický systém. Enrofloxacin též vstupuje do mozkomíšního moku, komorové vody a plodu u gravidních zvířat. </w:t>
      </w:r>
    </w:p>
    <w:p w14:paraId="458FABB9" w14:textId="77777777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</w:p>
    <w:p w14:paraId="33BBB6FE" w14:textId="07827D08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  <w:r w:rsidRPr="00D76F19">
        <w:rPr>
          <w:color w:val="000000"/>
          <w:szCs w:val="22"/>
          <w:lang w:val="cs-CZ"/>
        </w:rPr>
        <w:t xml:space="preserve">Po </w:t>
      </w:r>
      <w:r w:rsidR="00A15EC1" w:rsidRPr="00D76F19">
        <w:rPr>
          <w:color w:val="000000"/>
          <w:szCs w:val="22"/>
          <w:lang w:val="cs-CZ"/>
        </w:rPr>
        <w:t xml:space="preserve">subkutánním </w:t>
      </w:r>
      <w:r w:rsidRPr="00D76F19">
        <w:rPr>
          <w:color w:val="000000"/>
          <w:szCs w:val="22"/>
          <w:lang w:val="cs-CZ"/>
        </w:rPr>
        <w:t>podání dávky 7,5 mg/kg se během 6 h dosahuje maximální koncentrace v krevní plazmě 0,8 </w:t>
      </w:r>
      <w:proofErr w:type="spellStart"/>
      <w:r w:rsidRPr="00D76F19">
        <w:rPr>
          <w:color w:val="000000"/>
          <w:szCs w:val="22"/>
          <w:lang w:val="cs-CZ"/>
        </w:rPr>
        <w:t>μg</w:t>
      </w:r>
      <w:proofErr w:type="spellEnd"/>
      <w:r w:rsidRPr="00D76F19">
        <w:rPr>
          <w:color w:val="000000"/>
          <w:szCs w:val="22"/>
          <w:lang w:val="cs-CZ"/>
        </w:rPr>
        <w:t>/ml. Enrofloxacin se částečně metabolizuje v játrech. Přibližně 45 % dávky se vylučuje močí a</w:t>
      </w:r>
      <w:r w:rsidR="00FB561E" w:rsidRPr="00D76F19">
        <w:rPr>
          <w:color w:val="000000"/>
          <w:szCs w:val="22"/>
          <w:lang w:val="cs-CZ"/>
        </w:rPr>
        <w:t> </w:t>
      </w:r>
      <w:r w:rsidRPr="00D76F19">
        <w:rPr>
          <w:color w:val="000000"/>
          <w:szCs w:val="22"/>
          <w:lang w:val="cs-CZ"/>
        </w:rPr>
        <w:t>55 % stolicí ve formě léčivé látky a metabolitů.</w:t>
      </w:r>
    </w:p>
    <w:p w14:paraId="4367FF7F" w14:textId="77777777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</w:p>
    <w:p w14:paraId="07C18115" w14:textId="34034950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  <w:r w:rsidRPr="00D76F19">
        <w:rPr>
          <w:color w:val="000000"/>
          <w:szCs w:val="22"/>
          <w:lang w:val="cs-CZ"/>
        </w:rPr>
        <w:t xml:space="preserve">Po intravenózním podání 5 mg enrofloxacinu na kg živé hmotnosti </w:t>
      </w:r>
      <w:proofErr w:type="spellStart"/>
      <w:r w:rsidRPr="00D76F19">
        <w:rPr>
          <w:color w:val="000000"/>
          <w:szCs w:val="22"/>
          <w:lang w:val="cs-CZ"/>
        </w:rPr>
        <w:t>laktujícímu</w:t>
      </w:r>
      <w:proofErr w:type="spellEnd"/>
      <w:r w:rsidRPr="00D76F19">
        <w:rPr>
          <w:color w:val="000000"/>
          <w:szCs w:val="22"/>
          <w:lang w:val="cs-CZ"/>
        </w:rPr>
        <w:t xml:space="preserve"> mléčnému skotu byla celková systémová expozice v průběhu dávkového intervalu 24 hodin 7,1 mg*h/L. Přibližně 30 % expozice </w:t>
      </w:r>
      <w:r w:rsidR="00A15EC1" w:rsidRPr="00D76F19">
        <w:rPr>
          <w:color w:val="000000"/>
          <w:szCs w:val="22"/>
          <w:lang w:val="cs-CZ"/>
        </w:rPr>
        <w:t xml:space="preserve">léčiva </w:t>
      </w:r>
      <w:r w:rsidRPr="00D76F19">
        <w:rPr>
          <w:color w:val="000000"/>
          <w:szCs w:val="22"/>
          <w:lang w:val="cs-CZ"/>
        </w:rPr>
        <w:t>(2,31 mg*h/L) v krevním séru skotu sestávalo z ciprofloxacinu, účinného metabolitu enrofloxacinu. Léčivo bylo dobře distribuováno do všech částí těla (</w:t>
      </w:r>
      <w:proofErr w:type="spellStart"/>
      <w:r w:rsidRPr="00D76F19">
        <w:rPr>
          <w:color w:val="000000"/>
          <w:szCs w:val="22"/>
          <w:lang w:val="cs-CZ"/>
        </w:rPr>
        <w:t>V</w:t>
      </w:r>
      <w:r w:rsidRPr="00D76F19">
        <w:rPr>
          <w:color w:val="000000"/>
          <w:szCs w:val="22"/>
          <w:vertAlign w:val="subscript"/>
          <w:lang w:val="cs-CZ"/>
        </w:rPr>
        <w:t>enro</w:t>
      </w:r>
      <w:proofErr w:type="spellEnd"/>
      <w:r w:rsidRPr="00D76F19">
        <w:rPr>
          <w:color w:val="000000"/>
          <w:szCs w:val="22"/>
          <w:lang w:val="cs-CZ"/>
        </w:rPr>
        <w:t xml:space="preserve"> = 1,5 L/kg, </w:t>
      </w:r>
      <w:proofErr w:type="spellStart"/>
      <w:r w:rsidRPr="00D76F19">
        <w:rPr>
          <w:color w:val="000000"/>
          <w:szCs w:val="22"/>
          <w:lang w:val="cs-CZ"/>
        </w:rPr>
        <w:t>V</w:t>
      </w:r>
      <w:r w:rsidRPr="00D76F19">
        <w:rPr>
          <w:color w:val="000000"/>
          <w:szCs w:val="22"/>
          <w:vertAlign w:val="subscript"/>
          <w:lang w:val="cs-CZ"/>
        </w:rPr>
        <w:t>cipro</w:t>
      </w:r>
      <w:proofErr w:type="spellEnd"/>
      <w:r w:rsidRPr="00D76F19">
        <w:rPr>
          <w:color w:val="000000"/>
          <w:szCs w:val="22"/>
          <w:lang w:val="cs-CZ"/>
        </w:rPr>
        <w:t xml:space="preserve"> = 8,51 L/kg). Celková tělesná </w:t>
      </w:r>
      <w:proofErr w:type="spellStart"/>
      <w:r w:rsidRPr="00D76F19">
        <w:rPr>
          <w:color w:val="000000"/>
          <w:szCs w:val="22"/>
          <w:lang w:val="cs-CZ"/>
        </w:rPr>
        <w:t>clearance</w:t>
      </w:r>
      <w:proofErr w:type="spellEnd"/>
      <w:r w:rsidRPr="00D76F19">
        <w:rPr>
          <w:color w:val="000000"/>
          <w:szCs w:val="22"/>
          <w:lang w:val="cs-CZ"/>
        </w:rPr>
        <w:t xml:space="preserve"> byla 0,71 L/h/kg.</w:t>
      </w:r>
    </w:p>
    <w:p w14:paraId="2581C338" w14:textId="60F93F75" w:rsidR="00B3462C" w:rsidRPr="00D76F19" w:rsidRDefault="00B3462C" w:rsidP="00495FFE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  <w:r w:rsidRPr="00D76F19">
        <w:rPr>
          <w:color w:val="000000"/>
          <w:szCs w:val="22"/>
          <w:lang w:val="cs-CZ"/>
        </w:rPr>
        <w:t>V mléce je většina léčiva ve formě ciprofloxacinu. Celkov</w:t>
      </w:r>
      <w:r w:rsidR="00A15EC1" w:rsidRPr="00D76F19">
        <w:rPr>
          <w:color w:val="000000"/>
          <w:szCs w:val="22"/>
          <w:lang w:val="cs-CZ"/>
        </w:rPr>
        <w:t>é</w:t>
      </w:r>
      <w:r w:rsidRPr="00D76F19">
        <w:rPr>
          <w:color w:val="000000"/>
          <w:szCs w:val="22"/>
          <w:lang w:val="cs-CZ"/>
        </w:rPr>
        <w:t xml:space="preserve"> koncentrace léčiva dosahuj</w:t>
      </w:r>
      <w:r w:rsidR="00A15EC1" w:rsidRPr="00D76F19">
        <w:rPr>
          <w:color w:val="000000"/>
          <w:szCs w:val="22"/>
          <w:lang w:val="cs-CZ"/>
        </w:rPr>
        <w:t>í</w:t>
      </w:r>
      <w:r w:rsidRPr="00D76F19">
        <w:rPr>
          <w:color w:val="000000"/>
          <w:szCs w:val="22"/>
          <w:lang w:val="cs-CZ"/>
        </w:rPr>
        <w:t xml:space="preserve"> maxim</w:t>
      </w:r>
      <w:r w:rsidR="00A15EC1" w:rsidRPr="00D76F19">
        <w:rPr>
          <w:color w:val="000000"/>
          <w:szCs w:val="22"/>
          <w:lang w:val="cs-CZ"/>
        </w:rPr>
        <w:t>a</w:t>
      </w:r>
      <w:r w:rsidRPr="00D76F19">
        <w:rPr>
          <w:color w:val="000000"/>
          <w:szCs w:val="22"/>
          <w:lang w:val="cs-CZ"/>
        </w:rPr>
        <w:t xml:space="preserve"> 4,1 mg/kg dvě hodiny po podání. Celková expozice léčivu v průběhu 24 hodin byla 22,1</w:t>
      </w:r>
      <w:r w:rsidR="00FB561E" w:rsidRPr="00D76F19">
        <w:rPr>
          <w:color w:val="000000"/>
          <w:szCs w:val="22"/>
          <w:lang w:val="cs-CZ"/>
        </w:rPr>
        <w:t> </w:t>
      </w:r>
      <w:r w:rsidRPr="00D76F19">
        <w:rPr>
          <w:color w:val="000000"/>
          <w:szCs w:val="22"/>
          <w:lang w:val="cs-CZ"/>
        </w:rPr>
        <w:t xml:space="preserve">mg*h/L. </w:t>
      </w:r>
      <w:r w:rsidR="00A15EC1" w:rsidRPr="00D76F19">
        <w:rPr>
          <w:color w:val="000000"/>
          <w:szCs w:val="22"/>
          <w:lang w:val="cs-CZ"/>
        </w:rPr>
        <w:t xml:space="preserve">Účinné </w:t>
      </w:r>
      <w:r w:rsidRPr="00D76F19">
        <w:rPr>
          <w:color w:val="000000"/>
          <w:szCs w:val="22"/>
          <w:lang w:val="cs-CZ"/>
        </w:rPr>
        <w:t>látky byly eliminovány z mléka s průměrných poločasem 2,8 hod.</w:t>
      </w:r>
    </w:p>
    <w:p w14:paraId="7E2B04D8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5365D9F0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0566B59E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>5.</w:t>
      </w:r>
      <w:r w:rsidRPr="00D76F19">
        <w:rPr>
          <w:b/>
          <w:szCs w:val="22"/>
          <w:lang w:val="cs-CZ"/>
        </w:rPr>
        <w:tab/>
        <w:t>FARMACEUTICKÉ ÚDAJE</w:t>
      </w:r>
    </w:p>
    <w:p w14:paraId="50521150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</w:p>
    <w:p w14:paraId="776F1CA0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5.1</w:t>
      </w:r>
      <w:r w:rsidRPr="00D76F19">
        <w:rPr>
          <w:b/>
          <w:szCs w:val="22"/>
          <w:lang w:val="cs-CZ"/>
        </w:rPr>
        <w:tab/>
        <w:t>Hlavní inkompatibility</w:t>
      </w:r>
    </w:p>
    <w:p w14:paraId="7CAA1BE9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24FDA82A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Studie kompatibility nejsou k dispozici, a proto tento veterinární léčivý přípravek nesmí být mísen s žádnými dalšími veterinárními léčivými přípravky.</w:t>
      </w:r>
    </w:p>
    <w:p w14:paraId="32292A1A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040EEED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5.2</w:t>
      </w:r>
      <w:r w:rsidRPr="00D76F19">
        <w:rPr>
          <w:b/>
          <w:szCs w:val="22"/>
          <w:lang w:val="cs-CZ"/>
        </w:rPr>
        <w:tab/>
        <w:t>Doba použitelnosti</w:t>
      </w:r>
    </w:p>
    <w:p w14:paraId="061ADEE1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4FE51D0D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Doba použitelnosti veterinárního léčivého přípravku v neporušeném obalu: 5 let.</w:t>
      </w:r>
    </w:p>
    <w:p w14:paraId="23986839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Doba použitelnosti po prvním otevření vnitřního obalu: 28 dní.</w:t>
      </w:r>
    </w:p>
    <w:p w14:paraId="28E306C9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288809B7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5.3</w:t>
      </w:r>
      <w:r w:rsidRPr="00D76F19">
        <w:rPr>
          <w:b/>
          <w:szCs w:val="22"/>
          <w:lang w:val="cs-CZ"/>
        </w:rPr>
        <w:tab/>
        <w:t>Zvláštní opatření pro uchovávání</w:t>
      </w:r>
    </w:p>
    <w:p w14:paraId="05E969E8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66909423" w14:textId="35726C6F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 xml:space="preserve">Uchovávejte lahvičku ve vnějším obalu, aby byl </w:t>
      </w:r>
      <w:r w:rsidR="00A15EC1" w:rsidRPr="00D76F19">
        <w:rPr>
          <w:szCs w:val="22"/>
          <w:lang w:val="cs-CZ"/>
        </w:rPr>
        <w:t xml:space="preserve">veterinární léčivý </w:t>
      </w:r>
      <w:r w:rsidRPr="00D76F19">
        <w:rPr>
          <w:szCs w:val="22"/>
          <w:lang w:val="cs-CZ"/>
        </w:rPr>
        <w:t xml:space="preserve">přípravek chráněn před světlem. </w:t>
      </w:r>
    </w:p>
    <w:p w14:paraId="538FFF05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Chraňte před mrazem.</w:t>
      </w:r>
    </w:p>
    <w:p w14:paraId="563749C4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2215D413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b/>
          <w:szCs w:val="22"/>
          <w:lang w:val="cs-CZ"/>
        </w:rPr>
        <w:t>5.4</w:t>
      </w:r>
      <w:r w:rsidRPr="00D76F19">
        <w:rPr>
          <w:b/>
          <w:szCs w:val="22"/>
          <w:lang w:val="cs-CZ"/>
        </w:rPr>
        <w:tab/>
        <w:t>Druh a složení vnitřního obalu</w:t>
      </w:r>
    </w:p>
    <w:p w14:paraId="3A7597A6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4C477E5D" w14:textId="55045C0C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proofErr w:type="spellStart"/>
      <w:r w:rsidRPr="0063687E">
        <w:rPr>
          <w:szCs w:val="22"/>
          <w:lang w:val="cs-CZ"/>
        </w:rPr>
        <w:t>Vícedávkové</w:t>
      </w:r>
      <w:proofErr w:type="spellEnd"/>
      <w:r w:rsidRPr="0063687E">
        <w:rPr>
          <w:szCs w:val="22"/>
          <w:lang w:val="cs-CZ"/>
        </w:rPr>
        <w:t xml:space="preserve"> injekční lahvičky z jantarového skla typu II o objemu 100 ml s </w:t>
      </w:r>
      <w:proofErr w:type="spellStart"/>
      <w:r w:rsidRPr="0063687E">
        <w:rPr>
          <w:szCs w:val="22"/>
          <w:lang w:val="cs-CZ"/>
        </w:rPr>
        <w:t>brombutylovou</w:t>
      </w:r>
      <w:proofErr w:type="spellEnd"/>
      <w:r w:rsidRPr="0063687E">
        <w:rPr>
          <w:szCs w:val="22"/>
          <w:lang w:val="cs-CZ"/>
        </w:rPr>
        <w:t xml:space="preserve"> pryžovou zátkou.</w:t>
      </w:r>
    </w:p>
    <w:p w14:paraId="6DC7A56D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1F22392A" w14:textId="77777777" w:rsidR="00B3462C" w:rsidRPr="00D76F19" w:rsidRDefault="00B3462C" w:rsidP="00495FFE">
      <w:pPr>
        <w:keepNext/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 xml:space="preserve">5.5 </w:t>
      </w:r>
      <w:r w:rsidRPr="00D76F19">
        <w:rPr>
          <w:b/>
          <w:szCs w:val="22"/>
          <w:lang w:val="cs-CZ"/>
        </w:rPr>
        <w:tab/>
        <w:t>Zvláštní opatření pro likvidaci nepoužitých veterinárních léčivých přípravků nebo odpadů, které pochází z těchto přípravků</w:t>
      </w:r>
    </w:p>
    <w:p w14:paraId="7EF7CFC1" w14:textId="77777777" w:rsidR="00B3462C" w:rsidRPr="00D76F19" w:rsidRDefault="00B3462C" w:rsidP="00495FFE">
      <w:pPr>
        <w:keepNext/>
        <w:spacing w:line="240" w:lineRule="auto"/>
        <w:jc w:val="both"/>
        <w:rPr>
          <w:szCs w:val="22"/>
          <w:lang w:val="cs-CZ"/>
        </w:rPr>
      </w:pPr>
    </w:p>
    <w:p w14:paraId="03EA149B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Léčivé přípravky se nesmí likvidovat prostřednictvím odpadní vody či domovního odpadu.</w:t>
      </w:r>
    </w:p>
    <w:p w14:paraId="46252A97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</w:p>
    <w:p w14:paraId="1ADFCA1C" w14:textId="77777777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6595330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BD9290F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55090F5F" w14:textId="77777777" w:rsidR="00B3462C" w:rsidRPr="00D76F19" w:rsidRDefault="00B3462C" w:rsidP="00FB561E">
      <w:pPr>
        <w:keepNext/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lastRenderedPageBreak/>
        <w:t>6.</w:t>
      </w:r>
      <w:r w:rsidRPr="00D76F19">
        <w:rPr>
          <w:b/>
          <w:szCs w:val="22"/>
          <w:lang w:val="cs-CZ"/>
        </w:rPr>
        <w:tab/>
        <w:t xml:space="preserve">JMÉNO DRŽITELE ROZHODNUTÍ O REGISTRACI </w:t>
      </w:r>
    </w:p>
    <w:p w14:paraId="579F9124" w14:textId="77777777" w:rsidR="00B3462C" w:rsidRPr="00D76F19" w:rsidRDefault="00B3462C" w:rsidP="00FB561E">
      <w:pPr>
        <w:keepNext/>
        <w:spacing w:line="240" w:lineRule="auto"/>
        <w:rPr>
          <w:b/>
          <w:szCs w:val="22"/>
          <w:lang w:val="cs-CZ"/>
        </w:rPr>
      </w:pPr>
    </w:p>
    <w:p w14:paraId="1F9005EB" w14:textId="77777777" w:rsidR="00B3462C" w:rsidRPr="00D76F19" w:rsidRDefault="00B3462C" w:rsidP="00495FFE">
      <w:pPr>
        <w:spacing w:line="240" w:lineRule="auto"/>
        <w:rPr>
          <w:iCs/>
          <w:szCs w:val="22"/>
          <w:lang w:val="cs-CZ"/>
        </w:rPr>
      </w:pPr>
      <w:r w:rsidRPr="00D76F19">
        <w:rPr>
          <w:iCs/>
          <w:szCs w:val="22"/>
          <w:lang w:val="cs-CZ"/>
        </w:rPr>
        <w:t xml:space="preserve">KRKA, </w:t>
      </w:r>
      <w:proofErr w:type="spellStart"/>
      <w:r w:rsidRPr="00D76F19">
        <w:rPr>
          <w:iCs/>
          <w:szCs w:val="22"/>
          <w:lang w:val="cs-CZ"/>
        </w:rPr>
        <w:t>d.d</w:t>
      </w:r>
      <w:proofErr w:type="spellEnd"/>
      <w:r w:rsidRPr="00D76F19">
        <w:rPr>
          <w:iCs/>
          <w:szCs w:val="22"/>
          <w:lang w:val="cs-CZ"/>
        </w:rPr>
        <w:t xml:space="preserve">., Novo </w:t>
      </w:r>
      <w:proofErr w:type="spellStart"/>
      <w:r w:rsidRPr="00D76F19">
        <w:rPr>
          <w:iCs/>
          <w:szCs w:val="22"/>
          <w:lang w:val="cs-CZ"/>
        </w:rPr>
        <w:t>mesto</w:t>
      </w:r>
      <w:proofErr w:type="spellEnd"/>
    </w:p>
    <w:p w14:paraId="733FDB2A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3C7CF71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536E258D" w14:textId="77777777" w:rsidR="00B3462C" w:rsidRPr="00D76F19" w:rsidRDefault="00B3462C" w:rsidP="00495FFE">
      <w:pPr>
        <w:keepNext/>
        <w:spacing w:line="240" w:lineRule="auto"/>
        <w:rPr>
          <w:b/>
          <w:caps/>
          <w:szCs w:val="22"/>
          <w:lang w:val="cs-CZ"/>
        </w:rPr>
      </w:pPr>
      <w:r w:rsidRPr="00D76F19">
        <w:rPr>
          <w:b/>
          <w:szCs w:val="22"/>
          <w:lang w:val="cs-CZ"/>
        </w:rPr>
        <w:t>7.</w:t>
      </w:r>
      <w:r w:rsidRPr="00D76F19">
        <w:rPr>
          <w:szCs w:val="22"/>
          <w:lang w:val="cs-CZ"/>
        </w:rPr>
        <w:tab/>
      </w:r>
      <w:r w:rsidRPr="00D76F19">
        <w:rPr>
          <w:b/>
          <w:caps/>
          <w:szCs w:val="22"/>
          <w:lang w:val="cs-CZ"/>
        </w:rPr>
        <w:t>Registrační číslo(a)</w:t>
      </w:r>
    </w:p>
    <w:p w14:paraId="43A363AB" w14:textId="77777777" w:rsidR="00B3462C" w:rsidRPr="00D76F19" w:rsidRDefault="00B3462C" w:rsidP="00495FFE">
      <w:pPr>
        <w:keepNext/>
        <w:spacing w:line="240" w:lineRule="auto"/>
        <w:rPr>
          <w:caps/>
          <w:szCs w:val="22"/>
          <w:lang w:val="cs-CZ"/>
        </w:rPr>
      </w:pPr>
    </w:p>
    <w:p w14:paraId="6E3381F7" w14:textId="77777777" w:rsidR="00B3462C" w:rsidRPr="00D76F19" w:rsidRDefault="00B3462C" w:rsidP="00495FFE">
      <w:pPr>
        <w:spacing w:line="240" w:lineRule="auto"/>
        <w:rPr>
          <w:caps/>
          <w:szCs w:val="22"/>
          <w:lang w:val="cs-CZ"/>
        </w:rPr>
      </w:pPr>
      <w:r w:rsidRPr="00D76F19">
        <w:rPr>
          <w:caps/>
          <w:szCs w:val="22"/>
          <w:lang w:val="cs-CZ"/>
        </w:rPr>
        <w:t>96/052/08-C</w:t>
      </w:r>
    </w:p>
    <w:p w14:paraId="490DE1AF" w14:textId="77777777" w:rsidR="00B3462C" w:rsidRPr="00D76F19" w:rsidRDefault="00B3462C" w:rsidP="00495FFE">
      <w:pPr>
        <w:spacing w:line="240" w:lineRule="auto"/>
        <w:rPr>
          <w:caps/>
          <w:szCs w:val="22"/>
          <w:lang w:val="cs-CZ"/>
        </w:rPr>
      </w:pPr>
    </w:p>
    <w:p w14:paraId="3497C147" w14:textId="77777777" w:rsidR="00B3462C" w:rsidRPr="00D76F19" w:rsidRDefault="00B3462C" w:rsidP="00495FFE">
      <w:pPr>
        <w:spacing w:line="240" w:lineRule="auto"/>
        <w:rPr>
          <w:caps/>
          <w:szCs w:val="22"/>
          <w:lang w:val="cs-CZ"/>
        </w:rPr>
      </w:pPr>
    </w:p>
    <w:p w14:paraId="3CDE9E4E" w14:textId="77777777" w:rsidR="00B3462C" w:rsidRPr="00D76F19" w:rsidRDefault="00B3462C" w:rsidP="00495FFE">
      <w:pPr>
        <w:spacing w:line="240" w:lineRule="auto"/>
        <w:rPr>
          <w:b/>
          <w:caps/>
          <w:szCs w:val="22"/>
          <w:lang w:val="cs-CZ"/>
        </w:rPr>
      </w:pPr>
      <w:r w:rsidRPr="00D76F19">
        <w:rPr>
          <w:b/>
          <w:caps/>
          <w:szCs w:val="22"/>
          <w:lang w:val="cs-CZ"/>
        </w:rPr>
        <w:t>8.</w:t>
      </w:r>
      <w:r w:rsidRPr="00D76F19">
        <w:rPr>
          <w:b/>
          <w:caps/>
          <w:szCs w:val="22"/>
          <w:lang w:val="cs-CZ"/>
        </w:rPr>
        <w:tab/>
        <w:t xml:space="preserve">Datum PRVNÍ registrace </w:t>
      </w:r>
    </w:p>
    <w:p w14:paraId="436BE430" w14:textId="77777777" w:rsidR="00B3462C" w:rsidRPr="00D76F19" w:rsidRDefault="00B3462C" w:rsidP="00495FFE">
      <w:pPr>
        <w:spacing w:line="240" w:lineRule="auto"/>
        <w:rPr>
          <w:caps/>
          <w:szCs w:val="22"/>
          <w:lang w:val="cs-CZ"/>
        </w:rPr>
      </w:pPr>
    </w:p>
    <w:p w14:paraId="1D1DD4B7" w14:textId="77777777" w:rsidR="00B3462C" w:rsidRPr="00D76F19" w:rsidRDefault="00B3462C" w:rsidP="00495FFE">
      <w:pPr>
        <w:spacing w:line="240" w:lineRule="auto"/>
        <w:rPr>
          <w:caps/>
          <w:szCs w:val="22"/>
          <w:lang w:val="cs-CZ"/>
        </w:rPr>
      </w:pPr>
      <w:r w:rsidRPr="00D76F19">
        <w:rPr>
          <w:szCs w:val="22"/>
          <w:lang w:val="cs-CZ"/>
        </w:rPr>
        <w:t xml:space="preserve">Datum první registrace: </w:t>
      </w:r>
      <w:r w:rsidRPr="00D76F19">
        <w:rPr>
          <w:caps/>
          <w:szCs w:val="22"/>
          <w:lang w:val="cs-CZ"/>
        </w:rPr>
        <w:t>9. 10. 2008</w:t>
      </w:r>
    </w:p>
    <w:p w14:paraId="1C762AB4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7C50F408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</w:p>
    <w:p w14:paraId="48AEE366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  <w:r w:rsidRPr="00D76F19">
        <w:rPr>
          <w:b/>
          <w:szCs w:val="22"/>
          <w:lang w:val="cs-CZ"/>
        </w:rPr>
        <w:t xml:space="preserve">9. </w:t>
      </w:r>
      <w:r w:rsidRPr="00D76F19">
        <w:rPr>
          <w:b/>
          <w:szCs w:val="22"/>
          <w:lang w:val="cs-CZ"/>
        </w:rPr>
        <w:tab/>
        <w:t xml:space="preserve">DATUM </w:t>
      </w:r>
      <w:r w:rsidRPr="00D76F19">
        <w:rPr>
          <w:b/>
          <w:caps/>
          <w:szCs w:val="22"/>
          <w:lang w:val="cs-CZ"/>
        </w:rPr>
        <w:t>POSLEDNÍ AKTUALIZACE SOUHRNU ÚDAJŮ O PŘÍPRAVKU</w:t>
      </w:r>
    </w:p>
    <w:p w14:paraId="785689B5" w14:textId="77777777" w:rsidR="00B3462C" w:rsidRPr="00D76F19" w:rsidRDefault="00B3462C" w:rsidP="00495FFE">
      <w:pPr>
        <w:spacing w:line="240" w:lineRule="auto"/>
        <w:rPr>
          <w:b/>
          <w:szCs w:val="22"/>
          <w:lang w:val="cs-CZ"/>
        </w:rPr>
      </w:pPr>
    </w:p>
    <w:p w14:paraId="2AEDD3CD" w14:textId="56072419" w:rsidR="00B3462C" w:rsidRPr="00D76F19" w:rsidRDefault="00BC219C" w:rsidP="00495FFE">
      <w:pPr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A15EC1" w:rsidRPr="00D76F19">
        <w:rPr>
          <w:szCs w:val="22"/>
          <w:lang w:val="cs-CZ"/>
        </w:rPr>
        <w:t>5/2026</w:t>
      </w:r>
    </w:p>
    <w:p w14:paraId="00E31A72" w14:textId="67249DD7" w:rsidR="00B3462C" w:rsidRDefault="00B3462C" w:rsidP="00495FFE">
      <w:pPr>
        <w:spacing w:line="240" w:lineRule="auto"/>
        <w:rPr>
          <w:szCs w:val="22"/>
          <w:lang w:val="cs-CZ"/>
        </w:rPr>
      </w:pPr>
    </w:p>
    <w:p w14:paraId="02C81C4C" w14:textId="77777777" w:rsidR="0063687E" w:rsidRPr="00D76F19" w:rsidRDefault="0063687E" w:rsidP="00495FFE">
      <w:pPr>
        <w:spacing w:line="240" w:lineRule="auto"/>
        <w:rPr>
          <w:szCs w:val="22"/>
          <w:lang w:val="cs-CZ"/>
        </w:rPr>
      </w:pPr>
    </w:p>
    <w:p w14:paraId="237A3905" w14:textId="77777777" w:rsidR="00B3462C" w:rsidRPr="00D76F19" w:rsidRDefault="00B3462C" w:rsidP="00495FFE">
      <w:pPr>
        <w:pStyle w:val="Style1"/>
        <w:keepNext/>
        <w:ind w:left="709" w:hanging="709"/>
      </w:pPr>
      <w:r w:rsidRPr="00D76F19">
        <w:t>10.</w:t>
      </w:r>
      <w:r w:rsidRPr="00D76F19">
        <w:tab/>
        <w:t>KLASIFIKACE VETERINÁRNÍCH LÉČIVÝCH PŘÍPRAVKŮ</w:t>
      </w:r>
    </w:p>
    <w:p w14:paraId="22EA31BD" w14:textId="77777777" w:rsidR="00B3462C" w:rsidRPr="00D76F19" w:rsidRDefault="00B3462C" w:rsidP="00495FFE">
      <w:pPr>
        <w:keepNext/>
        <w:spacing w:line="240" w:lineRule="auto"/>
        <w:rPr>
          <w:szCs w:val="22"/>
          <w:lang w:val="cs-CZ"/>
        </w:rPr>
      </w:pPr>
    </w:p>
    <w:p w14:paraId="0D82D221" w14:textId="6A226DD4" w:rsidR="00B3462C" w:rsidRPr="00D76F19" w:rsidRDefault="00B3462C" w:rsidP="00495FFE">
      <w:pPr>
        <w:spacing w:line="240" w:lineRule="auto"/>
        <w:rPr>
          <w:szCs w:val="22"/>
          <w:lang w:val="cs-CZ"/>
        </w:rPr>
      </w:pPr>
      <w:r w:rsidRPr="00D76F19">
        <w:rPr>
          <w:szCs w:val="22"/>
          <w:lang w:val="cs-CZ"/>
        </w:rPr>
        <w:t>Veterinární léčivý přípravek je vydáván pouze na předpis.</w:t>
      </w:r>
    </w:p>
    <w:p w14:paraId="45DC432B" w14:textId="2E09AAB4" w:rsidR="00A15EC1" w:rsidRPr="00D76F19" w:rsidRDefault="00A15EC1" w:rsidP="00495FFE">
      <w:pPr>
        <w:spacing w:line="240" w:lineRule="auto"/>
        <w:rPr>
          <w:szCs w:val="22"/>
          <w:lang w:val="cs-CZ"/>
        </w:rPr>
      </w:pPr>
    </w:p>
    <w:p w14:paraId="43E68C50" w14:textId="57017903" w:rsidR="00A15EC1" w:rsidRPr="00D76F19" w:rsidRDefault="00A15EC1" w:rsidP="00495FFE">
      <w:pPr>
        <w:spacing w:line="240" w:lineRule="auto"/>
        <w:rPr>
          <w:szCs w:val="22"/>
          <w:lang w:val="cs-CZ"/>
        </w:rPr>
      </w:pPr>
      <w:bookmarkStart w:id="2" w:name="_Hlk229557297"/>
      <w:r w:rsidRPr="00D76F19">
        <w:rPr>
          <w:szCs w:val="22"/>
          <w:lang w:val="cs-CZ"/>
        </w:rPr>
        <w:t>Přípravek s indikačním omezením.</w:t>
      </w:r>
    </w:p>
    <w:bookmarkEnd w:id="2"/>
    <w:p w14:paraId="6EC3E921" w14:textId="77777777" w:rsidR="00B3462C" w:rsidRPr="00D76F19" w:rsidRDefault="00B3462C" w:rsidP="00495FFE">
      <w:pPr>
        <w:spacing w:line="240" w:lineRule="auto"/>
        <w:rPr>
          <w:szCs w:val="22"/>
          <w:lang w:val="cs-CZ"/>
        </w:rPr>
      </w:pPr>
    </w:p>
    <w:p w14:paraId="6CD394D4" w14:textId="77777777" w:rsidR="00B3462C" w:rsidRPr="00D76F19" w:rsidRDefault="00B3462C" w:rsidP="00495FFE">
      <w:pPr>
        <w:spacing w:line="240" w:lineRule="auto"/>
        <w:jc w:val="both"/>
        <w:rPr>
          <w:i/>
          <w:szCs w:val="22"/>
          <w:lang w:val="cs-CZ"/>
        </w:rPr>
      </w:pPr>
      <w:bookmarkStart w:id="3" w:name="_Hlk73467306"/>
      <w:r w:rsidRPr="00D76F19">
        <w:rPr>
          <w:szCs w:val="22"/>
          <w:lang w:val="cs-CZ"/>
        </w:rPr>
        <w:t>Podrobné informace o tomto veterinárním léčivém přípravku jsou k dispozici v databázi přípravků Unie (</w:t>
      </w:r>
      <w:hyperlink r:id="rId7" w:history="1">
        <w:r w:rsidRPr="00D76F19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D76F19">
        <w:rPr>
          <w:szCs w:val="22"/>
          <w:lang w:val="cs-CZ"/>
        </w:rPr>
        <w:t>)</w:t>
      </w:r>
      <w:r w:rsidRPr="00D76F19">
        <w:rPr>
          <w:i/>
          <w:szCs w:val="22"/>
          <w:lang w:val="cs-CZ"/>
        </w:rPr>
        <w:t>.</w:t>
      </w:r>
    </w:p>
    <w:p w14:paraId="0C017896" w14:textId="77777777" w:rsidR="00B3462C" w:rsidRPr="00D76F19" w:rsidRDefault="00B3462C" w:rsidP="00495FFE">
      <w:pPr>
        <w:spacing w:line="240" w:lineRule="auto"/>
        <w:jc w:val="both"/>
        <w:rPr>
          <w:i/>
          <w:szCs w:val="22"/>
          <w:lang w:val="cs-CZ"/>
        </w:rPr>
      </w:pPr>
    </w:p>
    <w:p w14:paraId="06ECE7E8" w14:textId="4C8B5062" w:rsidR="00B3462C" w:rsidRPr="00D76F19" w:rsidRDefault="00B3462C" w:rsidP="00495FFE">
      <w:pPr>
        <w:spacing w:line="240" w:lineRule="auto"/>
        <w:jc w:val="both"/>
        <w:rPr>
          <w:szCs w:val="22"/>
          <w:lang w:val="cs-CZ"/>
        </w:rPr>
      </w:pPr>
      <w:r w:rsidRPr="00D76F19">
        <w:rPr>
          <w:szCs w:val="22"/>
          <w:lang w:val="cs-CZ"/>
        </w:rPr>
        <w:t>Podrobné informace o tomto veterinárním léčivém přípravku naleznete také v národní databázi (</w:t>
      </w:r>
      <w:hyperlink r:id="rId8" w:history="1">
        <w:r w:rsidRPr="00D76F19">
          <w:rPr>
            <w:rStyle w:val="Hypertextovodkaz"/>
            <w:szCs w:val="22"/>
            <w:lang w:val="cs-CZ"/>
          </w:rPr>
          <w:t>https://www.uskvbl.cz</w:t>
        </w:r>
      </w:hyperlink>
      <w:r w:rsidRPr="00D76F19">
        <w:rPr>
          <w:szCs w:val="22"/>
          <w:lang w:val="cs-CZ"/>
        </w:rPr>
        <w:t>).</w:t>
      </w:r>
      <w:bookmarkEnd w:id="3"/>
    </w:p>
    <w:sectPr w:rsidR="00B3462C" w:rsidRPr="00D76F1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2BD51" w14:textId="77777777" w:rsidR="009A2C56" w:rsidRDefault="009A2C56">
      <w:pPr>
        <w:spacing w:line="240" w:lineRule="auto"/>
      </w:pPr>
      <w:r>
        <w:separator/>
      </w:r>
    </w:p>
  </w:endnote>
  <w:endnote w:type="continuationSeparator" w:id="0">
    <w:p w14:paraId="682D6E60" w14:textId="77777777" w:rsidR="009A2C56" w:rsidRDefault="009A2C56">
      <w:pPr>
        <w:spacing w:line="240" w:lineRule="auto"/>
      </w:pPr>
      <w:r>
        <w:continuationSeparator/>
      </w:r>
    </w:p>
  </w:endnote>
  <w:endnote w:type="continuationNotice" w:id="1">
    <w:p w14:paraId="6C11EBE2" w14:textId="77777777" w:rsidR="009A2C56" w:rsidRDefault="009A2C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898B" w14:textId="77777777" w:rsidR="007654D9" w:rsidRDefault="00CA7F5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78CBD" w14:textId="77777777" w:rsidR="007654D9" w:rsidRDefault="00CA7F5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B9EE3" w14:textId="77777777" w:rsidR="009A2C56" w:rsidRDefault="009A2C56">
      <w:pPr>
        <w:spacing w:line="240" w:lineRule="auto"/>
      </w:pPr>
      <w:r>
        <w:separator/>
      </w:r>
    </w:p>
  </w:footnote>
  <w:footnote w:type="continuationSeparator" w:id="0">
    <w:p w14:paraId="5E055C49" w14:textId="77777777" w:rsidR="009A2C56" w:rsidRDefault="009A2C56">
      <w:pPr>
        <w:spacing w:line="240" w:lineRule="auto"/>
      </w:pPr>
      <w:r>
        <w:continuationSeparator/>
      </w:r>
    </w:p>
  </w:footnote>
  <w:footnote w:type="continuationNotice" w:id="1">
    <w:p w14:paraId="6A6584D8" w14:textId="77777777" w:rsidR="009A2C56" w:rsidRDefault="009A2C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35A95" w14:textId="77777777" w:rsidR="007654D9" w:rsidRDefault="007654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E2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C1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25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6F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E2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88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4D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CE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0E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9A01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202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E8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A3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EC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48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E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83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36DD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8401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6E8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14C67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EE54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46A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C11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825E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8AF7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DF852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90BA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2689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E205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3A81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233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7281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86F3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9A0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61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62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64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6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40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47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4D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45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A3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A98D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DC0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28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0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C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82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C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A6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C16C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1851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4E8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AA38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BC0B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EE4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301A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9EB6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EC0C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0631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1404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26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03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4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64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02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C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E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2A81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D2B12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00E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82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5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AC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D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7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5487D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165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49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8B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2D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69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2E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8B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56633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E8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09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0C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E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AF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E6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49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EA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33A5E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980C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1EED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CF42D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B271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E62F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0252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5CAD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0E8A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5CE78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8A9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47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8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EC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C2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A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42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A6A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F24EC26">
      <w:start w:val="1"/>
      <w:numFmt w:val="upperLetter"/>
      <w:pStyle w:val="Style3"/>
      <w:suff w:val="space"/>
      <w:lvlText w:val="%1."/>
      <w:lvlJc w:val="left"/>
      <w:pPr>
        <w:ind w:left="0" w:firstLine="0"/>
      </w:pPr>
    </w:lvl>
    <w:lvl w:ilvl="1" w:tplc="0EA63688">
      <w:start w:val="1"/>
      <w:numFmt w:val="lowerLetter"/>
      <w:lvlText w:val="%2."/>
      <w:lvlJc w:val="left"/>
      <w:pPr>
        <w:ind w:left="1440" w:hanging="360"/>
      </w:pPr>
    </w:lvl>
    <w:lvl w:ilvl="2" w:tplc="6E040E90">
      <w:start w:val="1"/>
      <w:numFmt w:val="lowerRoman"/>
      <w:lvlText w:val="%3."/>
      <w:lvlJc w:val="right"/>
      <w:pPr>
        <w:ind w:left="2160" w:hanging="180"/>
      </w:pPr>
    </w:lvl>
    <w:lvl w:ilvl="3" w:tplc="2AEE5CE4">
      <w:start w:val="1"/>
      <w:numFmt w:val="decimal"/>
      <w:lvlText w:val="%4."/>
      <w:lvlJc w:val="left"/>
      <w:pPr>
        <w:ind w:left="2880" w:hanging="360"/>
      </w:pPr>
    </w:lvl>
    <w:lvl w:ilvl="4" w:tplc="FD7046F6">
      <w:start w:val="1"/>
      <w:numFmt w:val="lowerLetter"/>
      <w:lvlText w:val="%5."/>
      <w:lvlJc w:val="left"/>
      <w:pPr>
        <w:ind w:left="3600" w:hanging="360"/>
      </w:pPr>
    </w:lvl>
    <w:lvl w:ilvl="5" w:tplc="9F88D628">
      <w:start w:val="1"/>
      <w:numFmt w:val="lowerRoman"/>
      <w:lvlText w:val="%6."/>
      <w:lvlJc w:val="right"/>
      <w:pPr>
        <w:ind w:left="4320" w:hanging="180"/>
      </w:pPr>
    </w:lvl>
    <w:lvl w:ilvl="6" w:tplc="61F8CF78">
      <w:start w:val="1"/>
      <w:numFmt w:val="decimal"/>
      <w:lvlText w:val="%7."/>
      <w:lvlJc w:val="left"/>
      <w:pPr>
        <w:ind w:left="5040" w:hanging="360"/>
      </w:pPr>
    </w:lvl>
    <w:lvl w:ilvl="7" w:tplc="CA2ECD5C">
      <w:start w:val="1"/>
      <w:numFmt w:val="lowerLetter"/>
      <w:lvlText w:val="%8."/>
      <w:lvlJc w:val="left"/>
      <w:pPr>
        <w:ind w:left="5760" w:hanging="360"/>
      </w:pPr>
    </w:lvl>
    <w:lvl w:ilvl="8" w:tplc="D8282F0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A8F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7CB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98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0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0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6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0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2F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45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2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45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4A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C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9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2C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86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A0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63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67C8A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086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42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4D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89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6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AC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A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A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E8A6E3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50E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B22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B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6E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2A5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27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D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BE0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654D9"/>
    <w:rsid w:val="000126D1"/>
    <w:rsid w:val="00014F89"/>
    <w:rsid w:val="00071730"/>
    <w:rsid w:val="00154904"/>
    <w:rsid w:val="0021085C"/>
    <w:rsid w:val="00276D80"/>
    <w:rsid w:val="002D5951"/>
    <w:rsid w:val="00454D1A"/>
    <w:rsid w:val="00462AA1"/>
    <w:rsid w:val="0048702E"/>
    <w:rsid w:val="00495FFE"/>
    <w:rsid w:val="004E318F"/>
    <w:rsid w:val="004F338F"/>
    <w:rsid w:val="00550159"/>
    <w:rsid w:val="00571DF2"/>
    <w:rsid w:val="005E0FD6"/>
    <w:rsid w:val="005F4D95"/>
    <w:rsid w:val="006338B4"/>
    <w:rsid w:val="0063687E"/>
    <w:rsid w:val="007654D9"/>
    <w:rsid w:val="007C0CBE"/>
    <w:rsid w:val="007D787B"/>
    <w:rsid w:val="007E6A6F"/>
    <w:rsid w:val="00837AF5"/>
    <w:rsid w:val="008D72EC"/>
    <w:rsid w:val="00931680"/>
    <w:rsid w:val="009A2C56"/>
    <w:rsid w:val="009A3697"/>
    <w:rsid w:val="00A15EC1"/>
    <w:rsid w:val="00A27D50"/>
    <w:rsid w:val="00A4430C"/>
    <w:rsid w:val="00A7712E"/>
    <w:rsid w:val="00B32A77"/>
    <w:rsid w:val="00B3462C"/>
    <w:rsid w:val="00BC0FA9"/>
    <w:rsid w:val="00BC219C"/>
    <w:rsid w:val="00C22E64"/>
    <w:rsid w:val="00C53E40"/>
    <w:rsid w:val="00CA7F50"/>
    <w:rsid w:val="00CB0A18"/>
    <w:rsid w:val="00D76F19"/>
    <w:rsid w:val="00DD2F2E"/>
    <w:rsid w:val="00E83A51"/>
    <w:rsid w:val="00E851D6"/>
    <w:rsid w:val="00F43EBC"/>
    <w:rsid w:val="00FB561E"/>
    <w:rsid w:val="00F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-newheights-com/ya#smarttagtdial" w:name="MySmartTag1"/>
  <w:shapeDefaults>
    <o:shapedefaults v:ext="edit" spidmax="1026"/>
    <o:shapelayout v:ext="edit">
      <o:idmap v:ext="edit" data="1"/>
    </o:shapelayout>
  </w:shapeDefaults>
  <w:decimalSymbol w:val=","/>
  <w:listSeparator w:val=";"/>
  <w14:docId w14:val="40EF717D"/>
  <w15:docId w15:val="{6D7CC2ED-AC83-40B9-B7ED-1EF98207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link w:val="TextpoznpodarouChar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  <w:tab w:val="clear" w:pos="720"/>
        <w:tab w:val="num" w:pos="360"/>
      </w:tabs>
      <w:spacing w:after="120" w:line="240" w:lineRule="auto"/>
      <w:ind w:left="0" w:firstLine="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Pr>
      <w:b/>
      <w:kern w:val="28"/>
      <w:sz w:val="24"/>
      <w:lang w:val="en-US" w:eastAsia="en-US"/>
    </w:rPr>
  </w:style>
  <w:style w:type="character" w:customStyle="1" w:styleId="Zkladntext2Char">
    <w:name w:val="Základní text 2 Char"/>
    <w:link w:val="Zkladntext2"/>
    <w:rPr>
      <w:i/>
      <w:color w:val="008000"/>
      <w:sz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14F89"/>
    <w:rPr>
      <w:b/>
      <w:caps/>
      <w:sz w:val="26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014F89"/>
    <w:rPr>
      <w:rFonts w:ascii="Helvetica" w:hAnsi="Helvetica"/>
      <w:b/>
      <w:i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14F89"/>
    <w:rPr>
      <w:b/>
      <w:noProof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014F89"/>
    <w:rPr>
      <w:b/>
      <w:noProof/>
      <w:sz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14F89"/>
    <w:rPr>
      <w:i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14F89"/>
    <w:rPr>
      <w:i/>
      <w:sz w:val="22"/>
      <w:lang w:eastAsia="en-US"/>
    </w:rPr>
  </w:style>
  <w:style w:type="character" w:customStyle="1" w:styleId="Nadpis8Char">
    <w:name w:val="Nadpis 8 Char"/>
    <w:basedOn w:val="Standardnpsmoodstavce"/>
    <w:link w:val="Nadpis8"/>
    <w:rsid w:val="00014F89"/>
    <w:rPr>
      <w:b/>
      <w:sz w:val="22"/>
      <w:lang w:eastAsia="en-US"/>
    </w:rPr>
  </w:style>
  <w:style w:type="character" w:customStyle="1" w:styleId="Nadpis9Char">
    <w:name w:val="Nadpis 9 Char"/>
    <w:basedOn w:val="Standardnpsmoodstavce"/>
    <w:link w:val="Nadpis9"/>
    <w:rsid w:val="00014F89"/>
    <w:rPr>
      <w:b/>
      <w:sz w:val="22"/>
      <w:lang w:eastAsia="en-US"/>
    </w:rPr>
  </w:style>
  <w:style w:type="paragraph" w:customStyle="1" w:styleId="msonormal0">
    <w:name w:val="msonormal"/>
    <w:basedOn w:val="Normln"/>
    <w:rsid w:val="00014F8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l-SI" w:eastAsia="sl-SI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4F89"/>
    <w:rPr>
      <w:lang w:eastAsia="en-US"/>
    </w:rPr>
  </w:style>
  <w:style w:type="character" w:customStyle="1" w:styleId="PripombabesediloZnak1">
    <w:name w:val="Pripomba – besedilo Znak1"/>
    <w:aliases w:val="Kommentarer Znak1"/>
    <w:basedOn w:val="Standardnpsmoodstavce"/>
    <w:uiPriority w:val="99"/>
    <w:semiHidden/>
    <w:rsid w:val="00014F89"/>
    <w:rPr>
      <w:lang w:val="cs-CZ" w:eastAsia="en-US"/>
    </w:rPr>
  </w:style>
  <w:style w:type="character" w:customStyle="1" w:styleId="ZhlavChar">
    <w:name w:val="Záhlaví Char"/>
    <w:basedOn w:val="Standardnpsmoodstavce"/>
    <w:link w:val="Zhlav"/>
    <w:rsid w:val="00014F89"/>
    <w:rPr>
      <w:rFonts w:ascii="Helvetica" w:hAnsi="Helvetica"/>
      <w:lang w:eastAsia="en-US"/>
    </w:rPr>
  </w:style>
  <w:style w:type="character" w:customStyle="1" w:styleId="ZpatChar">
    <w:name w:val="Zápatí Char"/>
    <w:basedOn w:val="Standardnpsmoodstavce"/>
    <w:link w:val="Zpat"/>
    <w:rsid w:val="00014F89"/>
    <w:rPr>
      <w:rFonts w:ascii="Helvetica" w:hAnsi="Helvetica"/>
      <w:sz w:val="16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14F89"/>
    <w:rPr>
      <w:sz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14F89"/>
    <w:rPr>
      <w:b/>
      <w:sz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014F89"/>
    <w:rPr>
      <w:b/>
      <w:sz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14F89"/>
    <w:rPr>
      <w:b/>
      <w:sz w:val="22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014F89"/>
    <w:rPr>
      <w:sz w:val="22"/>
      <w:lang w:eastAsia="en-US"/>
    </w:rPr>
  </w:style>
  <w:style w:type="character" w:customStyle="1" w:styleId="PedmtkomenteChar">
    <w:name w:val="Předmět komentáře Char"/>
    <w:basedOn w:val="PripombabesediloZnak1"/>
    <w:link w:val="Pedmtkomente"/>
    <w:semiHidden/>
    <w:rsid w:val="00014F89"/>
    <w:rPr>
      <w:b/>
      <w:bCs/>
      <w:lang w:val="cs-CZ"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014F89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ln"/>
    <w:qFormat/>
    <w:rsid w:val="00014F89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2">
    <w:name w:val="Style2"/>
    <w:basedOn w:val="Normln"/>
    <w:qFormat/>
    <w:rsid w:val="00014F8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3">
    <w:name w:val="Style3"/>
    <w:basedOn w:val="Normln"/>
    <w:qFormat/>
    <w:rsid w:val="00014F89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  <w:style w:type="paragraph" w:customStyle="1" w:styleId="Style4">
    <w:name w:val="Style4"/>
    <w:basedOn w:val="Normln"/>
    <w:qFormat/>
    <w:rsid w:val="00014F89"/>
    <w:rPr>
      <w:szCs w:val="22"/>
      <w:lang w:val="cs-CZ"/>
    </w:rPr>
  </w:style>
  <w:style w:type="paragraph" w:customStyle="1" w:styleId="Style5">
    <w:name w:val="Style5"/>
    <w:basedOn w:val="Normln"/>
    <w:qFormat/>
    <w:rsid w:val="00014F89"/>
    <w:pPr>
      <w:numPr>
        <w:ilvl w:val="12"/>
      </w:numPr>
      <w:tabs>
        <w:tab w:val="clear" w:pos="567"/>
      </w:tabs>
      <w:spacing w:line="240" w:lineRule="auto"/>
    </w:pPr>
    <w:rPr>
      <w:szCs w:val="22"/>
      <w:lang w:val="cs-CZ"/>
    </w:rPr>
  </w:style>
  <w:style w:type="table" w:customStyle="1" w:styleId="TablegridAgencyblack1">
    <w:name w:val="Table grid (Agency) black1"/>
    <w:basedOn w:val="Normlntabulka"/>
    <w:semiHidden/>
    <w:rsid w:val="00014F89"/>
    <w:rPr>
      <w:rFonts w:ascii="Verdana" w:eastAsia="SimSun" w:hAnsi="Verdana"/>
      <w:sz w:val="18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numbering" w:customStyle="1" w:styleId="BulletsAgency1">
    <w:name w:val="Bullets (Agency)1"/>
    <w:rsid w:val="0001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1397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keywords/>
  <dc:description/>
  <cp:lastModifiedBy>Nepejchalová Leona</cp:lastModifiedBy>
  <cp:revision>20</cp:revision>
  <cp:lastPrinted>2026-05-25T16:21:00Z</cp:lastPrinted>
  <dcterms:created xsi:type="dcterms:W3CDTF">2026-03-23T11:59:00Z</dcterms:created>
  <dcterms:modified xsi:type="dcterms:W3CDTF">2026-05-25T16:21:00Z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  <property fmtid="{D5CDD505-2E9C-101B-9397-08002B2CF9AE}" pid="73" name="mp_title">
    <vt:lpwstr/>
  </property>
  <property fmtid="{D5CDD505-2E9C-101B-9397-08002B2CF9AE}" pid="74" name="ph_inn_name">
    <vt:lpwstr/>
  </property>
  <property fmtid="{D5CDD505-2E9C-101B-9397-08002B2CF9AE}" pid="75" name="ph_pharm_form">
    <vt:lpwstr/>
  </property>
  <property fmtid="{D5CDD505-2E9C-101B-9397-08002B2CF9AE}" pid="76" name="ph_unit_measure">
    <vt:lpwstr/>
  </property>
  <property fmtid="{D5CDD505-2E9C-101B-9397-08002B2CF9AE}" pid="77" name="mp_first_effective_date">
    <vt:lpwstr/>
  </property>
  <property fmtid="{D5CDD505-2E9C-101B-9397-08002B2CF9AE}" pid="78" name="mp_updated_effective_date">
    <vt:lpwstr/>
  </property>
  <property fmtid="{D5CDD505-2E9C-101B-9397-08002B2CF9AE}" pid="79" name="object_name">
    <vt:lpwstr>PI_Text106396_1</vt:lpwstr>
  </property>
  <property fmtid="{D5CDD505-2E9C-101B-9397-08002B2CF9AE}" pid="80" name="ph_strength_custom">
    <vt:lpwstr/>
  </property>
  <property fmtid="{D5CDD505-2E9C-101B-9397-08002B2CF9AE}" pid="81" name="mp_document_code">
    <vt:lpwstr/>
  </property>
  <property fmtid="{D5CDD505-2E9C-101B-9397-08002B2CF9AE}" pid="82" name="drz1">
    <vt:lpwstr/>
  </property>
  <property fmtid="{D5CDD505-2E9C-101B-9397-08002B2CF9AE}" pid="83" name="drz2">
    <vt:lpwstr/>
  </property>
  <property fmtid="{D5CDD505-2E9C-101B-9397-08002B2CF9AE}" pid="84" name="drz3">
    <vt:lpwstr/>
  </property>
  <property fmtid="{D5CDD505-2E9C-101B-9397-08002B2CF9AE}" pid="85" name="drz4">
    <vt:lpwstr/>
  </property>
  <property fmtid="{D5CDD505-2E9C-101B-9397-08002B2CF9AE}" pid="86" name="drz5">
    <vt:lpwstr/>
  </property>
  <property fmtid="{D5CDD505-2E9C-101B-9397-08002B2CF9AE}" pid="87" name="drz6">
    <vt:lpwstr/>
  </property>
  <property fmtid="{D5CDD505-2E9C-101B-9397-08002B2CF9AE}" pid="88" name="drz7">
    <vt:lpwstr/>
  </property>
  <property fmtid="{D5CDD505-2E9C-101B-9397-08002B2CF9AE}" pid="89" name="drz8">
    <vt:lpwstr/>
  </property>
  <property fmtid="{D5CDD505-2E9C-101B-9397-08002B2CF9AE}" pid="90" name="drz9">
    <vt:lpwstr/>
  </property>
  <property fmtid="{D5CDD505-2E9C-101B-9397-08002B2CF9AE}" pid="91" name="drz10">
    <vt:lpwstr/>
  </property>
  <property fmtid="{D5CDD505-2E9C-101B-9397-08002B2CF9AE}" pid="92" name="RMS_drz1">
    <vt:lpwstr/>
  </property>
  <property fmtid="{D5CDD505-2E9C-101B-9397-08002B2CF9AE}" pid="93" name="RMS_drz2">
    <vt:lpwstr/>
  </property>
  <property fmtid="{D5CDD505-2E9C-101B-9397-08002B2CF9AE}" pid="94" name="RMS_drz3">
    <vt:lpwstr/>
  </property>
  <property fmtid="{D5CDD505-2E9C-101B-9397-08002B2CF9AE}" pid="95" name="RMS_drz4">
    <vt:lpwstr/>
  </property>
  <property fmtid="{D5CDD505-2E9C-101B-9397-08002B2CF9AE}" pid="96" name="RMS_drz5">
    <vt:lpwstr/>
  </property>
</Properties>
</file>