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B8189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24567" w14:textId="77777777" w:rsidR="004C4408" w:rsidRPr="0059055A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9055A">
        <w:rPr>
          <w:b/>
          <w:szCs w:val="22"/>
        </w:rPr>
        <w:t>PŘÍLOHA I</w:t>
      </w:r>
    </w:p>
    <w:p w14:paraId="7CBD6472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35624" w14:textId="77777777" w:rsidR="004C4408" w:rsidRPr="0059055A" w:rsidRDefault="00C17D40">
      <w:pPr>
        <w:pStyle w:val="TITLEA1"/>
      </w:pPr>
      <w:r w:rsidRPr="0059055A">
        <w:t>SOUHRN ÚDAJŮ O PŘÍPRAVKU</w:t>
      </w:r>
    </w:p>
    <w:p w14:paraId="48CC45C5" w14:textId="77777777" w:rsidR="004C4408" w:rsidRPr="0059055A" w:rsidRDefault="00C17D40">
      <w:pPr>
        <w:pStyle w:val="Style1"/>
      </w:pPr>
      <w:r w:rsidRPr="0059055A">
        <w:br w:type="page"/>
      </w:r>
      <w:r w:rsidRPr="0059055A">
        <w:lastRenderedPageBreak/>
        <w:t>1.</w:t>
      </w:r>
      <w:r w:rsidRPr="0059055A">
        <w:tab/>
        <w:t>NÁZEV VETERINÁRNÍHO LÉČIVÉHO PŘÍPRAVKU</w:t>
      </w:r>
    </w:p>
    <w:p w14:paraId="5F9D743A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CC3B1B9" w14:textId="7F21472C" w:rsidR="007A3796" w:rsidRPr="0059055A" w:rsidRDefault="007D563A" w:rsidP="007D563A">
      <w:pPr>
        <w:rPr>
          <w:szCs w:val="22"/>
        </w:rPr>
      </w:pPr>
      <w:bookmarkStart w:id="0" w:name="_Hlk129964130"/>
      <w:r w:rsidRPr="0059055A">
        <w:rPr>
          <w:szCs w:val="22"/>
        </w:rPr>
        <w:t xml:space="preserve">Equip FT </w:t>
      </w:r>
      <w:r w:rsidR="007A3796" w:rsidRPr="0059055A">
        <w:rPr>
          <w:szCs w:val="22"/>
        </w:rPr>
        <w:t>injekční suspenze</w:t>
      </w:r>
    </w:p>
    <w:bookmarkEnd w:id="0"/>
    <w:p w14:paraId="020DAEF5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1FDA7F9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B21D36D" w14:textId="77777777" w:rsidR="004C4408" w:rsidRPr="0059055A" w:rsidRDefault="00C17D40">
      <w:pPr>
        <w:pStyle w:val="Style1"/>
      </w:pPr>
      <w:r w:rsidRPr="0059055A">
        <w:t>2.</w:t>
      </w:r>
      <w:r w:rsidRPr="0059055A">
        <w:tab/>
        <w:t>KVALITATIVNÍ A KVANTITATIVNÍ SLOŽENÍ</w:t>
      </w:r>
    </w:p>
    <w:p w14:paraId="79D780B6" w14:textId="77777777" w:rsidR="00EE3062" w:rsidRPr="0059055A" w:rsidRDefault="00EE3062" w:rsidP="00EE3062">
      <w:pPr>
        <w:rPr>
          <w:szCs w:val="22"/>
        </w:rPr>
      </w:pPr>
    </w:p>
    <w:p w14:paraId="60E3EC6F" w14:textId="3CF6F289" w:rsidR="00EE3062" w:rsidRPr="0059055A" w:rsidRDefault="004C3C31" w:rsidP="00EE3062">
      <w:pPr>
        <w:rPr>
          <w:szCs w:val="22"/>
        </w:rPr>
      </w:pPr>
      <w:r w:rsidRPr="0059055A">
        <w:rPr>
          <w:szCs w:val="22"/>
        </w:rPr>
        <w:t>Každá dávka</w:t>
      </w:r>
      <w:r w:rsidR="00EE3062" w:rsidRPr="0059055A">
        <w:rPr>
          <w:szCs w:val="22"/>
        </w:rPr>
        <w:t xml:space="preserve"> (2 ml) obsahuje:</w:t>
      </w:r>
    </w:p>
    <w:p w14:paraId="6040C66F" w14:textId="77777777" w:rsidR="00576FCB" w:rsidRPr="0059055A" w:rsidRDefault="00576FCB" w:rsidP="00EE3062">
      <w:pPr>
        <w:rPr>
          <w:b/>
          <w:szCs w:val="22"/>
        </w:rPr>
      </w:pPr>
    </w:p>
    <w:p w14:paraId="22F25A08" w14:textId="1BB09495" w:rsidR="00EE3062" w:rsidRPr="0059055A" w:rsidRDefault="00EE3062" w:rsidP="00EE3062">
      <w:pPr>
        <w:rPr>
          <w:b/>
          <w:szCs w:val="22"/>
        </w:rPr>
      </w:pPr>
      <w:r w:rsidRPr="0059055A">
        <w:rPr>
          <w:b/>
          <w:szCs w:val="22"/>
        </w:rPr>
        <w:t>Léčivé látky:</w:t>
      </w:r>
    </w:p>
    <w:p w14:paraId="4674BA79" w14:textId="77777777" w:rsidR="00EE3062" w:rsidRPr="0059055A" w:rsidRDefault="00EE3062" w:rsidP="00EE3062">
      <w:pPr>
        <w:ind w:left="567" w:hanging="567"/>
        <w:rPr>
          <w:szCs w:val="22"/>
        </w:rPr>
      </w:pPr>
      <w:r w:rsidRPr="0059055A">
        <w:rPr>
          <w:i/>
          <w:szCs w:val="22"/>
        </w:rPr>
        <w:t>Virus influenzae equorum inactivatum</w:t>
      </w:r>
      <w:r w:rsidRPr="0059055A">
        <w:rPr>
          <w:szCs w:val="22"/>
        </w:rPr>
        <w:t>, kmeny:</w:t>
      </w:r>
    </w:p>
    <w:p w14:paraId="07229E6F" w14:textId="3B4C282F" w:rsidR="00EE3062" w:rsidRPr="0059055A" w:rsidRDefault="00EE3062" w:rsidP="00EE3062">
      <w:pPr>
        <w:rPr>
          <w:szCs w:val="22"/>
          <w:vertAlign w:val="superscript"/>
        </w:rPr>
      </w:pPr>
      <w:r w:rsidRPr="0059055A">
        <w:rPr>
          <w:szCs w:val="22"/>
        </w:rPr>
        <w:t>A/Equi 1/Newmarket</w:t>
      </w:r>
      <w:r w:rsidR="00813818" w:rsidRPr="0059055A">
        <w:rPr>
          <w:szCs w:val="22"/>
        </w:rPr>
        <w:t xml:space="preserve"> </w:t>
      </w:r>
      <w:r w:rsidRPr="0059055A">
        <w:rPr>
          <w:szCs w:val="22"/>
        </w:rPr>
        <w:t>/77 (H7N7)</w:t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sym w:font="Symbol" w:char="F0B3"/>
      </w:r>
      <w:r w:rsidRPr="0059055A">
        <w:rPr>
          <w:szCs w:val="22"/>
        </w:rPr>
        <w:t xml:space="preserve"> 1,2 log</w:t>
      </w:r>
      <w:r w:rsidRPr="0059055A">
        <w:rPr>
          <w:szCs w:val="22"/>
          <w:vertAlign w:val="subscript"/>
        </w:rPr>
        <w:t>10</w:t>
      </w:r>
      <w:r w:rsidRPr="0059055A">
        <w:rPr>
          <w:szCs w:val="22"/>
        </w:rPr>
        <w:t xml:space="preserve"> HAI</w:t>
      </w:r>
      <w:r w:rsidRPr="0059055A">
        <w:rPr>
          <w:szCs w:val="22"/>
          <w:vertAlign w:val="superscript"/>
        </w:rPr>
        <w:t>*</w:t>
      </w:r>
    </w:p>
    <w:p w14:paraId="476CAAE6" w14:textId="0BF15986" w:rsidR="00AA2AFE" w:rsidRPr="0059055A" w:rsidRDefault="00EE3062" w:rsidP="00EE3062">
      <w:pPr>
        <w:rPr>
          <w:szCs w:val="22"/>
          <w:vertAlign w:val="superscript"/>
        </w:rPr>
      </w:pPr>
      <w:r w:rsidRPr="0059055A">
        <w:rPr>
          <w:szCs w:val="22"/>
        </w:rPr>
        <w:t>A/Equi 2/ Borlange /91 (H3N8)</w:t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="003F3215" w:rsidRPr="0059055A">
        <w:rPr>
          <w:szCs w:val="22"/>
        </w:rPr>
        <w:tab/>
      </w:r>
      <w:r w:rsidRPr="0059055A">
        <w:rPr>
          <w:szCs w:val="22"/>
        </w:rPr>
        <w:sym w:font="Symbol" w:char="F0B3"/>
      </w:r>
      <w:r w:rsidRPr="0059055A">
        <w:rPr>
          <w:szCs w:val="22"/>
        </w:rPr>
        <w:t xml:space="preserve"> 2,1 log</w:t>
      </w:r>
      <w:r w:rsidRPr="0059055A">
        <w:rPr>
          <w:szCs w:val="22"/>
          <w:vertAlign w:val="subscript"/>
        </w:rPr>
        <w:t>10</w:t>
      </w:r>
      <w:r w:rsidRPr="0059055A">
        <w:rPr>
          <w:szCs w:val="22"/>
        </w:rPr>
        <w:t xml:space="preserve"> HAI</w:t>
      </w:r>
      <w:r w:rsidRPr="0059055A">
        <w:rPr>
          <w:szCs w:val="22"/>
          <w:vertAlign w:val="superscript"/>
        </w:rPr>
        <w:t>*</w:t>
      </w:r>
    </w:p>
    <w:p w14:paraId="5AE951C6" w14:textId="19009BFB" w:rsidR="00EE3062" w:rsidRPr="0059055A" w:rsidRDefault="00EE3062" w:rsidP="00EE3062">
      <w:pPr>
        <w:rPr>
          <w:szCs w:val="22"/>
          <w:vertAlign w:val="superscript"/>
        </w:rPr>
      </w:pPr>
      <w:r w:rsidRPr="0059055A">
        <w:rPr>
          <w:szCs w:val="22"/>
        </w:rPr>
        <w:t>A/Equi 2/ Kentucky /98 (H3N8)</w:t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sym w:font="Symbol" w:char="F0B3"/>
      </w:r>
      <w:r w:rsidRPr="0059055A">
        <w:rPr>
          <w:szCs w:val="22"/>
        </w:rPr>
        <w:t xml:space="preserve"> 2,4 log</w:t>
      </w:r>
      <w:r w:rsidRPr="0059055A">
        <w:rPr>
          <w:szCs w:val="22"/>
          <w:vertAlign w:val="subscript"/>
        </w:rPr>
        <w:t>10</w:t>
      </w:r>
      <w:r w:rsidRPr="0059055A">
        <w:rPr>
          <w:szCs w:val="22"/>
        </w:rPr>
        <w:t xml:space="preserve"> HAI</w:t>
      </w:r>
      <w:r w:rsidRPr="0059055A">
        <w:rPr>
          <w:szCs w:val="22"/>
          <w:vertAlign w:val="superscript"/>
        </w:rPr>
        <w:t>*</w:t>
      </w:r>
    </w:p>
    <w:p w14:paraId="25F524BB" w14:textId="77777777" w:rsidR="001731FF" w:rsidRPr="0059055A" w:rsidRDefault="001731FF" w:rsidP="00EE3062">
      <w:pPr>
        <w:rPr>
          <w:szCs w:val="22"/>
        </w:rPr>
      </w:pPr>
    </w:p>
    <w:p w14:paraId="43F2ED99" w14:textId="35E8258B" w:rsidR="00EE3062" w:rsidRPr="0059055A" w:rsidRDefault="00EE3062" w:rsidP="00EE3062">
      <w:pPr>
        <w:rPr>
          <w:szCs w:val="22"/>
        </w:rPr>
      </w:pPr>
      <w:r w:rsidRPr="0059055A">
        <w:rPr>
          <w:szCs w:val="22"/>
        </w:rPr>
        <w:t>Anatoxinum tetanicum</w:t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sym w:font="Symbol" w:char="F0B3"/>
      </w:r>
      <w:r w:rsidRPr="0059055A">
        <w:rPr>
          <w:szCs w:val="22"/>
        </w:rPr>
        <w:t xml:space="preserve"> 70 IU/ml</w:t>
      </w:r>
      <w:r w:rsidR="00863BD9" w:rsidRPr="0059055A">
        <w:rPr>
          <w:szCs w:val="22"/>
        </w:rPr>
        <w:t>**</w:t>
      </w:r>
    </w:p>
    <w:p w14:paraId="5991EA29" w14:textId="77777777" w:rsidR="00EE3062" w:rsidRPr="0059055A" w:rsidRDefault="00EE3062" w:rsidP="00EE3062">
      <w:pPr>
        <w:tabs>
          <w:tab w:val="left" w:pos="1701"/>
        </w:tabs>
        <w:rPr>
          <w:iCs/>
          <w:szCs w:val="22"/>
        </w:rPr>
      </w:pPr>
    </w:p>
    <w:p w14:paraId="4DD11018" w14:textId="59317802" w:rsidR="00EE3062" w:rsidRPr="0059055A" w:rsidRDefault="00EE3062" w:rsidP="00EE3062">
      <w:pPr>
        <w:rPr>
          <w:szCs w:val="22"/>
        </w:rPr>
      </w:pPr>
      <w:r w:rsidRPr="0059055A">
        <w:rPr>
          <w:szCs w:val="22"/>
        </w:rPr>
        <w:t>* titr hemaglutinačně inhibičních protilátek v séru morčat</w:t>
      </w:r>
    </w:p>
    <w:p w14:paraId="68634374" w14:textId="7A2D1920" w:rsidR="00EE3062" w:rsidRPr="0059055A" w:rsidRDefault="00EE3062" w:rsidP="00EE3062">
      <w:pPr>
        <w:rPr>
          <w:szCs w:val="22"/>
        </w:rPr>
      </w:pPr>
      <w:r w:rsidRPr="0059055A">
        <w:rPr>
          <w:szCs w:val="22"/>
        </w:rPr>
        <w:t>** mezinárodní jednotky</w:t>
      </w:r>
    </w:p>
    <w:p w14:paraId="431FB812" w14:textId="77777777" w:rsidR="00EE3062" w:rsidRPr="0059055A" w:rsidRDefault="00EE3062" w:rsidP="00EE3062">
      <w:pPr>
        <w:rPr>
          <w:b/>
          <w:szCs w:val="22"/>
        </w:rPr>
      </w:pPr>
    </w:p>
    <w:p w14:paraId="32E558D7" w14:textId="0328C7BE" w:rsidR="00EE3062" w:rsidRPr="0059055A" w:rsidRDefault="00EE3062" w:rsidP="00EE3062">
      <w:pPr>
        <w:rPr>
          <w:b/>
          <w:szCs w:val="22"/>
        </w:rPr>
      </w:pPr>
      <w:bookmarkStart w:id="1" w:name="_Hlk130303090"/>
      <w:r w:rsidRPr="0059055A">
        <w:rPr>
          <w:b/>
          <w:szCs w:val="22"/>
        </w:rPr>
        <w:t>Adjuvans:</w:t>
      </w:r>
    </w:p>
    <w:p w14:paraId="1A0F46E0" w14:textId="1AB53B7E" w:rsidR="00EE3062" w:rsidRPr="0059055A" w:rsidRDefault="00EE3062" w:rsidP="00EE3062">
      <w:pPr>
        <w:rPr>
          <w:szCs w:val="22"/>
        </w:rPr>
      </w:pPr>
      <w:r w:rsidRPr="0059055A">
        <w:rPr>
          <w:szCs w:val="22"/>
        </w:rPr>
        <w:t>Fosforečnan hlinitý</w:t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  <w:t>4,5 – 5,5 mg</w:t>
      </w:r>
    </w:p>
    <w:p w14:paraId="0B243F65" w14:textId="77777777" w:rsidR="005510B2" w:rsidRPr="0059055A" w:rsidRDefault="005510B2" w:rsidP="005510B2">
      <w:pPr>
        <w:rPr>
          <w:szCs w:val="22"/>
        </w:rPr>
      </w:pPr>
      <w:r w:rsidRPr="0059055A">
        <w:rPr>
          <w:szCs w:val="22"/>
        </w:rPr>
        <w:t>Iscom-matrix obsahující:</w:t>
      </w:r>
      <w:r w:rsidRPr="0059055A">
        <w:rPr>
          <w:szCs w:val="22"/>
        </w:rPr>
        <w:br/>
        <w:t>Quil A</w:t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</w:r>
      <w:r w:rsidRPr="0059055A">
        <w:rPr>
          <w:szCs w:val="22"/>
        </w:rPr>
        <w:tab/>
        <w:t>≤ 580 μg</w:t>
      </w:r>
    </w:p>
    <w:p w14:paraId="08A0AF48" w14:textId="6BCE5615" w:rsidR="005510B2" w:rsidRPr="0059055A" w:rsidRDefault="005510B2" w:rsidP="005510B2">
      <w:pPr>
        <w:rPr>
          <w:szCs w:val="22"/>
        </w:rPr>
      </w:pPr>
      <w:r w:rsidRPr="0059055A">
        <w:rPr>
          <w:szCs w:val="22"/>
        </w:rPr>
        <w:t>Cholesterol                                                                ≤ 200 μg</w:t>
      </w:r>
    </w:p>
    <w:p w14:paraId="1771095E" w14:textId="05B68077" w:rsidR="005510B2" w:rsidRPr="0059055A" w:rsidRDefault="005510B2" w:rsidP="005510B2">
      <w:pPr>
        <w:rPr>
          <w:szCs w:val="22"/>
        </w:rPr>
      </w:pPr>
      <w:r w:rsidRPr="0059055A">
        <w:rPr>
          <w:szCs w:val="22"/>
        </w:rPr>
        <w:t>Lecithin                                                                     ≤ 200 μg</w:t>
      </w:r>
    </w:p>
    <w:bookmarkEnd w:id="1"/>
    <w:p w14:paraId="571EBA44" w14:textId="1C38FD48" w:rsidR="00EE3062" w:rsidRPr="0059055A" w:rsidRDefault="00EE3062" w:rsidP="00EE3062">
      <w:pPr>
        <w:rPr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5510B2" w:rsidRPr="0059055A" w14:paraId="06C30FBE" w14:textId="77777777" w:rsidTr="002122CF">
        <w:tc>
          <w:tcPr>
            <w:tcW w:w="5382" w:type="dxa"/>
            <w:shd w:val="clear" w:color="auto" w:fill="auto"/>
            <w:vAlign w:val="center"/>
          </w:tcPr>
          <w:p w14:paraId="13823F4C" w14:textId="77777777" w:rsidR="005510B2" w:rsidRPr="0059055A" w:rsidRDefault="005510B2" w:rsidP="002122C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9055A">
              <w:rPr>
                <w:b/>
                <w:bCs/>
                <w:iCs/>
                <w:szCs w:val="22"/>
              </w:rPr>
              <w:t>Kvalitativní složení pomocných látek a dalších složek:</w:t>
            </w:r>
          </w:p>
        </w:tc>
      </w:tr>
      <w:tr w:rsidR="005510B2" w:rsidRPr="0059055A" w14:paraId="1974B08D" w14:textId="77777777" w:rsidTr="002122CF">
        <w:tc>
          <w:tcPr>
            <w:tcW w:w="5382" w:type="dxa"/>
            <w:shd w:val="clear" w:color="auto" w:fill="auto"/>
            <w:vAlign w:val="center"/>
          </w:tcPr>
          <w:p w14:paraId="043FAA4B" w14:textId="2D212909" w:rsidR="005510B2" w:rsidRPr="0059055A" w:rsidRDefault="00DC6036" w:rsidP="002122CF">
            <w:pPr>
              <w:rPr>
                <w:iCs/>
                <w:szCs w:val="22"/>
              </w:rPr>
            </w:pPr>
            <w:r w:rsidRPr="0059055A">
              <w:rPr>
                <w:iCs/>
                <w:szCs w:val="22"/>
              </w:rPr>
              <w:t>Ammonium-acetát</w:t>
            </w:r>
          </w:p>
        </w:tc>
      </w:tr>
      <w:tr w:rsidR="005510B2" w:rsidRPr="0059055A" w14:paraId="7174764C" w14:textId="77777777" w:rsidTr="002122CF">
        <w:tc>
          <w:tcPr>
            <w:tcW w:w="5382" w:type="dxa"/>
            <w:shd w:val="clear" w:color="auto" w:fill="auto"/>
            <w:vAlign w:val="center"/>
          </w:tcPr>
          <w:p w14:paraId="2CA5D8A1" w14:textId="220EBDF5" w:rsidR="005510B2" w:rsidRPr="0059055A" w:rsidRDefault="00EE0B2E" w:rsidP="002122CF">
            <w:pPr>
              <w:rPr>
                <w:iCs/>
                <w:szCs w:val="22"/>
              </w:rPr>
            </w:pPr>
            <w:r w:rsidRPr="0059055A">
              <w:rPr>
                <w:iCs/>
                <w:szCs w:val="22"/>
              </w:rPr>
              <w:t>Chlorid sodný</w:t>
            </w:r>
          </w:p>
        </w:tc>
      </w:tr>
      <w:tr w:rsidR="005510B2" w:rsidRPr="0059055A" w14:paraId="3C7871B9" w14:textId="77777777" w:rsidTr="002122CF">
        <w:tc>
          <w:tcPr>
            <w:tcW w:w="5382" w:type="dxa"/>
            <w:shd w:val="clear" w:color="auto" w:fill="auto"/>
            <w:vAlign w:val="center"/>
          </w:tcPr>
          <w:p w14:paraId="60D091DB" w14:textId="77777777" w:rsidR="005510B2" w:rsidRPr="0059055A" w:rsidRDefault="005510B2" w:rsidP="002122CF">
            <w:pPr>
              <w:rPr>
                <w:b/>
                <w:bCs/>
                <w:iCs/>
                <w:szCs w:val="22"/>
              </w:rPr>
            </w:pPr>
            <w:r w:rsidRPr="0059055A">
              <w:rPr>
                <w:szCs w:val="22"/>
              </w:rPr>
              <w:t>Fosfátový tlumivý roztok</w:t>
            </w:r>
          </w:p>
        </w:tc>
      </w:tr>
    </w:tbl>
    <w:p w14:paraId="7A44BE8F" w14:textId="77777777" w:rsidR="005510B2" w:rsidRPr="0059055A" w:rsidRDefault="005510B2" w:rsidP="00A33C37">
      <w:pPr>
        <w:rPr>
          <w:szCs w:val="22"/>
        </w:rPr>
      </w:pPr>
    </w:p>
    <w:p w14:paraId="15168EB2" w14:textId="77777777" w:rsidR="005510B2" w:rsidRPr="0059055A" w:rsidRDefault="005510B2" w:rsidP="00A33C37">
      <w:pPr>
        <w:rPr>
          <w:szCs w:val="22"/>
        </w:rPr>
      </w:pPr>
    </w:p>
    <w:p w14:paraId="7EFE0F0D" w14:textId="485F72AD" w:rsidR="00570514" w:rsidRPr="0059055A" w:rsidRDefault="007B537A" w:rsidP="00570514">
      <w:pPr>
        <w:rPr>
          <w:szCs w:val="22"/>
        </w:rPr>
      </w:pPr>
      <w:r w:rsidRPr="0059055A">
        <w:rPr>
          <w:szCs w:val="22"/>
        </w:rPr>
        <w:t>Č</w:t>
      </w:r>
      <w:r w:rsidR="00570514" w:rsidRPr="0059055A">
        <w:rPr>
          <w:szCs w:val="22"/>
        </w:rPr>
        <w:t>irá tekutina bez sedimentu.</w:t>
      </w:r>
    </w:p>
    <w:p w14:paraId="71C3F707" w14:textId="16222DB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840895E" w14:textId="77777777" w:rsidR="00E71443" w:rsidRPr="0059055A" w:rsidRDefault="00E71443">
      <w:pPr>
        <w:tabs>
          <w:tab w:val="clear" w:pos="567"/>
        </w:tabs>
        <w:spacing w:line="240" w:lineRule="auto"/>
        <w:rPr>
          <w:szCs w:val="22"/>
        </w:rPr>
      </w:pPr>
    </w:p>
    <w:p w14:paraId="05E8CF04" w14:textId="77777777" w:rsidR="004C4408" w:rsidRPr="0059055A" w:rsidRDefault="00C17D40">
      <w:pPr>
        <w:pStyle w:val="Style1"/>
      </w:pPr>
      <w:r w:rsidRPr="0059055A">
        <w:t>3.</w:t>
      </w:r>
      <w:r w:rsidRPr="0059055A">
        <w:tab/>
        <w:t>KLINICKÉ INFORMACE</w:t>
      </w:r>
    </w:p>
    <w:p w14:paraId="4F5A8F83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40843B" w14:textId="77777777" w:rsidR="004C4408" w:rsidRPr="0059055A" w:rsidRDefault="00C17D40">
      <w:pPr>
        <w:pStyle w:val="Style1"/>
      </w:pPr>
      <w:r w:rsidRPr="0059055A">
        <w:t>3.1</w:t>
      </w:r>
      <w:r w:rsidRPr="0059055A">
        <w:tab/>
        <w:t>Cílové druhy zvířat</w:t>
      </w:r>
    </w:p>
    <w:p w14:paraId="261DBE00" w14:textId="77777777" w:rsidR="004C4408" w:rsidRPr="0059055A" w:rsidRDefault="004C4408">
      <w:pPr>
        <w:rPr>
          <w:szCs w:val="22"/>
        </w:rPr>
      </w:pPr>
    </w:p>
    <w:p w14:paraId="051D307F" w14:textId="10BF2F31" w:rsidR="00E65320" w:rsidRPr="0059055A" w:rsidRDefault="00E65320" w:rsidP="00E65320">
      <w:pPr>
        <w:rPr>
          <w:szCs w:val="22"/>
        </w:rPr>
      </w:pPr>
      <w:r w:rsidRPr="0059055A">
        <w:rPr>
          <w:szCs w:val="22"/>
        </w:rPr>
        <w:t>Koně a poníci.</w:t>
      </w:r>
    </w:p>
    <w:p w14:paraId="7A1E7EC0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EF188E0" w14:textId="77777777" w:rsidR="004C4408" w:rsidRPr="0059055A" w:rsidRDefault="00C17D40">
      <w:pPr>
        <w:pStyle w:val="Style1"/>
      </w:pPr>
      <w:r w:rsidRPr="0059055A">
        <w:t>3.2</w:t>
      </w:r>
      <w:r w:rsidRPr="0059055A">
        <w:tab/>
        <w:t>Indikace pro použití pro každý cílový druh zvířat</w:t>
      </w:r>
    </w:p>
    <w:p w14:paraId="7C593EF4" w14:textId="77777777" w:rsidR="00F367B6" w:rsidRPr="0059055A" w:rsidRDefault="00F367B6" w:rsidP="00F367B6">
      <w:pPr>
        <w:tabs>
          <w:tab w:val="clear" w:pos="567"/>
        </w:tabs>
        <w:spacing w:line="240" w:lineRule="auto"/>
        <w:rPr>
          <w:szCs w:val="22"/>
        </w:rPr>
      </w:pPr>
    </w:p>
    <w:p w14:paraId="3220CFCC" w14:textId="202E1D3E" w:rsidR="00F367B6" w:rsidRPr="0059055A" w:rsidRDefault="00F367B6" w:rsidP="00F367B6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 xml:space="preserve">K aktivní imunizaci koní a poníků </w:t>
      </w:r>
      <w:r w:rsidR="00D70C2E" w:rsidRPr="0059055A">
        <w:rPr>
          <w:szCs w:val="22"/>
        </w:rPr>
        <w:t xml:space="preserve">od stáří 5 měsíců </w:t>
      </w:r>
      <w:r w:rsidRPr="0059055A">
        <w:rPr>
          <w:szCs w:val="22"/>
        </w:rPr>
        <w:t xml:space="preserve">proti chřipce koní, subtypům H7N7 a H3N8 (evropské a americké kmeny, včetně sublinie Florida – subtyp 1 a 2) ke snížení klinických příznaků a vylučování viru po infekci, prevence mortality způsobené infekcí </w:t>
      </w:r>
      <w:bookmarkStart w:id="2" w:name="_GoBack"/>
      <w:r w:rsidRPr="0059055A">
        <w:rPr>
          <w:i/>
          <w:szCs w:val="22"/>
        </w:rPr>
        <w:t>Clost</w:t>
      </w:r>
      <w:bookmarkEnd w:id="2"/>
      <w:r w:rsidRPr="0059055A">
        <w:rPr>
          <w:i/>
          <w:szCs w:val="22"/>
        </w:rPr>
        <w:t>ridium tetani</w:t>
      </w:r>
      <w:r w:rsidRPr="0059055A">
        <w:rPr>
          <w:szCs w:val="22"/>
        </w:rPr>
        <w:t>.</w:t>
      </w:r>
    </w:p>
    <w:p w14:paraId="2FD081F4" w14:textId="77777777" w:rsidR="00F367B6" w:rsidRPr="0059055A" w:rsidRDefault="00F367B6" w:rsidP="00F367B6">
      <w:pPr>
        <w:tabs>
          <w:tab w:val="clear" w:pos="567"/>
        </w:tabs>
        <w:spacing w:line="240" w:lineRule="auto"/>
        <w:rPr>
          <w:szCs w:val="22"/>
        </w:rPr>
      </w:pPr>
    </w:p>
    <w:p w14:paraId="6D1633FF" w14:textId="20226080" w:rsidR="00F367B6" w:rsidRPr="0059055A" w:rsidRDefault="00F367B6" w:rsidP="00F367B6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 xml:space="preserve">Nástup imunity: </w:t>
      </w:r>
      <w:r w:rsidR="00772426" w:rsidRPr="0059055A">
        <w:rPr>
          <w:szCs w:val="22"/>
        </w:rPr>
        <w:tab/>
      </w:r>
      <w:r w:rsidRPr="0059055A">
        <w:rPr>
          <w:szCs w:val="22"/>
        </w:rPr>
        <w:t>2 týdny po základní vakcinaci</w:t>
      </w:r>
    </w:p>
    <w:p w14:paraId="07D5ACFC" w14:textId="29619874" w:rsidR="00F367B6" w:rsidRPr="0059055A" w:rsidRDefault="00F367B6" w:rsidP="00F367B6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 xml:space="preserve">Trvání imunity: </w:t>
      </w:r>
      <w:r w:rsidR="00772426" w:rsidRPr="0059055A">
        <w:rPr>
          <w:szCs w:val="22"/>
        </w:rPr>
        <w:tab/>
      </w:r>
      <w:r w:rsidRPr="0059055A">
        <w:rPr>
          <w:szCs w:val="22"/>
        </w:rPr>
        <w:t xml:space="preserve">15 měsíců po třetí vakcinaci pro chřipku </w:t>
      </w:r>
    </w:p>
    <w:p w14:paraId="59FE89EC" w14:textId="08E4E5DB" w:rsidR="004C4408" w:rsidRPr="0059055A" w:rsidRDefault="00F367B6" w:rsidP="00772426">
      <w:pPr>
        <w:tabs>
          <w:tab w:val="clear" w:pos="567"/>
        </w:tabs>
        <w:spacing w:line="240" w:lineRule="auto"/>
        <w:ind w:left="1134" w:firstLine="567"/>
        <w:rPr>
          <w:szCs w:val="22"/>
        </w:rPr>
      </w:pPr>
      <w:r w:rsidRPr="0059055A">
        <w:rPr>
          <w:szCs w:val="22"/>
        </w:rPr>
        <w:t>36 měsíců po základní vakcinaci pro tetanus</w:t>
      </w:r>
    </w:p>
    <w:p w14:paraId="5052B0B7" w14:textId="77777777" w:rsidR="004F5DED" w:rsidRPr="0059055A" w:rsidRDefault="004F5DED" w:rsidP="00772426">
      <w:pPr>
        <w:tabs>
          <w:tab w:val="clear" w:pos="567"/>
        </w:tabs>
        <w:spacing w:line="240" w:lineRule="auto"/>
        <w:ind w:left="1134" w:firstLine="567"/>
        <w:rPr>
          <w:szCs w:val="22"/>
        </w:rPr>
      </w:pPr>
    </w:p>
    <w:p w14:paraId="14FE05CB" w14:textId="2192BCDC" w:rsidR="004C4408" w:rsidRPr="0059055A" w:rsidRDefault="00C17D40">
      <w:pPr>
        <w:pStyle w:val="Style1"/>
      </w:pPr>
      <w:r w:rsidRPr="0059055A">
        <w:t>3.3</w:t>
      </w:r>
      <w:r w:rsidR="00491592" w:rsidRPr="0059055A">
        <w:tab/>
      </w:r>
      <w:r w:rsidRPr="0059055A">
        <w:t>Kontraindikace</w:t>
      </w:r>
    </w:p>
    <w:p w14:paraId="53498B69" w14:textId="37FB2D02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FA82F0" w14:textId="3C0FA6AF" w:rsidR="001333CE" w:rsidRPr="0059055A" w:rsidRDefault="001333CE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>Nejsou.</w:t>
      </w:r>
    </w:p>
    <w:p w14:paraId="3F7A4D08" w14:textId="77777777" w:rsidR="001333CE" w:rsidRPr="0059055A" w:rsidRDefault="001333CE">
      <w:pPr>
        <w:tabs>
          <w:tab w:val="clear" w:pos="567"/>
        </w:tabs>
        <w:spacing w:line="240" w:lineRule="auto"/>
        <w:rPr>
          <w:szCs w:val="22"/>
        </w:rPr>
      </w:pPr>
    </w:p>
    <w:p w14:paraId="47762219" w14:textId="77777777" w:rsidR="004C4408" w:rsidRPr="0059055A" w:rsidRDefault="00C17D40">
      <w:pPr>
        <w:pStyle w:val="Style1"/>
      </w:pPr>
      <w:r w:rsidRPr="0059055A">
        <w:lastRenderedPageBreak/>
        <w:t>3.4</w:t>
      </w:r>
      <w:r w:rsidRPr="0059055A">
        <w:tab/>
        <w:t>Zvláštní upozornění</w:t>
      </w:r>
    </w:p>
    <w:p w14:paraId="018A9F4E" w14:textId="77777777" w:rsidR="00C80A58" w:rsidRPr="0059055A" w:rsidRDefault="00C80A58" w:rsidP="00C80A58">
      <w:pPr>
        <w:ind w:left="567" w:hanging="567"/>
        <w:rPr>
          <w:szCs w:val="22"/>
        </w:rPr>
      </w:pPr>
    </w:p>
    <w:p w14:paraId="18B702BA" w14:textId="7DF6D65D" w:rsidR="00C80A58" w:rsidRPr="0059055A" w:rsidRDefault="00C80A58" w:rsidP="00C80A58">
      <w:pPr>
        <w:ind w:left="567" w:hanging="567"/>
        <w:rPr>
          <w:szCs w:val="22"/>
        </w:rPr>
      </w:pPr>
      <w:r w:rsidRPr="0059055A">
        <w:rPr>
          <w:szCs w:val="22"/>
        </w:rPr>
        <w:t xml:space="preserve">Vakcinovat pouze zdravá zvířata. </w:t>
      </w:r>
    </w:p>
    <w:p w14:paraId="152F759A" w14:textId="02DE29A1" w:rsidR="004C4408" w:rsidRPr="0059055A" w:rsidRDefault="004C4408">
      <w:pPr>
        <w:rPr>
          <w:szCs w:val="22"/>
        </w:rPr>
      </w:pPr>
    </w:p>
    <w:p w14:paraId="35EA059D" w14:textId="77777777" w:rsidR="00B0443B" w:rsidRPr="0059055A" w:rsidRDefault="00B0443B" w:rsidP="00B0443B">
      <w:pPr>
        <w:jc w:val="both"/>
        <w:rPr>
          <w:szCs w:val="22"/>
        </w:rPr>
      </w:pPr>
      <w:r w:rsidRPr="0059055A">
        <w:rPr>
          <w:szCs w:val="22"/>
        </w:rPr>
        <w:t>Je prokázáno, že přípravek Equip</w:t>
      </w:r>
      <w:r w:rsidRPr="0059055A">
        <w:rPr>
          <w:szCs w:val="22"/>
          <w:vertAlign w:val="superscript"/>
        </w:rPr>
        <w:t>®</w:t>
      </w:r>
      <w:r w:rsidRPr="0059055A">
        <w:rPr>
          <w:szCs w:val="22"/>
        </w:rPr>
        <w:t xml:space="preserve"> FT lze bezpečně použít u hříbat ve stáří 3-4 měsíce. Účinnost aktivní imunizace mladých hříbat proti chřipce koní však bude ovlivněna hladinou mateřských protilátek v těle hříběte. Proto se k dosažení maximální ochrany doporučuje vakcinovat hříbata ve stáří 5 měsíců a starší, poté, kdy poklesly hladiny mateřských protilátek.</w:t>
      </w:r>
    </w:p>
    <w:p w14:paraId="31930161" w14:textId="77777777" w:rsidR="00B0443B" w:rsidRPr="0059055A" w:rsidRDefault="00B0443B" w:rsidP="00B0443B">
      <w:pPr>
        <w:jc w:val="both"/>
        <w:rPr>
          <w:szCs w:val="22"/>
        </w:rPr>
      </w:pPr>
      <w:r w:rsidRPr="0059055A">
        <w:rPr>
          <w:szCs w:val="22"/>
        </w:rPr>
        <w:t>Koně, jimž byly podány léky potlačující imunitu, jako jsou např. glukokortikoidy, by měli být vakcinováni teprve po uplynutí doby alespoň čtyř týdnů po podání těchto léků.</w:t>
      </w:r>
    </w:p>
    <w:p w14:paraId="5F81B16B" w14:textId="77777777" w:rsidR="007821DB" w:rsidRPr="0059055A" w:rsidRDefault="007821DB" w:rsidP="00B0443B">
      <w:pPr>
        <w:jc w:val="both"/>
        <w:rPr>
          <w:szCs w:val="22"/>
        </w:rPr>
      </w:pPr>
    </w:p>
    <w:p w14:paraId="345139CE" w14:textId="607E11E7" w:rsidR="00B0443B" w:rsidRPr="0059055A" w:rsidRDefault="00B0443B" w:rsidP="00B0443B">
      <w:pPr>
        <w:jc w:val="both"/>
        <w:rPr>
          <w:szCs w:val="22"/>
        </w:rPr>
      </w:pPr>
      <w:r w:rsidRPr="0059055A">
        <w:rPr>
          <w:szCs w:val="22"/>
        </w:rPr>
        <w:t>V každé zvířecí populaci se může vyskytovat malý počet jedinců, u nichž se účinek vakcinace v plném rozsahu neprojeví. Úspěšná vakcinace je podmíněna správným uchováváním a aplikací vakcíny a</w:t>
      </w:r>
      <w:r w:rsidR="00E95AF5" w:rsidRPr="0059055A">
        <w:rPr>
          <w:szCs w:val="22"/>
        </w:rPr>
        <w:t> </w:t>
      </w:r>
      <w:r w:rsidRPr="0059055A">
        <w:rPr>
          <w:szCs w:val="22"/>
        </w:rPr>
        <w:t>zároveň schopností zvířete na ni zareagovat. Ta může být ovlivněna faktory, jako je např. genetická konstituce, přidružená komplikující infekce, věk, přítomnost protilátek získaných z mateřského organismu, stav výživy, souběžně probíhající léčba jinými přípravky a stres.</w:t>
      </w:r>
    </w:p>
    <w:p w14:paraId="1651DD4E" w14:textId="77777777" w:rsidR="006A4F62" w:rsidRPr="0059055A" w:rsidRDefault="006A4F62" w:rsidP="00B0443B">
      <w:pPr>
        <w:jc w:val="both"/>
        <w:rPr>
          <w:szCs w:val="22"/>
        </w:rPr>
      </w:pPr>
    </w:p>
    <w:p w14:paraId="3FA00E02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A462EED" w14:textId="77777777" w:rsidR="004C4408" w:rsidRPr="0059055A" w:rsidRDefault="00C17D40">
      <w:pPr>
        <w:pStyle w:val="Style1"/>
        <w:keepNext/>
      </w:pPr>
      <w:r w:rsidRPr="0059055A">
        <w:t>3.5</w:t>
      </w:r>
      <w:r w:rsidRPr="0059055A">
        <w:tab/>
        <w:t>Zvláštní opatření pro použití</w:t>
      </w:r>
    </w:p>
    <w:p w14:paraId="71832FE2" w14:textId="77777777" w:rsidR="004C4408" w:rsidRPr="0059055A" w:rsidRDefault="004C4408">
      <w:pPr>
        <w:keepNext/>
        <w:rPr>
          <w:b/>
          <w:szCs w:val="22"/>
        </w:rPr>
      </w:pPr>
    </w:p>
    <w:p w14:paraId="50D0DF9F" w14:textId="5BAD6261" w:rsidR="004C4408" w:rsidRPr="0059055A" w:rsidRDefault="00C17D40">
      <w:pPr>
        <w:keepNext/>
        <w:rPr>
          <w:szCs w:val="22"/>
          <w:u w:val="single"/>
        </w:rPr>
      </w:pPr>
      <w:r w:rsidRPr="0059055A">
        <w:rPr>
          <w:szCs w:val="22"/>
          <w:u w:val="single"/>
        </w:rPr>
        <w:t xml:space="preserve">Zvláštní opatření </w:t>
      </w:r>
      <w:r w:rsidR="009A1D10" w:rsidRPr="0059055A">
        <w:rPr>
          <w:szCs w:val="22"/>
          <w:u w:val="single"/>
        </w:rPr>
        <w:t>pro bezpečné použití u cílových druhů zvířat</w:t>
      </w:r>
      <w:r w:rsidR="008F4544" w:rsidRPr="0059055A">
        <w:rPr>
          <w:szCs w:val="22"/>
          <w:u w:val="single"/>
        </w:rPr>
        <w:t>:</w:t>
      </w:r>
    </w:p>
    <w:p w14:paraId="5C04C9BF" w14:textId="77777777" w:rsidR="0067071D" w:rsidRPr="0059055A" w:rsidRDefault="0067071D" w:rsidP="00E91B89">
      <w:pPr>
        <w:ind w:left="567" w:hanging="567"/>
        <w:rPr>
          <w:szCs w:val="22"/>
        </w:rPr>
      </w:pPr>
    </w:p>
    <w:p w14:paraId="7B869F9B" w14:textId="77777777" w:rsidR="00E91B89" w:rsidRPr="0059055A" w:rsidRDefault="00E91B89" w:rsidP="00E91B89">
      <w:pPr>
        <w:rPr>
          <w:szCs w:val="22"/>
        </w:rPr>
      </w:pPr>
      <w:r w:rsidRPr="0059055A">
        <w:rPr>
          <w:szCs w:val="22"/>
        </w:rPr>
        <w:t>Klisny v pokročilém stupni březosti by při vakcinaci neměly být vystaveny přílišnému stresu.</w:t>
      </w:r>
    </w:p>
    <w:p w14:paraId="3EA773C5" w14:textId="77777777" w:rsidR="003F5B47" w:rsidRPr="0059055A" w:rsidRDefault="003F5B47" w:rsidP="003F5B47">
      <w:pPr>
        <w:rPr>
          <w:szCs w:val="22"/>
        </w:rPr>
      </w:pPr>
    </w:p>
    <w:p w14:paraId="3290A0A7" w14:textId="613F584F" w:rsidR="004C4408" w:rsidRPr="0059055A" w:rsidRDefault="00C17D40">
      <w:pPr>
        <w:rPr>
          <w:szCs w:val="22"/>
          <w:u w:val="single"/>
        </w:rPr>
      </w:pPr>
      <w:r w:rsidRPr="0059055A">
        <w:rPr>
          <w:szCs w:val="22"/>
          <w:u w:val="single"/>
        </w:rPr>
        <w:t xml:space="preserve">Zvláštní opatření </w:t>
      </w:r>
      <w:r w:rsidR="002E24FF" w:rsidRPr="0059055A">
        <w:rPr>
          <w:szCs w:val="22"/>
          <w:u w:val="single"/>
        </w:rPr>
        <w:t>pro osobu, která podává veterinární léčivý přípravek zvířatům:</w:t>
      </w:r>
    </w:p>
    <w:p w14:paraId="6223FB06" w14:textId="77777777" w:rsidR="00BF7C12" w:rsidRPr="0059055A" w:rsidRDefault="00BF7C12" w:rsidP="00BF7C12">
      <w:pPr>
        <w:autoSpaceDE w:val="0"/>
        <w:autoSpaceDN w:val="0"/>
        <w:adjustRightInd w:val="0"/>
        <w:rPr>
          <w:szCs w:val="22"/>
        </w:rPr>
      </w:pPr>
    </w:p>
    <w:p w14:paraId="40EB72CD" w14:textId="5EC5A11B" w:rsidR="00BF7C12" w:rsidRPr="0059055A" w:rsidRDefault="00BF7C12" w:rsidP="00BF7C12">
      <w:pPr>
        <w:autoSpaceDE w:val="0"/>
        <w:autoSpaceDN w:val="0"/>
        <w:adjustRightInd w:val="0"/>
        <w:rPr>
          <w:szCs w:val="22"/>
        </w:rPr>
      </w:pPr>
      <w:r w:rsidRPr="0059055A">
        <w:rPr>
          <w:szCs w:val="22"/>
        </w:rPr>
        <w:t xml:space="preserve">V případě náhodného </w:t>
      </w:r>
      <w:r w:rsidR="00D70C2E" w:rsidRPr="0059055A">
        <w:rPr>
          <w:szCs w:val="22"/>
        </w:rPr>
        <w:t>samopodání</w:t>
      </w:r>
      <w:r w:rsidRPr="0059055A">
        <w:rPr>
          <w:szCs w:val="22"/>
        </w:rPr>
        <w:t>, vyhledejte ihned lékařskou pomoc a ukažte příbalovou informaci nebo etiketu praktickému lékaři.</w:t>
      </w:r>
    </w:p>
    <w:p w14:paraId="433AADDE" w14:textId="3D2CF085" w:rsidR="008616AE" w:rsidRPr="0059055A" w:rsidRDefault="008616AE">
      <w:pPr>
        <w:autoSpaceDE w:val="0"/>
        <w:autoSpaceDN w:val="0"/>
        <w:adjustRightInd w:val="0"/>
        <w:rPr>
          <w:szCs w:val="22"/>
        </w:rPr>
      </w:pPr>
    </w:p>
    <w:p w14:paraId="4D69D3CC" w14:textId="6FEF0B14" w:rsidR="00D70C2E" w:rsidRPr="0059055A" w:rsidRDefault="00D70C2E" w:rsidP="008616AE">
      <w:pPr>
        <w:tabs>
          <w:tab w:val="clear" w:pos="567"/>
        </w:tabs>
        <w:spacing w:line="240" w:lineRule="auto"/>
        <w:rPr>
          <w:szCs w:val="22"/>
        </w:rPr>
      </w:pPr>
    </w:p>
    <w:p w14:paraId="4088F387" w14:textId="77777777" w:rsidR="00D70C2E" w:rsidRPr="0059055A" w:rsidRDefault="00D70C2E" w:rsidP="008616AE">
      <w:pPr>
        <w:tabs>
          <w:tab w:val="clear" w:pos="567"/>
        </w:tabs>
        <w:spacing w:line="240" w:lineRule="auto"/>
        <w:rPr>
          <w:szCs w:val="22"/>
        </w:rPr>
      </w:pPr>
    </w:p>
    <w:p w14:paraId="0950A03C" w14:textId="77777777" w:rsidR="00D70C2E" w:rsidRPr="0059055A" w:rsidRDefault="00D70C2E" w:rsidP="00D70C2E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9055A">
        <w:rPr>
          <w:szCs w:val="22"/>
          <w:u w:val="single"/>
        </w:rPr>
        <w:t>Zvláštní opatření pro ochranu životního prostředí:</w:t>
      </w:r>
    </w:p>
    <w:p w14:paraId="751FD311" w14:textId="77777777" w:rsidR="00D70C2E" w:rsidRPr="0059055A" w:rsidRDefault="00D70C2E" w:rsidP="00D70C2E">
      <w:pPr>
        <w:tabs>
          <w:tab w:val="clear" w:pos="567"/>
        </w:tabs>
        <w:spacing w:line="240" w:lineRule="auto"/>
      </w:pPr>
    </w:p>
    <w:p w14:paraId="60F138FF" w14:textId="77777777" w:rsidR="00D70C2E" w:rsidRPr="0059055A" w:rsidRDefault="00D70C2E" w:rsidP="00D70C2E">
      <w:pPr>
        <w:tabs>
          <w:tab w:val="clear" w:pos="567"/>
        </w:tabs>
        <w:spacing w:line="240" w:lineRule="auto"/>
        <w:rPr>
          <w:szCs w:val="22"/>
        </w:rPr>
      </w:pPr>
      <w:r w:rsidRPr="0059055A">
        <w:t>Neuplatňuje se.</w:t>
      </w:r>
    </w:p>
    <w:p w14:paraId="42F741F2" w14:textId="2124785D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A65AE31" w14:textId="77777777" w:rsidR="00D70C2E" w:rsidRPr="0059055A" w:rsidRDefault="00D70C2E">
      <w:pPr>
        <w:tabs>
          <w:tab w:val="clear" w:pos="567"/>
        </w:tabs>
        <w:spacing w:line="240" w:lineRule="auto"/>
        <w:rPr>
          <w:szCs w:val="22"/>
        </w:rPr>
      </w:pPr>
    </w:p>
    <w:p w14:paraId="22A9AEEB" w14:textId="70C79AB3" w:rsidR="004C4408" w:rsidRPr="0059055A" w:rsidRDefault="00C17D40">
      <w:pPr>
        <w:pStyle w:val="Style1"/>
        <w:ind w:left="0" w:firstLine="0"/>
      </w:pPr>
      <w:r w:rsidRPr="0059055A">
        <w:t>3.6</w:t>
      </w:r>
      <w:r w:rsidRPr="0059055A">
        <w:tab/>
        <w:t>Nežádoucí účinky</w:t>
      </w:r>
    </w:p>
    <w:p w14:paraId="3486C3A8" w14:textId="310CDCF9" w:rsidR="00441F28" w:rsidRPr="0059055A" w:rsidRDefault="00441F28">
      <w:pPr>
        <w:pStyle w:val="Style1"/>
        <w:ind w:left="0" w:firstLine="0"/>
      </w:pPr>
    </w:p>
    <w:p w14:paraId="2A97C011" w14:textId="253308A0" w:rsidR="00A937EB" w:rsidRPr="0059055A" w:rsidRDefault="00A937EB" w:rsidP="00A937EB">
      <w:pPr>
        <w:rPr>
          <w:szCs w:val="22"/>
        </w:rPr>
      </w:pPr>
      <w:bookmarkStart w:id="3" w:name="_Hlk123572844"/>
      <w:r w:rsidRPr="0059055A">
        <w:rPr>
          <w:szCs w:val="22"/>
        </w:rPr>
        <w:t xml:space="preserve">Koně a </w:t>
      </w:r>
      <w:r w:rsidR="004C3C31" w:rsidRPr="0059055A">
        <w:rPr>
          <w:szCs w:val="22"/>
        </w:rPr>
        <w:t>poníci:</w:t>
      </w:r>
    </w:p>
    <w:p w14:paraId="58DE6B21" w14:textId="77777777" w:rsidR="00BF7C12" w:rsidRPr="0059055A" w:rsidRDefault="00BF7C1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3"/>
      </w:tblGrid>
      <w:tr w:rsidR="00575612" w:rsidRPr="0059055A" w14:paraId="034CB975" w14:textId="77777777" w:rsidTr="00374456">
        <w:tc>
          <w:tcPr>
            <w:tcW w:w="2344" w:type="pct"/>
          </w:tcPr>
          <w:p w14:paraId="12ECB4A8" w14:textId="03820DEE" w:rsidR="00575612" w:rsidRPr="0059055A" w:rsidRDefault="00575612" w:rsidP="00782745">
            <w:pPr>
              <w:rPr>
                <w:szCs w:val="22"/>
              </w:rPr>
            </w:pPr>
          </w:p>
        </w:tc>
        <w:tc>
          <w:tcPr>
            <w:tcW w:w="2656" w:type="pct"/>
          </w:tcPr>
          <w:p w14:paraId="1DDB5B5D" w14:textId="77777777" w:rsidR="00575612" w:rsidRPr="0059055A" w:rsidRDefault="00575612" w:rsidP="00782745">
            <w:pPr>
              <w:rPr>
                <w:szCs w:val="22"/>
              </w:rPr>
            </w:pPr>
          </w:p>
        </w:tc>
      </w:tr>
      <w:tr w:rsidR="00AB1279" w:rsidRPr="0059055A" w14:paraId="02D0A383" w14:textId="77777777" w:rsidTr="004C3C31">
        <w:tc>
          <w:tcPr>
            <w:tcW w:w="2344" w:type="pct"/>
          </w:tcPr>
          <w:p w14:paraId="33F5F55D" w14:textId="77777777" w:rsidR="00782745" w:rsidRPr="0059055A" w:rsidRDefault="00782745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Vzácné</w:t>
            </w:r>
          </w:p>
          <w:p w14:paraId="4A66B785" w14:textId="7DD2BDE2" w:rsidR="00782745" w:rsidRPr="0059055A" w:rsidRDefault="00782745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(1 až 10 zvířat / 10 000 ošetřených zvířat):</w:t>
            </w:r>
          </w:p>
        </w:tc>
        <w:tc>
          <w:tcPr>
            <w:tcW w:w="2656" w:type="pct"/>
          </w:tcPr>
          <w:p w14:paraId="3AF08CF2" w14:textId="4693A661" w:rsidR="008F0FDC" w:rsidRPr="0059055A" w:rsidRDefault="008F0FDC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otok v místě injekčního podání</w:t>
            </w:r>
            <w:r w:rsidR="006E7556" w:rsidRPr="0059055A">
              <w:rPr>
                <w:szCs w:val="22"/>
                <w:vertAlign w:val="superscript"/>
              </w:rPr>
              <w:t>1,2</w:t>
            </w:r>
          </w:p>
          <w:p w14:paraId="38244E5B" w14:textId="25BB0AF1" w:rsidR="00782745" w:rsidRPr="0059055A" w:rsidRDefault="00624483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ztuhlost</w:t>
            </w:r>
            <w:r w:rsidR="008D42D5" w:rsidRPr="0059055A">
              <w:rPr>
                <w:szCs w:val="22"/>
                <w:vertAlign w:val="superscript"/>
              </w:rPr>
              <w:t>2</w:t>
            </w:r>
          </w:p>
          <w:p w14:paraId="619B360B" w14:textId="2A9AF7AA" w:rsidR="00672BEC" w:rsidRPr="0059055A" w:rsidRDefault="00624483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zvýšení teploty</w:t>
            </w:r>
            <w:r w:rsidR="0069624B" w:rsidRPr="0059055A">
              <w:rPr>
                <w:szCs w:val="22"/>
                <w:vertAlign w:val="superscript"/>
              </w:rPr>
              <w:t>2,3</w:t>
            </w:r>
          </w:p>
        </w:tc>
      </w:tr>
      <w:tr w:rsidR="00AB1279" w:rsidRPr="0059055A" w14:paraId="1CBBA789" w14:textId="77777777" w:rsidTr="004C3C31">
        <w:trPr>
          <w:trHeight w:val="418"/>
        </w:trPr>
        <w:tc>
          <w:tcPr>
            <w:tcW w:w="2344" w:type="pct"/>
          </w:tcPr>
          <w:p w14:paraId="664A2D5E" w14:textId="77777777" w:rsidR="00782745" w:rsidRPr="0059055A" w:rsidRDefault="00782745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Velmi vzácné</w:t>
            </w:r>
          </w:p>
          <w:p w14:paraId="46BB6F33" w14:textId="44FB3126" w:rsidR="00782745" w:rsidRPr="0059055A" w:rsidRDefault="004C3C31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(&lt;1</w:t>
            </w:r>
            <w:r w:rsidR="00782745" w:rsidRPr="0059055A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2656" w:type="pct"/>
            <w:hideMark/>
          </w:tcPr>
          <w:p w14:paraId="70A92537" w14:textId="77777777" w:rsidR="002843BC" w:rsidRPr="0059055A" w:rsidRDefault="002843BC" w:rsidP="00782745">
            <w:pPr>
              <w:rPr>
                <w:szCs w:val="22"/>
              </w:rPr>
            </w:pPr>
            <w:r w:rsidRPr="0059055A">
              <w:rPr>
                <w:szCs w:val="22"/>
              </w:rPr>
              <w:t>bolest v místě injekčního podání</w:t>
            </w:r>
          </w:p>
          <w:p w14:paraId="5199ABEB" w14:textId="63E2237E" w:rsidR="000E6AA4" w:rsidRPr="0059055A" w:rsidRDefault="000E6AA4" w:rsidP="000E6AA4">
            <w:pPr>
              <w:rPr>
                <w:szCs w:val="22"/>
              </w:rPr>
            </w:pPr>
            <w:r w:rsidRPr="0059055A">
              <w:rPr>
                <w:szCs w:val="22"/>
              </w:rPr>
              <w:t>hypersenzitivní reakce</w:t>
            </w:r>
            <w:r w:rsidRPr="0059055A">
              <w:rPr>
                <w:szCs w:val="22"/>
                <w:vertAlign w:val="superscript"/>
              </w:rPr>
              <w:t>4</w:t>
            </w:r>
          </w:p>
          <w:p w14:paraId="1FA5E1A1" w14:textId="50CB4706" w:rsidR="00782745" w:rsidRPr="0059055A" w:rsidRDefault="00782745" w:rsidP="0069624B">
            <w:pPr>
              <w:rPr>
                <w:szCs w:val="22"/>
              </w:rPr>
            </w:pPr>
            <w:r w:rsidRPr="0059055A">
              <w:rPr>
                <w:szCs w:val="22"/>
              </w:rPr>
              <w:t>anorexie</w:t>
            </w:r>
            <w:r w:rsidR="0069624B" w:rsidRPr="0059055A">
              <w:rPr>
                <w:szCs w:val="22"/>
              </w:rPr>
              <w:t>,</w:t>
            </w:r>
            <w:r w:rsidR="00695544" w:rsidRPr="0059055A">
              <w:rPr>
                <w:szCs w:val="22"/>
              </w:rPr>
              <w:t xml:space="preserve"> </w:t>
            </w:r>
            <w:r w:rsidRPr="0059055A">
              <w:rPr>
                <w:szCs w:val="22"/>
              </w:rPr>
              <w:t xml:space="preserve">letargie </w:t>
            </w:r>
          </w:p>
        </w:tc>
      </w:tr>
      <w:bookmarkEnd w:id="3"/>
    </w:tbl>
    <w:p w14:paraId="5DD07944" w14:textId="77777777" w:rsidR="004C3C31" w:rsidRPr="0059055A" w:rsidRDefault="004C3C31" w:rsidP="00716A99">
      <w:pPr>
        <w:pStyle w:val="Bezmezer"/>
        <w:rPr>
          <w:vertAlign w:val="superscript"/>
        </w:rPr>
      </w:pPr>
    </w:p>
    <w:p w14:paraId="1529C5E2" w14:textId="73995EA3" w:rsidR="00716A99" w:rsidRPr="0059055A" w:rsidRDefault="00716A99" w:rsidP="00716A99">
      <w:pPr>
        <w:pStyle w:val="Bezmezer"/>
      </w:pPr>
      <w:r w:rsidRPr="0059055A">
        <w:rPr>
          <w:vertAlign w:val="superscript"/>
        </w:rPr>
        <w:t>1</w:t>
      </w:r>
      <w:r w:rsidRPr="0059055A">
        <w:t>Malý</w:t>
      </w:r>
      <w:r w:rsidR="003963F4" w:rsidRPr="0059055A">
        <w:t xml:space="preserve"> měkký</w:t>
      </w:r>
      <w:r w:rsidR="006354AE" w:rsidRPr="0059055A">
        <w:t>,</w:t>
      </w:r>
      <w:r w:rsidR="003963F4" w:rsidRPr="0059055A">
        <w:t xml:space="preserve"> nebolestivý </w:t>
      </w:r>
      <w:r w:rsidRPr="0059055A">
        <w:t xml:space="preserve">(10-20 mm </w:t>
      </w:r>
      <w:r w:rsidR="003963F4" w:rsidRPr="0059055A">
        <w:t>v průměru</w:t>
      </w:r>
      <w:r w:rsidRPr="0059055A">
        <w:t>).</w:t>
      </w:r>
    </w:p>
    <w:p w14:paraId="550F270B" w14:textId="0CC4E2C6" w:rsidR="00893E51" w:rsidRPr="0059055A" w:rsidRDefault="00716A99" w:rsidP="00893E51">
      <w:pPr>
        <w:rPr>
          <w:szCs w:val="22"/>
        </w:rPr>
      </w:pPr>
      <w:r w:rsidRPr="0059055A">
        <w:rPr>
          <w:vertAlign w:val="superscript"/>
        </w:rPr>
        <w:t>2</w:t>
      </w:r>
      <w:r w:rsidR="00893E51" w:rsidRPr="0059055A">
        <w:rPr>
          <w:szCs w:val="22"/>
        </w:rPr>
        <w:t>Tyto příznaky běžně odezní následující den po vakcinaci.</w:t>
      </w:r>
    </w:p>
    <w:p w14:paraId="554328C1" w14:textId="4B6EAB2A" w:rsidR="00716A99" w:rsidRPr="0059055A" w:rsidRDefault="00716A99" w:rsidP="00716A99">
      <w:r w:rsidRPr="0059055A">
        <w:rPr>
          <w:vertAlign w:val="superscript"/>
        </w:rPr>
        <w:t xml:space="preserve">3 </w:t>
      </w:r>
      <w:r w:rsidRPr="0059055A">
        <w:t>M</w:t>
      </w:r>
      <w:r w:rsidR="003E6A07" w:rsidRPr="0059055A">
        <w:t>írné přechodné,</w:t>
      </w:r>
      <w:r w:rsidRPr="0059055A">
        <w:t xml:space="preserve"> typic</w:t>
      </w:r>
      <w:r w:rsidR="003E6A07" w:rsidRPr="0059055A">
        <w:t>ky</w:t>
      </w:r>
      <w:r w:rsidR="00AB7CD5" w:rsidRPr="0059055A">
        <w:t xml:space="preserve"> </w:t>
      </w:r>
      <w:r w:rsidRPr="0059055A">
        <w:t>9-12 ho</w:t>
      </w:r>
      <w:r w:rsidR="00AB7CD5" w:rsidRPr="0059055A">
        <w:t>din po</w:t>
      </w:r>
      <w:r w:rsidRPr="0059055A">
        <w:t xml:space="preserve"> va</w:t>
      </w:r>
      <w:r w:rsidR="00AB7CD5" w:rsidRPr="0059055A">
        <w:t>kcinaci</w:t>
      </w:r>
      <w:r w:rsidRPr="0059055A">
        <w:t>.</w:t>
      </w:r>
    </w:p>
    <w:p w14:paraId="0CD99FB7" w14:textId="77777777" w:rsidR="00A93E48" w:rsidRPr="0059055A" w:rsidRDefault="00716A99" w:rsidP="00A93E48">
      <w:pPr>
        <w:rPr>
          <w:szCs w:val="22"/>
        </w:rPr>
      </w:pPr>
      <w:r w:rsidRPr="0059055A">
        <w:rPr>
          <w:vertAlign w:val="superscript"/>
        </w:rPr>
        <w:t xml:space="preserve">4 </w:t>
      </w:r>
      <w:r w:rsidR="00A93E48" w:rsidRPr="0059055A">
        <w:rPr>
          <w:szCs w:val="22"/>
        </w:rPr>
        <w:t>Objeví-li se alergická nebo anafylaktická reakce, je třeba okamžitě nasadit léčbu intravenózně aplikovaným glukokortikoidem nebo intramuskulárně aplikovaným adrenalinem.</w:t>
      </w:r>
    </w:p>
    <w:p w14:paraId="0C7F530D" w14:textId="13D0E3B5" w:rsidR="00716A99" w:rsidRPr="0059055A" w:rsidRDefault="00716A99" w:rsidP="00716A99">
      <w:pPr>
        <w:pStyle w:val="Bezmezer"/>
      </w:pPr>
    </w:p>
    <w:p w14:paraId="7A9531F5" w14:textId="2FA4438E" w:rsidR="004C4408" w:rsidRPr="0059055A" w:rsidRDefault="00975AA5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</w:t>
      </w:r>
      <w:r w:rsidRPr="0059055A">
        <w:rPr>
          <w:szCs w:val="22"/>
        </w:rPr>
        <w:lastRenderedPageBreak/>
        <w:t>držiteli rozhodnutí o registraci</w:t>
      </w:r>
      <w:r w:rsidR="0059055A">
        <w:rPr>
          <w:szCs w:val="22"/>
        </w:rPr>
        <w:t>,</w:t>
      </w:r>
      <w:r w:rsidRPr="0059055A">
        <w:rPr>
          <w:szCs w:val="22"/>
        </w:rPr>
        <w:t xml:space="preserve"> nebo příslušnému vnitrostátnímu orgánu prostřednictvím národního systému hlášení. Podrobné kontaktní údaje naleznete v</w:t>
      </w:r>
      <w:r w:rsidR="00575612" w:rsidRPr="0059055A">
        <w:rPr>
          <w:szCs w:val="22"/>
        </w:rPr>
        <w:t xml:space="preserve"> posledním </w:t>
      </w:r>
      <w:r w:rsidR="004C3C31" w:rsidRPr="0059055A">
        <w:rPr>
          <w:szCs w:val="22"/>
        </w:rPr>
        <w:t>bodě příbalové</w:t>
      </w:r>
      <w:r w:rsidRPr="0059055A">
        <w:rPr>
          <w:szCs w:val="22"/>
        </w:rPr>
        <w:t xml:space="preserve"> informace.</w:t>
      </w:r>
    </w:p>
    <w:p w14:paraId="41D0A3D3" w14:textId="77777777" w:rsidR="00D436F1" w:rsidRPr="0059055A" w:rsidRDefault="00D436F1">
      <w:pPr>
        <w:tabs>
          <w:tab w:val="clear" w:pos="567"/>
        </w:tabs>
        <w:spacing w:line="240" w:lineRule="auto"/>
        <w:rPr>
          <w:szCs w:val="22"/>
        </w:rPr>
      </w:pPr>
    </w:p>
    <w:p w14:paraId="48AA85DB" w14:textId="77777777" w:rsidR="004C4408" w:rsidRPr="0059055A" w:rsidRDefault="00C17D40">
      <w:pPr>
        <w:pStyle w:val="Style1"/>
      </w:pPr>
      <w:r w:rsidRPr="0059055A">
        <w:t>3.7</w:t>
      </w:r>
      <w:r w:rsidRPr="0059055A">
        <w:tab/>
        <w:t>Použití v průběhu březosti, laktace nebo snášky</w:t>
      </w:r>
    </w:p>
    <w:p w14:paraId="50DDF428" w14:textId="77777777" w:rsidR="004C4408" w:rsidRPr="0059055A" w:rsidRDefault="004C4408">
      <w:pPr>
        <w:rPr>
          <w:szCs w:val="22"/>
        </w:rPr>
      </w:pPr>
    </w:p>
    <w:p w14:paraId="6DEC74F3" w14:textId="77777777" w:rsidR="004C4408" w:rsidRPr="0059055A" w:rsidRDefault="00C17D40">
      <w:pPr>
        <w:rPr>
          <w:szCs w:val="22"/>
          <w:u w:val="single"/>
        </w:rPr>
      </w:pPr>
      <w:r w:rsidRPr="0059055A">
        <w:rPr>
          <w:szCs w:val="22"/>
          <w:u w:val="single"/>
        </w:rPr>
        <w:t>Březost a laktace:</w:t>
      </w:r>
    </w:p>
    <w:p w14:paraId="234F86FD" w14:textId="7297EA8D" w:rsidR="004C4408" w:rsidRPr="0059055A" w:rsidRDefault="004C4408">
      <w:pPr>
        <w:rPr>
          <w:szCs w:val="22"/>
        </w:rPr>
      </w:pPr>
    </w:p>
    <w:p w14:paraId="3C38B7F4" w14:textId="5BB3D299" w:rsidR="00194742" w:rsidRPr="0059055A" w:rsidRDefault="00A27468" w:rsidP="00194742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59055A">
        <w:rPr>
          <w:bCs/>
          <w:szCs w:val="22"/>
        </w:rPr>
        <w:t xml:space="preserve">Lze použít </w:t>
      </w:r>
      <w:r w:rsidRPr="0059055A">
        <w:t>u březích klisen, které již byly vakcinovány proti chřipce koní a tetanu před zabřeznutím.</w:t>
      </w:r>
      <w:r w:rsidR="00194742" w:rsidRPr="0059055A">
        <w:rPr>
          <w:szCs w:val="22"/>
        </w:rPr>
        <w:t xml:space="preserve"> </w:t>
      </w:r>
    </w:p>
    <w:p w14:paraId="490E1497" w14:textId="77777777" w:rsidR="00194742" w:rsidRPr="0059055A" w:rsidRDefault="00194742">
      <w:pPr>
        <w:rPr>
          <w:szCs w:val="22"/>
        </w:rPr>
      </w:pPr>
    </w:p>
    <w:p w14:paraId="4BF0C579" w14:textId="77777777" w:rsidR="004C4408" w:rsidRPr="0059055A" w:rsidRDefault="00C17D40">
      <w:pPr>
        <w:pStyle w:val="Style1"/>
      </w:pPr>
      <w:r w:rsidRPr="0059055A">
        <w:t>3.8</w:t>
      </w:r>
      <w:r w:rsidRPr="0059055A">
        <w:tab/>
        <w:t>Interakce s jinými léčivými přípravky a další formy interakce</w:t>
      </w:r>
    </w:p>
    <w:p w14:paraId="6ED47F9B" w14:textId="0276013F" w:rsidR="004C4408" w:rsidRPr="0059055A" w:rsidRDefault="004C4408">
      <w:pPr>
        <w:autoSpaceDE w:val="0"/>
        <w:autoSpaceDN w:val="0"/>
        <w:adjustRightInd w:val="0"/>
        <w:rPr>
          <w:szCs w:val="22"/>
        </w:rPr>
      </w:pPr>
    </w:p>
    <w:p w14:paraId="077A231E" w14:textId="2652E7F5" w:rsidR="00393B5D" w:rsidRPr="0059055A" w:rsidRDefault="00393B5D" w:rsidP="00393B5D">
      <w:pPr>
        <w:pStyle w:val="BodyText210"/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  <w:lang w:val="cs-CZ"/>
        </w:rPr>
      </w:pPr>
      <w:r w:rsidRPr="0059055A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AF1396" w:rsidRPr="0059055A">
        <w:rPr>
          <w:sz w:val="22"/>
          <w:szCs w:val="22"/>
          <w:lang w:val="cs-CZ"/>
        </w:rPr>
        <w:t xml:space="preserve">se </w:t>
      </w:r>
      <w:r w:rsidR="00E97211" w:rsidRPr="0059055A">
        <w:rPr>
          <w:sz w:val="22"/>
          <w:szCs w:val="22"/>
          <w:lang w:val="cs-CZ"/>
        </w:rPr>
        <w:t>používá</w:t>
      </w:r>
      <w:r w:rsidRPr="0059055A">
        <w:rPr>
          <w:sz w:val="22"/>
          <w:szCs w:val="22"/>
          <w:lang w:val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E74E86F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605F7A3" w14:textId="77777777" w:rsidR="004C4408" w:rsidRPr="0059055A" w:rsidRDefault="00C17D40">
      <w:pPr>
        <w:pStyle w:val="Style1"/>
      </w:pPr>
      <w:r w:rsidRPr="0059055A">
        <w:t>3.9</w:t>
      </w:r>
      <w:r w:rsidRPr="0059055A">
        <w:tab/>
        <w:t>Cesty podání a dávkování</w:t>
      </w:r>
    </w:p>
    <w:p w14:paraId="0DFA183C" w14:textId="4F420615" w:rsidR="004C4408" w:rsidRPr="0059055A" w:rsidRDefault="004C4408">
      <w:pPr>
        <w:pStyle w:val="Default"/>
        <w:ind w:left="560" w:hanging="560"/>
        <w:rPr>
          <w:rFonts w:ascii="Times New Roman" w:hAnsi="Times New Roman" w:cs="Times New Roman"/>
          <w:sz w:val="22"/>
          <w:szCs w:val="22"/>
        </w:rPr>
      </w:pPr>
    </w:p>
    <w:p w14:paraId="422CF05A" w14:textId="77777777" w:rsidR="009B65EF" w:rsidRPr="0059055A" w:rsidRDefault="009B65EF" w:rsidP="009B65EF">
      <w:pPr>
        <w:rPr>
          <w:szCs w:val="22"/>
        </w:rPr>
      </w:pPr>
      <w:r w:rsidRPr="0059055A">
        <w:rPr>
          <w:szCs w:val="22"/>
        </w:rPr>
        <w:t>Před použitím protřepat a aplikovat formou hluboké intramuskulární injekce.</w:t>
      </w:r>
    </w:p>
    <w:p w14:paraId="510D949F" w14:textId="77777777" w:rsidR="009B65EF" w:rsidRPr="0059055A" w:rsidRDefault="009B65EF" w:rsidP="009B65EF">
      <w:pPr>
        <w:rPr>
          <w:szCs w:val="22"/>
          <w:u w:val="single"/>
        </w:rPr>
      </w:pPr>
    </w:p>
    <w:p w14:paraId="110B6F22" w14:textId="77777777" w:rsidR="009B65EF" w:rsidRPr="0059055A" w:rsidRDefault="009B65EF" w:rsidP="009B65EF">
      <w:pPr>
        <w:rPr>
          <w:szCs w:val="22"/>
        </w:rPr>
      </w:pPr>
      <w:r w:rsidRPr="0059055A">
        <w:rPr>
          <w:szCs w:val="22"/>
          <w:u w:val="single"/>
        </w:rPr>
        <w:t>Dávka</w:t>
      </w:r>
      <w:r w:rsidRPr="0059055A">
        <w:rPr>
          <w:szCs w:val="22"/>
        </w:rPr>
        <w:t>: 2 ml</w:t>
      </w:r>
    </w:p>
    <w:p w14:paraId="7EB316E2" w14:textId="77777777" w:rsidR="009B65EF" w:rsidRPr="0059055A" w:rsidRDefault="009B65EF" w:rsidP="009B65EF">
      <w:pPr>
        <w:rPr>
          <w:szCs w:val="22"/>
        </w:rPr>
      </w:pPr>
    </w:p>
    <w:p w14:paraId="3781CA66" w14:textId="77777777" w:rsidR="009B65EF" w:rsidRPr="0059055A" w:rsidRDefault="009B65EF" w:rsidP="009B65EF">
      <w:pPr>
        <w:tabs>
          <w:tab w:val="left" w:pos="2160"/>
        </w:tabs>
        <w:rPr>
          <w:szCs w:val="22"/>
        </w:rPr>
      </w:pPr>
      <w:r w:rsidRPr="0059055A">
        <w:rPr>
          <w:szCs w:val="22"/>
          <w:u w:val="single"/>
        </w:rPr>
        <w:t>Základní vakcinace:</w:t>
      </w:r>
      <w:r w:rsidRPr="0059055A">
        <w:rPr>
          <w:szCs w:val="22"/>
        </w:rPr>
        <w:t xml:space="preserve"> </w:t>
      </w:r>
    </w:p>
    <w:p w14:paraId="093E6CEC" w14:textId="55997134" w:rsidR="009B65EF" w:rsidRPr="0059055A" w:rsidRDefault="009B65EF" w:rsidP="009B65EF">
      <w:pPr>
        <w:tabs>
          <w:tab w:val="left" w:pos="2160"/>
        </w:tabs>
        <w:rPr>
          <w:szCs w:val="22"/>
        </w:rPr>
      </w:pPr>
      <w:r w:rsidRPr="0059055A">
        <w:rPr>
          <w:szCs w:val="22"/>
        </w:rPr>
        <w:t>Aplikují se celkem 3 dávky vakcíny s přestávkou 6 týdnů mezi první a druhou dávkou a s přestávkou 5 měsíců mezi druhou a třetí dávkou.</w:t>
      </w:r>
    </w:p>
    <w:p w14:paraId="5E096CDA" w14:textId="2AA1C3A9" w:rsidR="00EE0B2E" w:rsidRPr="0059055A" w:rsidRDefault="00EE0B2E" w:rsidP="009B65EF">
      <w:pPr>
        <w:tabs>
          <w:tab w:val="left" w:pos="2160"/>
        </w:tabs>
        <w:rPr>
          <w:szCs w:val="22"/>
        </w:rPr>
      </w:pPr>
    </w:p>
    <w:p w14:paraId="3AE54040" w14:textId="77777777" w:rsidR="009B65EF" w:rsidRPr="0059055A" w:rsidRDefault="009B65EF" w:rsidP="009B65EF">
      <w:pPr>
        <w:tabs>
          <w:tab w:val="left" w:pos="2160"/>
        </w:tabs>
        <w:rPr>
          <w:szCs w:val="22"/>
        </w:rPr>
      </w:pPr>
    </w:p>
    <w:p w14:paraId="07DE98AB" w14:textId="77777777" w:rsidR="009B65EF" w:rsidRPr="0059055A" w:rsidRDefault="009B65EF" w:rsidP="009B65EF">
      <w:pPr>
        <w:tabs>
          <w:tab w:val="left" w:pos="2160"/>
        </w:tabs>
        <w:rPr>
          <w:szCs w:val="22"/>
        </w:rPr>
      </w:pPr>
      <w:r w:rsidRPr="0059055A">
        <w:rPr>
          <w:szCs w:val="22"/>
          <w:u w:val="single"/>
        </w:rPr>
        <w:t>Revakcinace:</w:t>
      </w:r>
      <w:r w:rsidRPr="0059055A">
        <w:rPr>
          <w:szCs w:val="22"/>
        </w:rPr>
        <w:t xml:space="preserve"> </w:t>
      </w:r>
    </w:p>
    <w:p w14:paraId="01937B31" w14:textId="77777777" w:rsidR="009B65EF" w:rsidRPr="0059055A" w:rsidRDefault="009B65EF" w:rsidP="009B65EF">
      <w:pPr>
        <w:tabs>
          <w:tab w:val="left" w:pos="2160"/>
        </w:tabs>
        <w:rPr>
          <w:szCs w:val="22"/>
        </w:rPr>
      </w:pPr>
      <w:r w:rsidRPr="0059055A">
        <w:rPr>
          <w:szCs w:val="22"/>
        </w:rPr>
        <w:t xml:space="preserve">Po základní vakcinaci by měla následovat každoroční revakcinace 1 dávkou vakcíny s přestávkou maximálně 15 měsíců mezi jednotlivými dávkami. </w:t>
      </w:r>
    </w:p>
    <w:p w14:paraId="11E9BA94" w14:textId="39AA3780" w:rsidR="009B65EF" w:rsidRPr="0059055A" w:rsidRDefault="009B65EF" w:rsidP="009B65EF">
      <w:pPr>
        <w:rPr>
          <w:szCs w:val="22"/>
        </w:rPr>
      </w:pPr>
    </w:p>
    <w:p w14:paraId="4EA786F3" w14:textId="3D628F97" w:rsidR="009B65EF" w:rsidRPr="0059055A" w:rsidRDefault="009B65EF" w:rsidP="009B65EF">
      <w:pPr>
        <w:rPr>
          <w:szCs w:val="22"/>
        </w:rPr>
      </w:pPr>
      <w:r w:rsidRPr="0059055A">
        <w:rPr>
          <w:szCs w:val="22"/>
          <w:u w:val="single"/>
        </w:rPr>
        <w:t>Poznámka:</w:t>
      </w:r>
      <w:r w:rsidRPr="0059055A">
        <w:rPr>
          <w:szCs w:val="22"/>
        </w:rPr>
        <w:t xml:space="preserve"> Běžná praxe revakcinovat jednou ročně se může nadále dodržovat jako nejvhodnější, </w:t>
      </w:r>
      <w:r w:rsidRPr="0059055A">
        <w:rPr>
          <w:rStyle w:val="hps"/>
        </w:rPr>
        <w:t>i</w:t>
      </w:r>
      <w:r w:rsidR="00970826" w:rsidRPr="0059055A">
        <w:rPr>
          <w:rStyle w:val="hps"/>
        </w:rPr>
        <w:t> </w:t>
      </w:r>
      <w:r w:rsidRPr="0059055A">
        <w:rPr>
          <w:rStyle w:val="hps"/>
          <w:szCs w:val="22"/>
        </w:rPr>
        <w:t>když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ochrana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proti chřipce koní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byla prokázána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čelenžní zkouškou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15 měsíců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po</w:t>
      </w:r>
      <w:r w:rsidRPr="0059055A">
        <w:rPr>
          <w:szCs w:val="22"/>
        </w:rPr>
        <w:t xml:space="preserve"> </w:t>
      </w:r>
      <w:r w:rsidRPr="0059055A">
        <w:rPr>
          <w:rStyle w:val="hps"/>
          <w:szCs w:val="22"/>
        </w:rPr>
        <w:t>třetí vakcinaci.</w:t>
      </w:r>
      <w:r w:rsidR="00C912E2" w:rsidRPr="0059055A">
        <w:rPr>
          <w:szCs w:val="22"/>
        </w:rPr>
        <w:t xml:space="preserve"> D</w:t>
      </w:r>
      <w:r w:rsidRPr="0059055A">
        <w:rPr>
          <w:szCs w:val="22"/>
        </w:rPr>
        <w:t>osud nebyly provedeny žádné čelenžní studie v terénu před třetí vakcinací; místo toho byla účinnost vakcinace vyhodnocena sérologicky, přičemž toto vyhodnocení prokázalo titry protilátek ekvivalentní titrům zjištěným u koní chráněných proti čelenži 15 měsíců po třetí vakcinaci.</w:t>
      </w:r>
    </w:p>
    <w:p w14:paraId="35349BCB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E499363" w14:textId="77777777" w:rsidR="004C4408" w:rsidRPr="0059055A" w:rsidRDefault="00C17D40">
      <w:pPr>
        <w:pStyle w:val="Style1"/>
      </w:pPr>
      <w:r w:rsidRPr="0059055A">
        <w:t>3.10</w:t>
      </w:r>
      <w:r w:rsidRPr="0059055A">
        <w:tab/>
        <w:t xml:space="preserve">Příznaky předávkování (a kde je relevantní, první pomoc a antidota) </w:t>
      </w:r>
    </w:p>
    <w:p w14:paraId="27A8123C" w14:textId="77777777" w:rsidR="004C4408" w:rsidRPr="0059055A" w:rsidRDefault="004C440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31F0BC" w14:textId="77777777" w:rsidR="00F75D97" w:rsidRPr="0059055A" w:rsidRDefault="00F75D97" w:rsidP="00F75D97">
      <w:pPr>
        <w:ind w:left="567" w:hanging="567"/>
        <w:jc w:val="both"/>
        <w:rPr>
          <w:szCs w:val="22"/>
        </w:rPr>
      </w:pPr>
      <w:r w:rsidRPr="0059055A">
        <w:rPr>
          <w:szCs w:val="22"/>
        </w:rPr>
        <w:t>Aplikace dvojnásobné dávky nezpůsobuje žádné další nežádoucí účinky, než ty popsané</w:t>
      </w:r>
    </w:p>
    <w:p w14:paraId="75D05665" w14:textId="7A98B180" w:rsidR="004C4408" w:rsidRPr="0059055A" w:rsidRDefault="00F75D97" w:rsidP="00F75D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055A">
        <w:rPr>
          <w:rFonts w:ascii="Times New Roman" w:hAnsi="Times New Roman" w:cs="Times New Roman"/>
          <w:sz w:val="22"/>
          <w:szCs w:val="22"/>
          <w:lang w:eastAsia="en-US"/>
        </w:rPr>
        <w:t xml:space="preserve">v bodu </w:t>
      </w:r>
      <w:r w:rsidR="00563385" w:rsidRPr="0059055A">
        <w:rPr>
          <w:rFonts w:ascii="Times New Roman" w:hAnsi="Times New Roman" w:cs="Times New Roman"/>
          <w:sz w:val="22"/>
          <w:szCs w:val="22"/>
        </w:rPr>
        <w:t>3</w:t>
      </w:r>
      <w:r w:rsidR="00C17D40" w:rsidRPr="0059055A">
        <w:rPr>
          <w:rFonts w:ascii="Times New Roman" w:hAnsi="Times New Roman" w:cs="Times New Roman"/>
          <w:sz w:val="22"/>
          <w:szCs w:val="22"/>
        </w:rPr>
        <w:t xml:space="preserve">.6. </w:t>
      </w:r>
    </w:p>
    <w:p w14:paraId="548F4F49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8E18142" w14:textId="77777777" w:rsidR="004C4408" w:rsidRPr="0059055A" w:rsidRDefault="00C17D40">
      <w:pPr>
        <w:pStyle w:val="Style1"/>
      </w:pPr>
      <w:r w:rsidRPr="0059055A">
        <w:t>3.11</w:t>
      </w:r>
      <w:r w:rsidRPr="0059055A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1A1D367" w14:textId="1A9CAF6D" w:rsidR="009F581C" w:rsidRPr="0059055A" w:rsidRDefault="009F581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02A72B" w14:textId="49A0EA1A" w:rsidR="00C47CB3" w:rsidRPr="0059055A" w:rsidRDefault="006222E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30374885"/>
      <w:r w:rsidRPr="0059055A">
        <w:rPr>
          <w:szCs w:val="22"/>
        </w:rPr>
        <w:t xml:space="preserve">Pro tento přípravek </w:t>
      </w:r>
      <w:r w:rsidR="00DE5B4A" w:rsidRPr="0059055A">
        <w:rPr>
          <w:szCs w:val="22"/>
        </w:rPr>
        <w:t>se vyžaduje úřední uvolňování šarží státní kontrolní autoritou.</w:t>
      </w:r>
    </w:p>
    <w:bookmarkEnd w:id="4"/>
    <w:p w14:paraId="614C626D" w14:textId="77777777" w:rsidR="00970826" w:rsidRPr="0059055A" w:rsidRDefault="009708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7A2A50" w14:textId="77777777" w:rsidR="004C4408" w:rsidRPr="0059055A" w:rsidRDefault="00C17D40">
      <w:pPr>
        <w:pStyle w:val="Style1"/>
      </w:pPr>
      <w:r w:rsidRPr="0059055A">
        <w:t>3.12</w:t>
      </w:r>
      <w:r w:rsidRPr="0059055A">
        <w:tab/>
        <w:t>Ochranné lhůty</w:t>
      </w:r>
    </w:p>
    <w:p w14:paraId="40B60E69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353B9B3" w14:textId="77777777" w:rsidR="004C4408" w:rsidRPr="0059055A" w:rsidRDefault="00C17D40">
      <w:pPr>
        <w:rPr>
          <w:szCs w:val="22"/>
        </w:rPr>
      </w:pPr>
      <w:r w:rsidRPr="0059055A">
        <w:rPr>
          <w:szCs w:val="22"/>
        </w:rPr>
        <w:t xml:space="preserve">Bez ochranných lhůt. </w:t>
      </w:r>
    </w:p>
    <w:p w14:paraId="5E07BC8D" w14:textId="6796E1AD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25CAA6D" w14:textId="77777777" w:rsidR="00D436F1" w:rsidRPr="0059055A" w:rsidRDefault="00D436F1">
      <w:pPr>
        <w:tabs>
          <w:tab w:val="clear" w:pos="567"/>
        </w:tabs>
        <w:spacing w:line="240" w:lineRule="auto"/>
        <w:rPr>
          <w:szCs w:val="22"/>
        </w:rPr>
      </w:pPr>
    </w:p>
    <w:p w14:paraId="5EC57ECB" w14:textId="24ADEA6A" w:rsidR="00E8155F" w:rsidRPr="0059055A" w:rsidRDefault="00E8155F" w:rsidP="00E8155F">
      <w:pPr>
        <w:pStyle w:val="Style1"/>
      </w:pPr>
      <w:r w:rsidRPr="0059055A">
        <w:t>4.</w:t>
      </w:r>
      <w:r w:rsidRPr="0059055A">
        <w:tab/>
        <w:t>IMUNOLOGICKÉ INFORMACE</w:t>
      </w:r>
    </w:p>
    <w:p w14:paraId="4CC77B54" w14:textId="77777777" w:rsidR="00603D54" w:rsidRPr="0059055A" w:rsidRDefault="00603D54" w:rsidP="00603D54">
      <w:pPr>
        <w:pStyle w:val="Style1"/>
      </w:pPr>
    </w:p>
    <w:p w14:paraId="2A52DDAE" w14:textId="2193E1E9" w:rsidR="004C4408" w:rsidRPr="0059055A" w:rsidRDefault="00603D54" w:rsidP="0064238B">
      <w:pPr>
        <w:rPr>
          <w:b/>
          <w:szCs w:val="22"/>
        </w:rPr>
      </w:pPr>
      <w:r w:rsidRPr="0059055A">
        <w:rPr>
          <w:b/>
          <w:szCs w:val="22"/>
        </w:rPr>
        <w:t>4.1</w:t>
      </w:r>
      <w:r w:rsidRPr="0059055A">
        <w:rPr>
          <w:b/>
          <w:szCs w:val="22"/>
        </w:rPr>
        <w:tab/>
        <w:t>ATCvet kód</w:t>
      </w:r>
      <w:r w:rsidR="006F0E09" w:rsidRPr="0059055A">
        <w:rPr>
          <w:b/>
          <w:szCs w:val="22"/>
        </w:rPr>
        <w:t>:</w:t>
      </w:r>
      <w:r w:rsidR="006F0E09" w:rsidRPr="0059055A">
        <w:rPr>
          <w:szCs w:val="22"/>
        </w:rPr>
        <w:t xml:space="preserve"> </w:t>
      </w:r>
      <w:r w:rsidR="00054C22" w:rsidRPr="0059055A">
        <w:rPr>
          <w:szCs w:val="22"/>
        </w:rPr>
        <w:t>QI05AL01.</w:t>
      </w:r>
    </w:p>
    <w:p w14:paraId="68EB452A" w14:textId="77777777" w:rsidR="00D767A1" w:rsidRPr="0059055A" w:rsidRDefault="00D767A1" w:rsidP="00D767A1">
      <w:pPr>
        <w:rPr>
          <w:szCs w:val="22"/>
        </w:rPr>
      </w:pPr>
    </w:p>
    <w:p w14:paraId="24C93CD8" w14:textId="1ED4DEFA" w:rsidR="00D767A1" w:rsidRPr="0059055A" w:rsidRDefault="00D767A1" w:rsidP="00D767A1">
      <w:pPr>
        <w:rPr>
          <w:szCs w:val="22"/>
        </w:rPr>
      </w:pPr>
      <w:r w:rsidRPr="0059055A">
        <w:rPr>
          <w:i/>
          <w:szCs w:val="22"/>
        </w:rPr>
        <w:lastRenderedPageBreak/>
        <w:t>Clostridium tetani</w:t>
      </w:r>
      <w:r w:rsidRPr="0059055A">
        <w:rPr>
          <w:szCs w:val="22"/>
        </w:rPr>
        <w:t xml:space="preserve"> je striktně anaerobní G+ tyčinka, nacházející se převážně v zemi. Onemocnění je charakterizováno svalovými křečemi, které jsou vyvolány působením toxinu na centrální nervový systém. Nejběžněji se vyskytuje u koní, jimž způsobuje funkční poškození svalů hlavy a krku, potíže při žvýkání a později poškození dýchacích funkcí, které může vést až ke smrti. </w:t>
      </w:r>
    </w:p>
    <w:p w14:paraId="572FE31D" w14:textId="77777777" w:rsidR="00D767A1" w:rsidRPr="0059055A" w:rsidRDefault="00D767A1" w:rsidP="00D767A1">
      <w:pPr>
        <w:rPr>
          <w:szCs w:val="22"/>
        </w:rPr>
      </w:pPr>
    </w:p>
    <w:p w14:paraId="6328B5A9" w14:textId="6D11F910" w:rsidR="00D767A1" w:rsidRPr="0059055A" w:rsidRDefault="00D767A1" w:rsidP="00D767A1">
      <w:pPr>
        <w:rPr>
          <w:szCs w:val="22"/>
        </w:rPr>
      </w:pPr>
      <w:r w:rsidRPr="0059055A">
        <w:rPr>
          <w:szCs w:val="22"/>
        </w:rPr>
        <w:t>Equip</w:t>
      </w:r>
      <w:r w:rsidRPr="0059055A">
        <w:rPr>
          <w:szCs w:val="22"/>
          <w:vertAlign w:val="superscript"/>
        </w:rPr>
        <w:t>®</w:t>
      </w:r>
      <w:r w:rsidRPr="0059055A">
        <w:rPr>
          <w:szCs w:val="22"/>
        </w:rPr>
        <w:t xml:space="preserve"> FT stimuluje aktivní imunitu proti viru chřipky koní a tetanu. Imunogenicita chřipkové složky je posílena systémem distribuce vakcíny v organismu, nazývaným Immune Stimulating COMplexes (ISCOMS) – Imunitu stimulující komplexy; u těchto komplexů stimulujících imunitu je prokázáno vyvolání imunity jak zprostředkované </w:t>
      </w:r>
      <w:r w:rsidR="004C3C31" w:rsidRPr="0059055A">
        <w:rPr>
          <w:szCs w:val="22"/>
        </w:rPr>
        <w:t>buňkami,</w:t>
      </w:r>
      <w:r w:rsidRPr="0059055A">
        <w:rPr>
          <w:szCs w:val="22"/>
        </w:rPr>
        <w:t xml:space="preserve"> tak i humorální odezvou.</w:t>
      </w:r>
    </w:p>
    <w:p w14:paraId="2BCE0457" w14:textId="77777777" w:rsidR="00D767A1" w:rsidRPr="0059055A" w:rsidRDefault="00D767A1" w:rsidP="00D767A1">
      <w:pPr>
        <w:rPr>
          <w:szCs w:val="22"/>
        </w:rPr>
      </w:pPr>
    </w:p>
    <w:p w14:paraId="19893F52" w14:textId="77777777" w:rsidR="00D767A1" w:rsidRPr="0059055A" w:rsidRDefault="00D767A1" w:rsidP="00D767A1">
      <w:pPr>
        <w:rPr>
          <w:szCs w:val="22"/>
        </w:rPr>
      </w:pPr>
      <w:bookmarkStart w:id="5" w:name="OLE_LINK1"/>
      <w:r w:rsidRPr="0059055A">
        <w:rPr>
          <w:szCs w:val="22"/>
        </w:rPr>
        <w:t>Další informace o ochraně získané vakcinací:</w:t>
      </w:r>
    </w:p>
    <w:p w14:paraId="414EEBBB" w14:textId="540C905D" w:rsidR="00D767A1" w:rsidRPr="0059055A" w:rsidRDefault="00D767A1" w:rsidP="00D767A1">
      <w:pPr>
        <w:rPr>
          <w:bCs/>
          <w:szCs w:val="22"/>
        </w:rPr>
      </w:pPr>
      <w:r w:rsidRPr="0059055A">
        <w:rPr>
          <w:szCs w:val="22"/>
        </w:rPr>
        <w:t xml:space="preserve">Nástup imunity byl prokázán čelenží kmeny chřipky koní </w:t>
      </w:r>
      <w:r w:rsidRPr="0059055A">
        <w:rPr>
          <w:bCs/>
          <w:szCs w:val="22"/>
        </w:rPr>
        <w:t>A/Equi/Newmarket/1/93</w:t>
      </w:r>
      <w:r w:rsidRPr="0059055A">
        <w:rPr>
          <w:szCs w:val="22"/>
        </w:rPr>
        <w:t xml:space="preserve"> (</w:t>
      </w:r>
      <w:r w:rsidRPr="0059055A">
        <w:rPr>
          <w:bCs/>
          <w:szCs w:val="22"/>
        </w:rPr>
        <w:t>americká linie H3N8), A/Equi/South Africa/4/03 (sublinie Florida, subtyp 1 americké linie H3N8), A/Equi/Sydney/2888-8/07 (sublinie Florida, subtyp 1 americké linie H3N8) a A/Equi/Richmond/1/07</w:t>
      </w:r>
      <w:r w:rsidRPr="0059055A">
        <w:rPr>
          <w:szCs w:val="22"/>
        </w:rPr>
        <w:t xml:space="preserve"> (sublinie Florida, </w:t>
      </w:r>
      <w:r w:rsidR="004C3C31" w:rsidRPr="0059055A">
        <w:rPr>
          <w:szCs w:val="22"/>
        </w:rPr>
        <w:t xml:space="preserve">subtyp </w:t>
      </w:r>
      <w:r w:rsidR="004C3C31" w:rsidRPr="0059055A">
        <w:rPr>
          <w:bCs/>
          <w:szCs w:val="22"/>
        </w:rPr>
        <w:t>2</w:t>
      </w:r>
      <w:r w:rsidRPr="0059055A">
        <w:rPr>
          <w:bCs/>
          <w:szCs w:val="22"/>
        </w:rPr>
        <w:t xml:space="preserve"> americké linie H3N8).</w:t>
      </w:r>
    </w:p>
    <w:p w14:paraId="0BB62E97" w14:textId="17B7A7D5" w:rsidR="00D767A1" w:rsidRPr="0059055A" w:rsidRDefault="00D767A1" w:rsidP="00D767A1">
      <w:pPr>
        <w:rPr>
          <w:bCs/>
          <w:szCs w:val="22"/>
        </w:rPr>
      </w:pPr>
    </w:p>
    <w:p w14:paraId="67261F89" w14:textId="77777777" w:rsidR="00D767A1" w:rsidRPr="0059055A" w:rsidRDefault="00D767A1" w:rsidP="00D767A1">
      <w:pPr>
        <w:rPr>
          <w:bCs/>
          <w:szCs w:val="22"/>
        </w:rPr>
      </w:pPr>
      <w:r w:rsidRPr="0059055A">
        <w:rPr>
          <w:bCs/>
          <w:szCs w:val="22"/>
        </w:rPr>
        <w:t xml:space="preserve">Doba trvání imunity byla prokázána </w:t>
      </w:r>
      <w:r w:rsidRPr="0059055A">
        <w:rPr>
          <w:szCs w:val="22"/>
        </w:rPr>
        <w:t>čelenží kmeny chřipky koní A</w:t>
      </w:r>
      <w:r w:rsidRPr="0059055A">
        <w:rPr>
          <w:bCs/>
          <w:szCs w:val="22"/>
        </w:rPr>
        <w:t xml:space="preserve">/Equi/Sussex/89 </w:t>
      </w:r>
      <w:r w:rsidRPr="0059055A">
        <w:rPr>
          <w:szCs w:val="22"/>
        </w:rPr>
        <w:t>(euroasijská linie</w:t>
      </w:r>
      <w:r w:rsidRPr="0059055A">
        <w:rPr>
          <w:bCs/>
          <w:szCs w:val="22"/>
        </w:rPr>
        <w:t xml:space="preserve"> H3N8) and A/Equi/Newmarket/2/93</w:t>
      </w:r>
      <w:r w:rsidRPr="0059055A">
        <w:rPr>
          <w:szCs w:val="22"/>
        </w:rPr>
        <w:t xml:space="preserve"> (e</w:t>
      </w:r>
      <w:r w:rsidRPr="0059055A">
        <w:rPr>
          <w:bCs/>
          <w:szCs w:val="22"/>
        </w:rPr>
        <w:t>uroasijská linie H3N8).</w:t>
      </w:r>
    </w:p>
    <w:p w14:paraId="3C94ABF4" w14:textId="77777777" w:rsidR="00D767A1" w:rsidRPr="0059055A" w:rsidRDefault="00D767A1" w:rsidP="00D767A1">
      <w:pPr>
        <w:rPr>
          <w:bCs/>
          <w:szCs w:val="22"/>
        </w:rPr>
      </w:pPr>
    </w:p>
    <w:p w14:paraId="2E9579AC" w14:textId="77777777" w:rsidR="00D767A1" w:rsidRPr="0059055A" w:rsidRDefault="00D767A1" w:rsidP="00D767A1">
      <w:pPr>
        <w:rPr>
          <w:rFonts w:ascii="Arial" w:hAnsi="Arial" w:cs="Arial"/>
        </w:rPr>
      </w:pPr>
      <w:r w:rsidRPr="0059055A">
        <w:rPr>
          <w:bCs/>
          <w:szCs w:val="22"/>
        </w:rPr>
        <w:t>Ochrana získaná vakcinací byla dále prokázána sérologicky pro kmen chřipky koní A/Equi/Newmarket/77 (H7N7), A/Equi/Brentwood/79 (euroasijská linie H3N8), A/Equi/Borlange/91 (euroasijská linie H3N8), A/Equi/Kentucky/98 (americká linie H3N8), A/Equi/Newmarket/1/93 (americká linie H3N8), A/Equi/Newmarket/2/93 (euroasijská linie H3N8), A/Equi/South Africa/4/03 (sublinie Florida, subtyp 1 americké linie H3N8), A/Equi/Sydney/2888-8/07 (sublinie Florida, subtyp 1 americké linie H3N8) a A/Equi/Richmond/1/07 (sublinie Florida, subtyp 2 americké linie H3N8).</w:t>
      </w:r>
      <w:r w:rsidRPr="0059055A">
        <w:rPr>
          <w:rFonts w:ascii="Arial" w:hAnsi="Arial" w:cs="Arial"/>
          <w:bCs/>
        </w:rPr>
        <w:t xml:space="preserve"> </w:t>
      </w:r>
    </w:p>
    <w:bookmarkEnd w:id="5"/>
    <w:p w14:paraId="376980A5" w14:textId="77777777" w:rsidR="00D767A1" w:rsidRPr="0059055A" w:rsidRDefault="00D767A1" w:rsidP="00D767A1">
      <w:pPr>
        <w:rPr>
          <w:szCs w:val="22"/>
        </w:rPr>
      </w:pPr>
    </w:p>
    <w:p w14:paraId="65790684" w14:textId="77777777" w:rsidR="00D767A1" w:rsidRPr="0059055A" w:rsidRDefault="00D767A1" w:rsidP="00D767A1">
      <w:pPr>
        <w:rPr>
          <w:szCs w:val="22"/>
        </w:rPr>
      </w:pPr>
    </w:p>
    <w:p w14:paraId="480F13E2" w14:textId="77777777" w:rsidR="004C4408" w:rsidRPr="0059055A" w:rsidRDefault="00C17D40">
      <w:pPr>
        <w:pStyle w:val="Style1"/>
      </w:pPr>
      <w:r w:rsidRPr="0059055A">
        <w:t>5.</w:t>
      </w:r>
      <w:r w:rsidRPr="0059055A">
        <w:tab/>
        <w:t>FARMACEUTICKÉ ÚDAJE</w:t>
      </w:r>
    </w:p>
    <w:p w14:paraId="057A9D5F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BF3F7F0" w14:textId="77777777" w:rsidR="004C4408" w:rsidRPr="0059055A" w:rsidRDefault="00C17D40">
      <w:pPr>
        <w:pStyle w:val="Style1"/>
      </w:pPr>
      <w:r w:rsidRPr="0059055A">
        <w:t>5.1</w:t>
      </w:r>
      <w:r w:rsidRPr="0059055A">
        <w:tab/>
        <w:t>Hlavní inkompatibility</w:t>
      </w:r>
    </w:p>
    <w:p w14:paraId="697B9564" w14:textId="77777777" w:rsidR="004C4408" w:rsidRPr="0059055A" w:rsidRDefault="004C4408">
      <w:pPr>
        <w:rPr>
          <w:szCs w:val="22"/>
        </w:rPr>
      </w:pPr>
    </w:p>
    <w:p w14:paraId="52D15DB4" w14:textId="5D907393" w:rsidR="004C4408" w:rsidRPr="0059055A" w:rsidRDefault="00360E3A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>Nemísit s jiným veterinárním léčivým přípravkem.</w:t>
      </w:r>
    </w:p>
    <w:p w14:paraId="09AEB4AF" w14:textId="77777777" w:rsidR="00E641BF" w:rsidRPr="0059055A" w:rsidRDefault="00E641BF">
      <w:pPr>
        <w:tabs>
          <w:tab w:val="clear" w:pos="567"/>
        </w:tabs>
        <w:spacing w:line="240" w:lineRule="auto"/>
        <w:rPr>
          <w:szCs w:val="22"/>
        </w:rPr>
      </w:pPr>
    </w:p>
    <w:p w14:paraId="45049915" w14:textId="087F6FDE" w:rsidR="004C4408" w:rsidRPr="0059055A" w:rsidRDefault="00C17D40">
      <w:pPr>
        <w:pStyle w:val="Style1"/>
      </w:pPr>
      <w:r w:rsidRPr="0059055A">
        <w:t>5.2</w:t>
      </w:r>
      <w:r w:rsidRPr="0059055A">
        <w:tab/>
        <w:t>Doba použitelnosti</w:t>
      </w:r>
    </w:p>
    <w:p w14:paraId="1BF33DA4" w14:textId="77777777" w:rsidR="00E641BF" w:rsidRPr="0059055A" w:rsidRDefault="00E641BF">
      <w:pPr>
        <w:pStyle w:val="Style1"/>
      </w:pPr>
    </w:p>
    <w:p w14:paraId="0E564EBB" w14:textId="77777777" w:rsidR="00E641BF" w:rsidRPr="0059055A" w:rsidRDefault="00E641BF" w:rsidP="00E641BF">
      <w:pPr>
        <w:ind w:right="-318"/>
        <w:rPr>
          <w:szCs w:val="22"/>
        </w:rPr>
      </w:pPr>
      <w:r w:rsidRPr="0059055A">
        <w:rPr>
          <w:szCs w:val="22"/>
        </w:rPr>
        <w:t>Doba použitelnosti veterinárního léčivého přípravku v neporušeném obalu: 3 roky.</w:t>
      </w:r>
    </w:p>
    <w:p w14:paraId="1D4F8CB8" w14:textId="77777777" w:rsidR="00065DA7" w:rsidRPr="0059055A" w:rsidRDefault="00065DA7" w:rsidP="00065DA7">
      <w:pPr>
        <w:numPr>
          <w:ilvl w:val="12"/>
          <w:numId w:val="0"/>
        </w:numPr>
        <w:tabs>
          <w:tab w:val="left" w:pos="360"/>
        </w:tabs>
        <w:rPr>
          <w:szCs w:val="22"/>
        </w:rPr>
      </w:pPr>
      <w:r w:rsidRPr="0059055A">
        <w:rPr>
          <w:szCs w:val="22"/>
        </w:rPr>
        <w:t>Doba použitelnosti po prvním otevření vnitřního obalu: spotřebujte ihned.</w:t>
      </w:r>
    </w:p>
    <w:p w14:paraId="6A70425E" w14:textId="77777777" w:rsidR="004C4408" w:rsidRPr="0059055A" w:rsidRDefault="004C4408" w:rsidP="004C3C31">
      <w:pPr>
        <w:numPr>
          <w:ilvl w:val="12"/>
          <w:numId w:val="0"/>
        </w:numPr>
        <w:tabs>
          <w:tab w:val="left" w:pos="360"/>
        </w:tabs>
        <w:rPr>
          <w:szCs w:val="22"/>
        </w:rPr>
      </w:pPr>
    </w:p>
    <w:p w14:paraId="6FAEF18D" w14:textId="77777777" w:rsidR="004C4408" w:rsidRPr="0059055A" w:rsidRDefault="00C17D40">
      <w:pPr>
        <w:pStyle w:val="Style1"/>
      </w:pPr>
      <w:r w:rsidRPr="0059055A">
        <w:t>5.3</w:t>
      </w:r>
      <w:r w:rsidRPr="0059055A">
        <w:tab/>
        <w:t>Zvláštní opatření pro uchovávání</w:t>
      </w:r>
    </w:p>
    <w:p w14:paraId="2575B386" w14:textId="77777777" w:rsidR="004C4408" w:rsidRPr="0059055A" w:rsidRDefault="004C4408">
      <w:pPr>
        <w:ind w:right="-318"/>
        <w:rPr>
          <w:szCs w:val="22"/>
        </w:rPr>
      </w:pPr>
    </w:p>
    <w:p w14:paraId="564D0B84" w14:textId="540B5199" w:rsidR="00F833AA" w:rsidRPr="0059055A" w:rsidRDefault="00F833AA" w:rsidP="00F833AA">
      <w:pPr>
        <w:ind w:right="-318"/>
        <w:rPr>
          <w:szCs w:val="22"/>
        </w:rPr>
      </w:pPr>
      <w:r w:rsidRPr="0059055A">
        <w:rPr>
          <w:szCs w:val="22"/>
        </w:rPr>
        <w:t xml:space="preserve">Uchovávejte v chladničce (2 </w:t>
      </w:r>
      <w:r w:rsidRPr="0059055A">
        <w:rPr>
          <w:szCs w:val="22"/>
        </w:rPr>
        <w:sym w:font="Symbol" w:char="F0B0"/>
      </w:r>
      <w:r w:rsidRPr="0059055A">
        <w:rPr>
          <w:szCs w:val="22"/>
        </w:rPr>
        <w:t xml:space="preserve">C – 8 </w:t>
      </w:r>
      <w:r w:rsidRPr="0059055A">
        <w:rPr>
          <w:szCs w:val="22"/>
        </w:rPr>
        <w:sym w:font="Symbol" w:char="F0B0"/>
      </w:r>
      <w:r w:rsidRPr="0059055A">
        <w:rPr>
          <w:szCs w:val="22"/>
        </w:rPr>
        <w:t xml:space="preserve">C). </w:t>
      </w:r>
    </w:p>
    <w:p w14:paraId="69C2327C" w14:textId="6620CAD0" w:rsidR="003C266F" w:rsidRPr="0059055A" w:rsidRDefault="00F640D4" w:rsidP="00F640D4">
      <w:pPr>
        <w:ind w:right="-318"/>
        <w:rPr>
          <w:szCs w:val="22"/>
        </w:rPr>
      </w:pPr>
      <w:r w:rsidRPr="0059055A">
        <w:rPr>
          <w:szCs w:val="22"/>
        </w:rPr>
        <w:t>Chraňte před mrazem.</w:t>
      </w:r>
    </w:p>
    <w:p w14:paraId="376A0912" w14:textId="1099724A" w:rsidR="00F640D4" w:rsidRPr="0059055A" w:rsidRDefault="00F640D4" w:rsidP="00F640D4">
      <w:pPr>
        <w:ind w:right="-318"/>
        <w:rPr>
          <w:szCs w:val="22"/>
        </w:rPr>
      </w:pPr>
      <w:r w:rsidRPr="0059055A">
        <w:rPr>
          <w:szCs w:val="22"/>
        </w:rPr>
        <w:t>Chraňte před světlem.</w:t>
      </w:r>
    </w:p>
    <w:p w14:paraId="10BB15FC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44718EB" w14:textId="77777777" w:rsidR="004C4408" w:rsidRPr="0059055A" w:rsidRDefault="00C17D40">
      <w:pPr>
        <w:pStyle w:val="Style1"/>
      </w:pPr>
      <w:r w:rsidRPr="0059055A">
        <w:t>5.4</w:t>
      </w:r>
      <w:r w:rsidRPr="0059055A">
        <w:tab/>
        <w:t>Druh a složení vnitřního obalu</w:t>
      </w:r>
    </w:p>
    <w:p w14:paraId="6693EE4C" w14:textId="22C832BA" w:rsidR="004C4408" w:rsidRPr="0059055A" w:rsidRDefault="004C4408">
      <w:pPr>
        <w:rPr>
          <w:szCs w:val="22"/>
        </w:rPr>
      </w:pPr>
    </w:p>
    <w:p w14:paraId="5CAA594B" w14:textId="0E51F8BB" w:rsidR="00970826" w:rsidRPr="0059055A" w:rsidRDefault="00C322D3" w:rsidP="00C322D3">
      <w:pPr>
        <w:rPr>
          <w:szCs w:val="22"/>
        </w:rPr>
      </w:pPr>
      <w:r w:rsidRPr="0059055A">
        <w:rPr>
          <w:szCs w:val="22"/>
        </w:rPr>
        <w:t xml:space="preserve">Skleněná </w:t>
      </w:r>
      <w:r w:rsidR="00C92E86" w:rsidRPr="0059055A">
        <w:rPr>
          <w:szCs w:val="22"/>
        </w:rPr>
        <w:t xml:space="preserve">injekční </w:t>
      </w:r>
      <w:r w:rsidRPr="0059055A">
        <w:rPr>
          <w:szCs w:val="22"/>
        </w:rPr>
        <w:t xml:space="preserve">lahvička typu I uzavřená chlorobutylovou gumovou propichovací zátkou s hliníkovým uzávěrem. </w:t>
      </w:r>
    </w:p>
    <w:p w14:paraId="504A09E0" w14:textId="77777777" w:rsidR="00C92E86" w:rsidRPr="0059055A" w:rsidRDefault="00C92E86" w:rsidP="00C322D3">
      <w:pPr>
        <w:rPr>
          <w:szCs w:val="22"/>
        </w:rPr>
      </w:pPr>
    </w:p>
    <w:p w14:paraId="30FFA918" w14:textId="143FD660" w:rsidR="00C322D3" w:rsidRPr="0059055A" w:rsidRDefault="00C322D3" w:rsidP="00C322D3">
      <w:pPr>
        <w:rPr>
          <w:szCs w:val="22"/>
        </w:rPr>
      </w:pPr>
      <w:r w:rsidRPr="0059055A">
        <w:rPr>
          <w:szCs w:val="22"/>
        </w:rPr>
        <w:t xml:space="preserve">Velikost balení: 10 x </w:t>
      </w:r>
      <w:r w:rsidR="00C92E86" w:rsidRPr="0059055A">
        <w:rPr>
          <w:szCs w:val="22"/>
        </w:rPr>
        <w:t>1 dávka</w:t>
      </w:r>
      <w:r w:rsidRPr="0059055A">
        <w:rPr>
          <w:szCs w:val="22"/>
        </w:rPr>
        <w:t xml:space="preserve"> </w:t>
      </w:r>
      <w:r w:rsidR="00C92E86" w:rsidRPr="0059055A">
        <w:rPr>
          <w:szCs w:val="22"/>
        </w:rPr>
        <w:t>v papírové krabičce</w:t>
      </w:r>
    </w:p>
    <w:p w14:paraId="5B06C5E0" w14:textId="77777777" w:rsidR="00C322D3" w:rsidRPr="0059055A" w:rsidRDefault="00C322D3" w:rsidP="00C322D3">
      <w:pPr>
        <w:rPr>
          <w:szCs w:val="22"/>
        </w:rPr>
      </w:pPr>
      <w:r w:rsidRPr="0059055A">
        <w:rPr>
          <w:szCs w:val="22"/>
        </w:rPr>
        <w:t>Hromadné balení obsahuje 10 sterilních jednorázových 2 ml injekčních stříkaček a 10 sterilních jehel.</w:t>
      </w:r>
    </w:p>
    <w:p w14:paraId="2DE1F925" w14:textId="77777777" w:rsidR="00C322D3" w:rsidRPr="0059055A" w:rsidRDefault="00C322D3" w:rsidP="00C322D3">
      <w:pPr>
        <w:rPr>
          <w:szCs w:val="22"/>
        </w:rPr>
      </w:pPr>
    </w:p>
    <w:p w14:paraId="42BA9C5A" w14:textId="77777777" w:rsidR="00A41A54" w:rsidRPr="0059055A" w:rsidRDefault="00C322D3" w:rsidP="00C322D3">
      <w:pPr>
        <w:rPr>
          <w:szCs w:val="22"/>
        </w:rPr>
      </w:pPr>
      <w:r w:rsidRPr="0059055A">
        <w:rPr>
          <w:szCs w:val="22"/>
        </w:rPr>
        <w:t>Skleněná stříkačka typu I uzavřená bromobutylovou zátkou na pístu a krytkou.</w:t>
      </w:r>
    </w:p>
    <w:p w14:paraId="4A3A398A" w14:textId="2B8E8425" w:rsidR="00C322D3" w:rsidRPr="0059055A" w:rsidRDefault="00C322D3" w:rsidP="00C322D3">
      <w:pPr>
        <w:rPr>
          <w:szCs w:val="22"/>
        </w:rPr>
      </w:pPr>
      <w:r w:rsidRPr="0059055A">
        <w:rPr>
          <w:szCs w:val="22"/>
        </w:rPr>
        <w:t xml:space="preserve">Velikost balení: 10 x </w:t>
      </w:r>
      <w:r w:rsidR="00C92E86" w:rsidRPr="0059055A">
        <w:rPr>
          <w:szCs w:val="22"/>
        </w:rPr>
        <w:t>1 dávka v papírové krabičce</w:t>
      </w:r>
      <w:r w:rsidRPr="0059055A">
        <w:rPr>
          <w:szCs w:val="22"/>
        </w:rPr>
        <w:t xml:space="preserve"> </w:t>
      </w:r>
    </w:p>
    <w:p w14:paraId="3CEADA79" w14:textId="2FDAA64B" w:rsidR="00C322D3" w:rsidRPr="0059055A" w:rsidRDefault="00C322D3" w:rsidP="00C322D3">
      <w:pPr>
        <w:rPr>
          <w:szCs w:val="22"/>
        </w:rPr>
      </w:pPr>
      <w:r w:rsidRPr="0059055A">
        <w:rPr>
          <w:szCs w:val="22"/>
        </w:rPr>
        <w:t>Hromadné balení obsahuje 10 sterilních jednorázových předplněných stříkaček s jehlami.</w:t>
      </w:r>
    </w:p>
    <w:p w14:paraId="18CC20C3" w14:textId="77777777" w:rsidR="00C322D3" w:rsidRPr="0059055A" w:rsidRDefault="00C322D3" w:rsidP="00C322D3">
      <w:pPr>
        <w:rPr>
          <w:szCs w:val="22"/>
        </w:rPr>
      </w:pPr>
    </w:p>
    <w:p w14:paraId="6A119348" w14:textId="77777777" w:rsidR="00C322D3" w:rsidRPr="0059055A" w:rsidRDefault="00C322D3" w:rsidP="00C322D3">
      <w:pPr>
        <w:rPr>
          <w:szCs w:val="22"/>
        </w:rPr>
      </w:pPr>
      <w:r w:rsidRPr="0059055A">
        <w:rPr>
          <w:szCs w:val="22"/>
        </w:rPr>
        <w:lastRenderedPageBreak/>
        <w:t>Na trhu nemusí být všechny velikosti balení.</w:t>
      </w:r>
    </w:p>
    <w:p w14:paraId="754EC942" w14:textId="77777777" w:rsidR="00285416" w:rsidRPr="0059055A" w:rsidRDefault="00285416">
      <w:pPr>
        <w:rPr>
          <w:szCs w:val="22"/>
        </w:rPr>
      </w:pPr>
    </w:p>
    <w:p w14:paraId="593BF258" w14:textId="09867AA1" w:rsidR="005B0291" w:rsidRPr="0059055A" w:rsidRDefault="00C17D40">
      <w:pPr>
        <w:pStyle w:val="Style1"/>
      </w:pPr>
      <w:r w:rsidRPr="0059055A">
        <w:t>5.5</w:t>
      </w:r>
      <w:r w:rsidRPr="0059055A">
        <w:tab/>
        <w:t xml:space="preserve">Zvláštní opatření pro likvidaci </w:t>
      </w:r>
      <w:r w:rsidR="005B0291" w:rsidRPr="0059055A">
        <w:t>nepoužitých veterinárních léčivých přípravků nebo odpadů, které pochází z těchto přípravků</w:t>
      </w:r>
    </w:p>
    <w:p w14:paraId="2B976AFC" w14:textId="77777777" w:rsidR="00FE3BBD" w:rsidRPr="0059055A" w:rsidRDefault="00FE3BBD" w:rsidP="006220F7">
      <w:pPr>
        <w:pStyle w:val="Style1"/>
        <w:ind w:left="0" w:firstLine="0"/>
        <w:rPr>
          <w:b w:val="0"/>
          <w:bCs/>
        </w:rPr>
      </w:pPr>
    </w:p>
    <w:p w14:paraId="3C6C9F92" w14:textId="66EA27F6" w:rsidR="009022A9" w:rsidRPr="0059055A" w:rsidRDefault="009022A9" w:rsidP="009022A9">
      <w:pPr>
        <w:rPr>
          <w:szCs w:val="22"/>
        </w:rPr>
      </w:pPr>
      <w:r w:rsidRPr="0059055A">
        <w:t>Léčivé přípravky se nesmí likvidovat prostřednictvím odpadní vody či domovního odpadu.</w:t>
      </w:r>
    </w:p>
    <w:p w14:paraId="21981F2C" w14:textId="7D0D6CC3" w:rsidR="004C4408" w:rsidRPr="0059055A" w:rsidRDefault="002E77DD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</w:t>
      </w:r>
      <w:r w:rsidR="00C36DDE" w:rsidRPr="0059055A">
        <w:rPr>
          <w:szCs w:val="22"/>
        </w:rPr>
        <w:t>.</w:t>
      </w:r>
    </w:p>
    <w:p w14:paraId="3F221ECA" w14:textId="33254516" w:rsidR="00393DC5" w:rsidRPr="0059055A" w:rsidRDefault="00393DC5">
      <w:pPr>
        <w:tabs>
          <w:tab w:val="clear" w:pos="567"/>
        </w:tabs>
        <w:spacing w:line="240" w:lineRule="auto"/>
        <w:rPr>
          <w:szCs w:val="22"/>
        </w:rPr>
      </w:pPr>
    </w:p>
    <w:p w14:paraId="37D828AC" w14:textId="77777777" w:rsidR="00F0574F" w:rsidRPr="0059055A" w:rsidRDefault="00F0574F">
      <w:pPr>
        <w:tabs>
          <w:tab w:val="clear" w:pos="567"/>
        </w:tabs>
        <w:spacing w:line="240" w:lineRule="auto"/>
        <w:rPr>
          <w:szCs w:val="22"/>
        </w:rPr>
      </w:pPr>
    </w:p>
    <w:p w14:paraId="20F77B20" w14:textId="77777777" w:rsidR="004C4408" w:rsidRPr="0059055A" w:rsidRDefault="00C17D40">
      <w:pPr>
        <w:pStyle w:val="Style1"/>
      </w:pPr>
      <w:r w:rsidRPr="0059055A">
        <w:t>6.</w:t>
      </w:r>
      <w:r w:rsidRPr="0059055A">
        <w:tab/>
        <w:t>JMÉNO DRŽITELE ROZHODNUTÍ O REGISTRACI</w:t>
      </w:r>
    </w:p>
    <w:p w14:paraId="513B3658" w14:textId="77777777" w:rsidR="004C4408" w:rsidRPr="0059055A" w:rsidRDefault="004C4408">
      <w:pPr>
        <w:rPr>
          <w:szCs w:val="22"/>
        </w:rPr>
      </w:pPr>
    </w:p>
    <w:p w14:paraId="129D7AC9" w14:textId="24B2EA35" w:rsidR="004C4408" w:rsidRPr="0059055A" w:rsidRDefault="00641DB3">
      <w:pPr>
        <w:tabs>
          <w:tab w:val="clear" w:pos="567"/>
        </w:tabs>
        <w:spacing w:line="240" w:lineRule="auto"/>
        <w:rPr>
          <w:szCs w:val="22"/>
        </w:rPr>
      </w:pPr>
      <w:r w:rsidRPr="0059055A">
        <w:rPr>
          <w:szCs w:val="22"/>
          <w:lang w:eastAsia="cs-CZ"/>
        </w:rPr>
        <w:t>Zoetis Česká republika, s.r.o.</w:t>
      </w:r>
    </w:p>
    <w:p w14:paraId="3E7C39C6" w14:textId="46EDD01B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C55702E" w14:textId="77777777" w:rsidR="006A2084" w:rsidRPr="0059055A" w:rsidRDefault="006A2084">
      <w:pPr>
        <w:tabs>
          <w:tab w:val="clear" w:pos="567"/>
        </w:tabs>
        <w:spacing w:line="240" w:lineRule="auto"/>
        <w:rPr>
          <w:szCs w:val="22"/>
        </w:rPr>
      </w:pPr>
    </w:p>
    <w:p w14:paraId="3EC14915" w14:textId="77777777" w:rsidR="004C4408" w:rsidRPr="0059055A" w:rsidRDefault="00C17D40">
      <w:pPr>
        <w:pStyle w:val="Style1"/>
      </w:pPr>
      <w:r w:rsidRPr="0059055A">
        <w:t>7.</w:t>
      </w:r>
      <w:r w:rsidRPr="0059055A">
        <w:tab/>
        <w:t>REGISTRAČNÍ ČÍSLO(A)</w:t>
      </w:r>
    </w:p>
    <w:p w14:paraId="181D708A" w14:textId="0B1188E1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82C202E" w14:textId="670C120E" w:rsidR="004C4408" w:rsidRPr="0059055A" w:rsidRDefault="00D34E1D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  <w:r w:rsidRPr="0059055A">
        <w:rPr>
          <w:b w:val="0"/>
          <w:caps/>
          <w:sz w:val="22"/>
          <w:szCs w:val="22"/>
          <w:lang w:val="cs-CZ"/>
        </w:rPr>
        <w:t>97/048/04-C</w:t>
      </w:r>
    </w:p>
    <w:p w14:paraId="3FDB3C02" w14:textId="64136E83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5883771F" w14:textId="77777777" w:rsidR="00D34E1D" w:rsidRPr="0059055A" w:rsidRDefault="00D34E1D">
      <w:pPr>
        <w:tabs>
          <w:tab w:val="clear" w:pos="567"/>
        </w:tabs>
        <w:spacing w:line="240" w:lineRule="auto"/>
        <w:rPr>
          <w:szCs w:val="22"/>
        </w:rPr>
      </w:pPr>
    </w:p>
    <w:p w14:paraId="5899F483" w14:textId="77777777" w:rsidR="004C4408" w:rsidRPr="0059055A" w:rsidRDefault="00C17D40">
      <w:pPr>
        <w:pStyle w:val="Style1"/>
      </w:pPr>
      <w:r w:rsidRPr="0059055A">
        <w:t>8.</w:t>
      </w:r>
      <w:r w:rsidRPr="0059055A">
        <w:tab/>
        <w:t>DATUM PRVNÍ REGISTRACE</w:t>
      </w:r>
    </w:p>
    <w:p w14:paraId="254632FD" w14:textId="77777777" w:rsidR="004C4408" w:rsidRPr="0059055A" w:rsidRDefault="004C4408">
      <w:pPr>
        <w:ind w:right="-318"/>
        <w:rPr>
          <w:b/>
          <w:caps/>
          <w:szCs w:val="22"/>
        </w:rPr>
      </w:pPr>
    </w:p>
    <w:p w14:paraId="111ECEE2" w14:textId="67947606" w:rsidR="004C4408" w:rsidRPr="0059055A" w:rsidRDefault="00C17D40">
      <w:pPr>
        <w:pStyle w:val="SPCheader1"/>
        <w:numPr>
          <w:ilvl w:val="0"/>
          <w:numId w:val="0"/>
        </w:numPr>
        <w:spacing w:before="0" w:after="0"/>
        <w:rPr>
          <w:b w:val="0"/>
          <w:sz w:val="22"/>
          <w:szCs w:val="22"/>
          <w:lang w:val="cs-CZ"/>
        </w:rPr>
      </w:pPr>
      <w:r w:rsidRPr="0059055A">
        <w:rPr>
          <w:b w:val="0"/>
          <w:sz w:val="22"/>
          <w:szCs w:val="22"/>
          <w:lang w:val="cs-CZ"/>
        </w:rPr>
        <w:t>Datum</w:t>
      </w:r>
      <w:r w:rsidR="00EF0EF2" w:rsidRPr="0059055A">
        <w:rPr>
          <w:b w:val="0"/>
          <w:sz w:val="22"/>
          <w:szCs w:val="22"/>
          <w:lang w:val="cs-CZ"/>
        </w:rPr>
        <w:t xml:space="preserve"> </w:t>
      </w:r>
      <w:r w:rsidR="00244919" w:rsidRPr="0059055A">
        <w:rPr>
          <w:b w:val="0"/>
          <w:sz w:val="22"/>
          <w:szCs w:val="22"/>
          <w:lang w:val="cs-CZ"/>
        </w:rPr>
        <w:t xml:space="preserve">první </w:t>
      </w:r>
      <w:r w:rsidRPr="0059055A">
        <w:rPr>
          <w:b w:val="0"/>
          <w:sz w:val="22"/>
          <w:szCs w:val="22"/>
          <w:lang w:val="cs-CZ"/>
        </w:rPr>
        <w:t>registrace:</w:t>
      </w:r>
      <w:r w:rsidR="00FB2F61" w:rsidRPr="0059055A">
        <w:rPr>
          <w:b w:val="0"/>
          <w:sz w:val="22"/>
          <w:szCs w:val="22"/>
          <w:lang w:val="cs-CZ"/>
        </w:rPr>
        <w:t xml:space="preserve"> </w:t>
      </w:r>
      <w:r w:rsidR="000915D9" w:rsidRPr="0059055A">
        <w:rPr>
          <w:b w:val="0"/>
          <w:sz w:val="22"/>
          <w:szCs w:val="22"/>
          <w:lang w:val="cs-CZ"/>
        </w:rPr>
        <w:t>14. 4. 2004</w:t>
      </w:r>
    </w:p>
    <w:p w14:paraId="45918DAC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BF4CCCF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9620C6B" w14:textId="77777777" w:rsidR="004C4408" w:rsidRPr="0059055A" w:rsidRDefault="00C17D40">
      <w:pPr>
        <w:pStyle w:val="Style1"/>
      </w:pPr>
      <w:r w:rsidRPr="0059055A">
        <w:t>9.</w:t>
      </w:r>
      <w:r w:rsidRPr="0059055A">
        <w:tab/>
        <w:t>DATUM POSLEDNÍ AKTUALIZACE SOUHRNU ÚDAJŮ O PŘÍPRAVKU</w:t>
      </w:r>
    </w:p>
    <w:p w14:paraId="1502DF64" w14:textId="77777777" w:rsidR="000915D9" w:rsidRPr="0059055A" w:rsidRDefault="000915D9" w:rsidP="00966061">
      <w:pPr>
        <w:tabs>
          <w:tab w:val="clear" w:pos="567"/>
        </w:tabs>
        <w:spacing w:line="240" w:lineRule="auto"/>
      </w:pPr>
    </w:p>
    <w:p w14:paraId="28020743" w14:textId="01AC8486" w:rsidR="00CD306A" w:rsidRPr="0059055A" w:rsidRDefault="00C92E86" w:rsidP="00CD306A">
      <w:pPr>
        <w:tabs>
          <w:tab w:val="clear" w:pos="567"/>
        </w:tabs>
        <w:spacing w:line="240" w:lineRule="auto"/>
        <w:rPr>
          <w:szCs w:val="22"/>
        </w:rPr>
      </w:pPr>
      <w:r w:rsidRPr="0059055A">
        <w:t>0</w:t>
      </w:r>
      <w:r w:rsidR="00233116" w:rsidRPr="0059055A">
        <w:t>4</w:t>
      </w:r>
      <w:r w:rsidRPr="0059055A">
        <w:t>/202</w:t>
      </w:r>
      <w:r w:rsidR="00B30E05" w:rsidRPr="0059055A">
        <w:t>3</w:t>
      </w:r>
    </w:p>
    <w:p w14:paraId="6861E04D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E6EB9A" w14:textId="77777777" w:rsidR="004C4408" w:rsidRPr="0059055A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EE92F8F" w14:textId="77777777" w:rsidR="004C4408" w:rsidRPr="0059055A" w:rsidRDefault="00C17D40">
      <w:pPr>
        <w:pStyle w:val="Style1"/>
      </w:pPr>
      <w:r w:rsidRPr="0059055A">
        <w:t>10.</w:t>
      </w:r>
      <w:r w:rsidRPr="0059055A">
        <w:tab/>
        <w:t>KLASIFIKACE VETERINÁRNÍCH LÉČIVÝCH PŘÍPRAVKŮ</w:t>
      </w:r>
    </w:p>
    <w:p w14:paraId="02D27F22" w14:textId="12D761A5" w:rsidR="004C4408" w:rsidRPr="0059055A" w:rsidRDefault="004C4408">
      <w:pPr>
        <w:ind w:right="-318"/>
        <w:rPr>
          <w:szCs w:val="22"/>
        </w:rPr>
      </w:pPr>
    </w:p>
    <w:p w14:paraId="47C682C8" w14:textId="77777777" w:rsidR="00396D34" w:rsidRPr="0059055A" w:rsidRDefault="00396D34" w:rsidP="00396D34">
      <w:pPr>
        <w:ind w:right="-318"/>
      </w:pPr>
      <w:r w:rsidRPr="0059055A">
        <w:t>Veterinární léčivý přípravek je vydáván pouze na předpis.</w:t>
      </w:r>
    </w:p>
    <w:p w14:paraId="6BC9AADD" w14:textId="77777777" w:rsidR="00470A70" w:rsidRPr="0059055A" w:rsidRDefault="00470A70">
      <w:pPr>
        <w:ind w:right="-318"/>
        <w:rPr>
          <w:szCs w:val="22"/>
        </w:rPr>
      </w:pPr>
    </w:p>
    <w:p w14:paraId="68E80702" w14:textId="21BE50EB" w:rsidR="00183535" w:rsidRPr="0059055A" w:rsidRDefault="00183535">
      <w:pPr>
        <w:ind w:right="-318"/>
        <w:rPr>
          <w:b/>
          <w:szCs w:val="22"/>
        </w:rPr>
      </w:pPr>
      <w:r w:rsidRPr="0059055A">
        <w:rPr>
          <w:szCs w:val="22"/>
        </w:rPr>
        <w:t>Podrobné informace o tomto veterinárním léčivém přípravku jsou k dispozici v databázi přípravků Unie</w:t>
      </w:r>
      <w:r w:rsidR="005B0291" w:rsidRPr="0059055A">
        <w:rPr>
          <w:szCs w:val="22"/>
        </w:rPr>
        <w:t xml:space="preserve"> (</w:t>
      </w:r>
      <w:hyperlink r:id="rId8" w:history="1">
        <w:r w:rsidR="005B0291" w:rsidRPr="0059055A">
          <w:rPr>
            <w:rStyle w:val="Hypertextovodkaz"/>
            <w:szCs w:val="22"/>
          </w:rPr>
          <w:t>https://medicines.health.europa.eu/veterinary</w:t>
        </w:r>
      </w:hyperlink>
      <w:r w:rsidR="005B0291" w:rsidRPr="0059055A">
        <w:rPr>
          <w:szCs w:val="22"/>
        </w:rPr>
        <w:t>)</w:t>
      </w:r>
      <w:r w:rsidRPr="0059055A">
        <w:rPr>
          <w:szCs w:val="22"/>
        </w:rPr>
        <w:t>.</w:t>
      </w:r>
    </w:p>
    <w:p w14:paraId="22CE9632" w14:textId="77777777" w:rsidR="004C3C31" w:rsidRPr="0059055A" w:rsidRDefault="004C3C31" w:rsidP="00C92E86">
      <w:pPr>
        <w:ind w:right="-318"/>
        <w:rPr>
          <w:szCs w:val="22"/>
        </w:rPr>
      </w:pPr>
      <w:bookmarkStart w:id="6" w:name="_Hlk130303591"/>
    </w:p>
    <w:p w14:paraId="65CAD7F6" w14:textId="0F920645" w:rsidR="004C4408" w:rsidRPr="0059055A" w:rsidRDefault="00C92E86" w:rsidP="004C3C31">
      <w:pPr>
        <w:ind w:right="-318"/>
        <w:rPr>
          <w:szCs w:val="22"/>
        </w:rPr>
      </w:pPr>
      <w:r w:rsidRPr="0059055A">
        <w:rPr>
          <w:szCs w:val="22"/>
        </w:rPr>
        <w:t>Podrobné informace o tomto veterinárním léčivém přípravku naleznete také v národní databázi (</w:t>
      </w:r>
      <w:hyperlink r:id="rId9" w:history="1">
        <w:r w:rsidRPr="0059055A">
          <w:rPr>
            <w:rStyle w:val="Hypertextovodkaz"/>
            <w:szCs w:val="22"/>
          </w:rPr>
          <w:t>https://www.uskvbl.cz</w:t>
        </w:r>
      </w:hyperlink>
      <w:r w:rsidRPr="0059055A">
        <w:rPr>
          <w:szCs w:val="22"/>
        </w:rPr>
        <w:t xml:space="preserve">). </w:t>
      </w:r>
      <w:bookmarkEnd w:id="6"/>
    </w:p>
    <w:sectPr w:rsidR="004C4408" w:rsidRPr="005905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26C1B" w16cex:dateUtc="2023-01-30T15:17:00Z"/>
  <w16cex:commentExtensible w16cex:durableId="27C59283" w16cex:dateUtc="2023-03-22T13:43:00Z"/>
  <w16cex:commentExtensible w16cex:durableId="27C859CC" w16cex:dateUtc="2023-03-24T16:18:00Z"/>
  <w16cex:commentExtensible w16cex:durableId="27C85A30" w16cex:dateUtc="2023-03-24T16:19:00Z"/>
  <w16cex:commentExtensible w16cex:durableId="27C5992D" w16cex:dateUtc="2023-03-22T14:1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3086" w14:textId="77777777" w:rsidR="0024338A" w:rsidRDefault="0024338A">
      <w:pPr>
        <w:spacing w:line="240" w:lineRule="auto"/>
      </w:pPr>
      <w:r>
        <w:separator/>
      </w:r>
    </w:p>
  </w:endnote>
  <w:endnote w:type="continuationSeparator" w:id="0">
    <w:p w14:paraId="665414A8" w14:textId="77777777" w:rsidR="0024338A" w:rsidRDefault="00243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0F1B" w14:textId="77777777" w:rsidR="00283776" w:rsidRDefault="002837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283776" w:rsidRDefault="0028377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59055A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283776" w:rsidRDefault="0028377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8E07E" w14:textId="77777777" w:rsidR="0024338A" w:rsidRDefault="0024338A">
      <w:pPr>
        <w:spacing w:line="240" w:lineRule="auto"/>
      </w:pPr>
      <w:r>
        <w:separator/>
      </w:r>
    </w:p>
  </w:footnote>
  <w:footnote w:type="continuationSeparator" w:id="0">
    <w:p w14:paraId="5BEE13F0" w14:textId="77777777" w:rsidR="0024338A" w:rsidRDefault="00243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DB1F5" w14:textId="77777777" w:rsidR="00283776" w:rsidRDefault="002837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0D43" w14:textId="77777777" w:rsidR="00283776" w:rsidRDefault="002837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2EA2" w14:textId="77777777" w:rsidR="00283776" w:rsidRDefault="002837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4B42"/>
    <w:rsid w:val="00005442"/>
    <w:rsid w:val="00005D9A"/>
    <w:rsid w:val="0001401B"/>
    <w:rsid w:val="00015004"/>
    <w:rsid w:val="00015E17"/>
    <w:rsid w:val="000242E0"/>
    <w:rsid w:val="000266EA"/>
    <w:rsid w:val="000278B5"/>
    <w:rsid w:val="0003741D"/>
    <w:rsid w:val="00037A9D"/>
    <w:rsid w:val="00040B67"/>
    <w:rsid w:val="0004389D"/>
    <w:rsid w:val="00046582"/>
    <w:rsid w:val="00051167"/>
    <w:rsid w:val="00054C22"/>
    <w:rsid w:val="000634D9"/>
    <w:rsid w:val="00065DA7"/>
    <w:rsid w:val="00073859"/>
    <w:rsid w:val="0008253E"/>
    <w:rsid w:val="00083599"/>
    <w:rsid w:val="0008763F"/>
    <w:rsid w:val="00087AE2"/>
    <w:rsid w:val="00087CAC"/>
    <w:rsid w:val="000915D9"/>
    <w:rsid w:val="000B375F"/>
    <w:rsid w:val="000B4946"/>
    <w:rsid w:val="000D2849"/>
    <w:rsid w:val="000E2C1B"/>
    <w:rsid w:val="000E6AA4"/>
    <w:rsid w:val="000E7B47"/>
    <w:rsid w:val="000F31D8"/>
    <w:rsid w:val="0010310B"/>
    <w:rsid w:val="00116291"/>
    <w:rsid w:val="00116C9C"/>
    <w:rsid w:val="00123E59"/>
    <w:rsid w:val="00124630"/>
    <w:rsid w:val="001333CE"/>
    <w:rsid w:val="001412D7"/>
    <w:rsid w:val="00145AD5"/>
    <w:rsid w:val="00151A2F"/>
    <w:rsid w:val="001535C6"/>
    <w:rsid w:val="001557D2"/>
    <w:rsid w:val="00163B3F"/>
    <w:rsid w:val="001731FF"/>
    <w:rsid w:val="001804D5"/>
    <w:rsid w:val="00183535"/>
    <w:rsid w:val="00194742"/>
    <w:rsid w:val="00194C4E"/>
    <w:rsid w:val="001A7AC6"/>
    <w:rsid w:val="001B46BA"/>
    <w:rsid w:val="001B655A"/>
    <w:rsid w:val="001C43EA"/>
    <w:rsid w:val="001C666F"/>
    <w:rsid w:val="001D1FB5"/>
    <w:rsid w:val="001E0B09"/>
    <w:rsid w:val="001E1F99"/>
    <w:rsid w:val="001E701B"/>
    <w:rsid w:val="001F29BD"/>
    <w:rsid w:val="001F2A8F"/>
    <w:rsid w:val="001F4AA7"/>
    <w:rsid w:val="001F62E9"/>
    <w:rsid w:val="0020453D"/>
    <w:rsid w:val="00204C43"/>
    <w:rsid w:val="00204CA4"/>
    <w:rsid w:val="00206F57"/>
    <w:rsid w:val="00212C67"/>
    <w:rsid w:val="00217FAE"/>
    <w:rsid w:val="00220BCA"/>
    <w:rsid w:val="00224B57"/>
    <w:rsid w:val="002271F9"/>
    <w:rsid w:val="00233116"/>
    <w:rsid w:val="0023333A"/>
    <w:rsid w:val="002340F0"/>
    <w:rsid w:val="00240555"/>
    <w:rsid w:val="00240586"/>
    <w:rsid w:val="0024338A"/>
    <w:rsid w:val="00244919"/>
    <w:rsid w:val="00244D9F"/>
    <w:rsid w:val="00245595"/>
    <w:rsid w:val="00250A5E"/>
    <w:rsid w:val="0025674D"/>
    <w:rsid w:val="00265EA7"/>
    <w:rsid w:val="00272AFB"/>
    <w:rsid w:val="002745E1"/>
    <w:rsid w:val="00276C10"/>
    <w:rsid w:val="00276FBA"/>
    <w:rsid w:val="00283776"/>
    <w:rsid w:val="002843BC"/>
    <w:rsid w:val="00285416"/>
    <w:rsid w:val="00294672"/>
    <w:rsid w:val="002A41C6"/>
    <w:rsid w:val="002A569A"/>
    <w:rsid w:val="002B190F"/>
    <w:rsid w:val="002B1D39"/>
    <w:rsid w:val="002B4674"/>
    <w:rsid w:val="002C67B5"/>
    <w:rsid w:val="002C7E3A"/>
    <w:rsid w:val="002D1206"/>
    <w:rsid w:val="002D27D0"/>
    <w:rsid w:val="002D3EBE"/>
    <w:rsid w:val="002E024F"/>
    <w:rsid w:val="002E24FF"/>
    <w:rsid w:val="002E3810"/>
    <w:rsid w:val="002E72A5"/>
    <w:rsid w:val="002E77DD"/>
    <w:rsid w:val="002F0C84"/>
    <w:rsid w:val="002F1EF6"/>
    <w:rsid w:val="002F478D"/>
    <w:rsid w:val="002F7EAF"/>
    <w:rsid w:val="0030324D"/>
    <w:rsid w:val="00305D5C"/>
    <w:rsid w:val="0030610B"/>
    <w:rsid w:val="00323852"/>
    <w:rsid w:val="003331BB"/>
    <w:rsid w:val="00337EA0"/>
    <w:rsid w:val="00344E44"/>
    <w:rsid w:val="003501CA"/>
    <w:rsid w:val="00352CA7"/>
    <w:rsid w:val="00360E3A"/>
    <w:rsid w:val="00364E0E"/>
    <w:rsid w:val="00371AF2"/>
    <w:rsid w:val="00372274"/>
    <w:rsid w:val="00374456"/>
    <w:rsid w:val="00374D98"/>
    <w:rsid w:val="00376DAE"/>
    <w:rsid w:val="00381A07"/>
    <w:rsid w:val="00393B5D"/>
    <w:rsid w:val="00393DC5"/>
    <w:rsid w:val="003963F4"/>
    <w:rsid w:val="00396D34"/>
    <w:rsid w:val="00397C00"/>
    <w:rsid w:val="00397D31"/>
    <w:rsid w:val="003A0307"/>
    <w:rsid w:val="003A4DEA"/>
    <w:rsid w:val="003B142A"/>
    <w:rsid w:val="003B226F"/>
    <w:rsid w:val="003B3F49"/>
    <w:rsid w:val="003C03D3"/>
    <w:rsid w:val="003C08D6"/>
    <w:rsid w:val="003C266F"/>
    <w:rsid w:val="003C2B6C"/>
    <w:rsid w:val="003C59C0"/>
    <w:rsid w:val="003D0AE1"/>
    <w:rsid w:val="003D2348"/>
    <w:rsid w:val="003D307F"/>
    <w:rsid w:val="003E414E"/>
    <w:rsid w:val="003E6A07"/>
    <w:rsid w:val="003F3215"/>
    <w:rsid w:val="003F5A7A"/>
    <w:rsid w:val="003F5B47"/>
    <w:rsid w:val="003F6D0F"/>
    <w:rsid w:val="0040150B"/>
    <w:rsid w:val="00410090"/>
    <w:rsid w:val="004108E9"/>
    <w:rsid w:val="00416810"/>
    <w:rsid w:val="00417DF4"/>
    <w:rsid w:val="00420EF3"/>
    <w:rsid w:val="00427344"/>
    <w:rsid w:val="004279EB"/>
    <w:rsid w:val="00427F9D"/>
    <w:rsid w:val="00431543"/>
    <w:rsid w:val="00431AF2"/>
    <w:rsid w:val="00441B97"/>
    <w:rsid w:val="00441F28"/>
    <w:rsid w:val="00445925"/>
    <w:rsid w:val="00446F4D"/>
    <w:rsid w:val="004648B5"/>
    <w:rsid w:val="00470A70"/>
    <w:rsid w:val="004717F3"/>
    <w:rsid w:val="004773E2"/>
    <w:rsid w:val="00477C50"/>
    <w:rsid w:val="00491592"/>
    <w:rsid w:val="0049551E"/>
    <w:rsid w:val="00495938"/>
    <w:rsid w:val="004A618C"/>
    <w:rsid w:val="004B3ECE"/>
    <w:rsid w:val="004B6435"/>
    <w:rsid w:val="004B65A9"/>
    <w:rsid w:val="004B7189"/>
    <w:rsid w:val="004C3C31"/>
    <w:rsid w:val="004C4408"/>
    <w:rsid w:val="004C5BB4"/>
    <w:rsid w:val="004C6661"/>
    <w:rsid w:val="004E1B27"/>
    <w:rsid w:val="004F21F8"/>
    <w:rsid w:val="004F5DED"/>
    <w:rsid w:val="004F7ADA"/>
    <w:rsid w:val="0050216C"/>
    <w:rsid w:val="00502AFC"/>
    <w:rsid w:val="005078A4"/>
    <w:rsid w:val="005147BE"/>
    <w:rsid w:val="00515694"/>
    <w:rsid w:val="005202CB"/>
    <w:rsid w:val="00526807"/>
    <w:rsid w:val="005329A1"/>
    <w:rsid w:val="00535B6E"/>
    <w:rsid w:val="005405AE"/>
    <w:rsid w:val="00550F0A"/>
    <w:rsid w:val="005510B2"/>
    <w:rsid w:val="005523D5"/>
    <w:rsid w:val="00552C36"/>
    <w:rsid w:val="00553E99"/>
    <w:rsid w:val="00554375"/>
    <w:rsid w:val="0055643A"/>
    <w:rsid w:val="00557C5A"/>
    <w:rsid w:val="00563385"/>
    <w:rsid w:val="005653C3"/>
    <w:rsid w:val="0056644E"/>
    <w:rsid w:val="00566C34"/>
    <w:rsid w:val="00570514"/>
    <w:rsid w:val="00575612"/>
    <w:rsid w:val="00575B82"/>
    <w:rsid w:val="00576FCB"/>
    <w:rsid w:val="005827BF"/>
    <w:rsid w:val="00585453"/>
    <w:rsid w:val="0059055A"/>
    <w:rsid w:val="0059152A"/>
    <w:rsid w:val="00597BB1"/>
    <w:rsid w:val="005A1882"/>
    <w:rsid w:val="005A4EB4"/>
    <w:rsid w:val="005A5460"/>
    <w:rsid w:val="005A7C48"/>
    <w:rsid w:val="005B0291"/>
    <w:rsid w:val="005B6D16"/>
    <w:rsid w:val="005B7C80"/>
    <w:rsid w:val="005C34D7"/>
    <w:rsid w:val="005E342F"/>
    <w:rsid w:val="005E7C13"/>
    <w:rsid w:val="005E7C8A"/>
    <w:rsid w:val="005F2B11"/>
    <w:rsid w:val="0060313A"/>
    <w:rsid w:val="00603D54"/>
    <w:rsid w:val="00603DEA"/>
    <w:rsid w:val="00610974"/>
    <w:rsid w:val="006220F7"/>
    <w:rsid w:val="0062213C"/>
    <w:rsid w:val="006222EE"/>
    <w:rsid w:val="00624483"/>
    <w:rsid w:val="00626AAA"/>
    <w:rsid w:val="006301AC"/>
    <w:rsid w:val="00631B6F"/>
    <w:rsid w:val="006354AE"/>
    <w:rsid w:val="006375C3"/>
    <w:rsid w:val="00641DB3"/>
    <w:rsid w:val="0064238B"/>
    <w:rsid w:val="006441D0"/>
    <w:rsid w:val="00644C0C"/>
    <w:rsid w:val="00644F53"/>
    <w:rsid w:val="0065294A"/>
    <w:rsid w:val="00653967"/>
    <w:rsid w:val="006544F8"/>
    <w:rsid w:val="00660B86"/>
    <w:rsid w:val="00664391"/>
    <w:rsid w:val="006672D5"/>
    <w:rsid w:val="0067071D"/>
    <w:rsid w:val="00671968"/>
    <w:rsid w:val="0067268D"/>
    <w:rsid w:val="00672BEC"/>
    <w:rsid w:val="00676E49"/>
    <w:rsid w:val="006829DB"/>
    <w:rsid w:val="00682C80"/>
    <w:rsid w:val="00683B52"/>
    <w:rsid w:val="00683BB7"/>
    <w:rsid w:val="00695544"/>
    <w:rsid w:val="0069624B"/>
    <w:rsid w:val="00696392"/>
    <w:rsid w:val="006A2084"/>
    <w:rsid w:val="006A4F62"/>
    <w:rsid w:val="006A6744"/>
    <w:rsid w:val="006B023B"/>
    <w:rsid w:val="006B48CA"/>
    <w:rsid w:val="006D6907"/>
    <w:rsid w:val="006E088B"/>
    <w:rsid w:val="006E7556"/>
    <w:rsid w:val="006F0E09"/>
    <w:rsid w:val="006F34EC"/>
    <w:rsid w:val="006F6A16"/>
    <w:rsid w:val="007009F3"/>
    <w:rsid w:val="00701110"/>
    <w:rsid w:val="00704C2A"/>
    <w:rsid w:val="007058EF"/>
    <w:rsid w:val="0070683D"/>
    <w:rsid w:val="00706D92"/>
    <w:rsid w:val="007113FD"/>
    <w:rsid w:val="00716A99"/>
    <w:rsid w:val="0072520A"/>
    <w:rsid w:val="00725738"/>
    <w:rsid w:val="00727651"/>
    <w:rsid w:val="00731B32"/>
    <w:rsid w:val="00732A2E"/>
    <w:rsid w:val="00732ACF"/>
    <w:rsid w:val="00746FAE"/>
    <w:rsid w:val="0075430F"/>
    <w:rsid w:val="00761392"/>
    <w:rsid w:val="0076526D"/>
    <w:rsid w:val="00770B81"/>
    <w:rsid w:val="00772426"/>
    <w:rsid w:val="007768CA"/>
    <w:rsid w:val="007770F6"/>
    <w:rsid w:val="00777E4E"/>
    <w:rsid w:val="00781D5D"/>
    <w:rsid w:val="007821DB"/>
    <w:rsid w:val="00782745"/>
    <w:rsid w:val="007827A8"/>
    <w:rsid w:val="00791A68"/>
    <w:rsid w:val="0079691D"/>
    <w:rsid w:val="007A0D1C"/>
    <w:rsid w:val="007A2990"/>
    <w:rsid w:val="007A3796"/>
    <w:rsid w:val="007A5A43"/>
    <w:rsid w:val="007A715B"/>
    <w:rsid w:val="007B537A"/>
    <w:rsid w:val="007B77C0"/>
    <w:rsid w:val="007B7C45"/>
    <w:rsid w:val="007B7DAF"/>
    <w:rsid w:val="007D563A"/>
    <w:rsid w:val="007F6839"/>
    <w:rsid w:val="007F7A76"/>
    <w:rsid w:val="008002A9"/>
    <w:rsid w:val="00803D8B"/>
    <w:rsid w:val="00813818"/>
    <w:rsid w:val="0082048E"/>
    <w:rsid w:val="0082126E"/>
    <w:rsid w:val="008219DE"/>
    <w:rsid w:val="00825E63"/>
    <w:rsid w:val="00834012"/>
    <w:rsid w:val="008424A1"/>
    <w:rsid w:val="00852179"/>
    <w:rsid w:val="008616AE"/>
    <w:rsid w:val="008622DB"/>
    <w:rsid w:val="00863BD9"/>
    <w:rsid w:val="00866469"/>
    <w:rsid w:val="00871421"/>
    <w:rsid w:val="00881E0A"/>
    <w:rsid w:val="00892710"/>
    <w:rsid w:val="008930F1"/>
    <w:rsid w:val="00893E51"/>
    <w:rsid w:val="008A0BED"/>
    <w:rsid w:val="008A287E"/>
    <w:rsid w:val="008A3E15"/>
    <w:rsid w:val="008A5D38"/>
    <w:rsid w:val="008A6026"/>
    <w:rsid w:val="008A6387"/>
    <w:rsid w:val="008A7561"/>
    <w:rsid w:val="008B57A7"/>
    <w:rsid w:val="008C01F2"/>
    <w:rsid w:val="008C0A68"/>
    <w:rsid w:val="008C5AD1"/>
    <w:rsid w:val="008D1BF7"/>
    <w:rsid w:val="008D2682"/>
    <w:rsid w:val="008D42D5"/>
    <w:rsid w:val="008D488C"/>
    <w:rsid w:val="008D6B62"/>
    <w:rsid w:val="008E0770"/>
    <w:rsid w:val="008F030A"/>
    <w:rsid w:val="008F0FDC"/>
    <w:rsid w:val="008F17A2"/>
    <w:rsid w:val="008F2637"/>
    <w:rsid w:val="008F4544"/>
    <w:rsid w:val="008F5A2F"/>
    <w:rsid w:val="009008F3"/>
    <w:rsid w:val="009022A9"/>
    <w:rsid w:val="00903154"/>
    <w:rsid w:val="009072D0"/>
    <w:rsid w:val="00912D2B"/>
    <w:rsid w:val="009260D2"/>
    <w:rsid w:val="0093056D"/>
    <w:rsid w:val="00931402"/>
    <w:rsid w:val="00932938"/>
    <w:rsid w:val="00934973"/>
    <w:rsid w:val="00935757"/>
    <w:rsid w:val="00945C4C"/>
    <w:rsid w:val="00951247"/>
    <w:rsid w:val="009512C3"/>
    <w:rsid w:val="00951AB5"/>
    <w:rsid w:val="00954C90"/>
    <w:rsid w:val="00955596"/>
    <w:rsid w:val="00956F00"/>
    <w:rsid w:val="009617F0"/>
    <w:rsid w:val="00966061"/>
    <w:rsid w:val="00970826"/>
    <w:rsid w:val="00973BB4"/>
    <w:rsid w:val="0097519A"/>
    <w:rsid w:val="00975AA5"/>
    <w:rsid w:val="0097664E"/>
    <w:rsid w:val="00977528"/>
    <w:rsid w:val="009821EF"/>
    <w:rsid w:val="009876AA"/>
    <w:rsid w:val="00991C7D"/>
    <w:rsid w:val="00991D55"/>
    <w:rsid w:val="00992AED"/>
    <w:rsid w:val="0099358E"/>
    <w:rsid w:val="0099547E"/>
    <w:rsid w:val="009A11E4"/>
    <w:rsid w:val="009A1D10"/>
    <w:rsid w:val="009A6380"/>
    <w:rsid w:val="009B65EF"/>
    <w:rsid w:val="009B6DE4"/>
    <w:rsid w:val="009C4978"/>
    <w:rsid w:val="009D1266"/>
    <w:rsid w:val="009D70CC"/>
    <w:rsid w:val="009E3066"/>
    <w:rsid w:val="009E7170"/>
    <w:rsid w:val="009F43FD"/>
    <w:rsid w:val="009F581C"/>
    <w:rsid w:val="00A01D5A"/>
    <w:rsid w:val="00A0416C"/>
    <w:rsid w:val="00A05FF2"/>
    <w:rsid w:val="00A07CD1"/>
    <w:rsid w:val="00A136E1"/>
    <w:rsid w:val="00A174F2"/>
    <w:rsid w:val="00A2081D"/>
    <w:rsid w:val="00A2172E"/>
    <w:rsid w:val="00A2384A"/>
    <w:rsid w:val="00A25364"/>
    <w:rsid w:val="00A27468"/>
    <w:rsid w:val="00A278B2"/>
    <w:rsid w:val="00A307E2"/>
    <w:rsid w:val="00A30ED1"/>
    <w:rsid w:val="00A33C37"/>
    <w:rsid w:val="00A41A54"/>
    <w:rsid w:val="00A4413E"/>
    <w:rsid w:val="00A44AF1"/>
    <w:rsid w:val="00A45624"/>
    <w:rsid w:val="00A458F6"/>
    <w:rsid w:val="00A517A7"/>
    <w:rsid w:val="00A53C62"/>
    <w:rsid w:val="00A640C8"/>
    <w:rsid w:val="00A73936"/>
    <w:rsid w:val="00A80A6D"/>
    <w:rsid w:val="00A92396"/>
    <w:rsid w:val="00A937EB"/>
    <w:rsid w:val="00A93E48"/>
    <w:rsid w:val="00A94DA0"/>
    <w:rsid w:val="00AA2AFE"/>
    <w:rsid w:val="00AA6AA0"/>
    <w:rsid w:val="00AB1279"/>
    <w:rsid w:val="00AB7CD5"/>
    <w:rsid w:val="00AC6C7A"/>
    <w:rsid w:val="00AD0CD4"/>
    <w:rsid w:val="00AD4032"/>
    <w:rsid w:val="00AD4649"/>
    <w:rsid w:val="00AD5A8B"/>
    <w:rsid w:val="00AD7756"/>
    <w:rsid w:val="00AE0A76"/>
    <w:rsid w:val="00AF1396"/>
    <w:rsid w:val="00AF45F9"/>
    <w:rsid w:val="00AF5B5B"/>
    <w:rsid w:val="00B001A5"/>
    <w:rsid w:val="00B03803"/>
    <w:rsid w:val="00B03944"/>
    <w:rsid w:val="00B0443B"/>
    <w:rsid w:val="00B10AA5"/>
    <w:rsid w:val="00B12673"/>
    <w:rsid w:val="00B1435B"/>
    <w:rsid w:val="00B22D79"/>
    <w:rsid w:val="00B24B11"/>
    <w:rsid w:val="00B30E05"/>
    <w:rsid w:val="00B42C1B"/>
    <w:rsid w:val="00B461C7"/>
    <w:rsid w:val="00B5611E"/>
    <w:rsid w:val="00B566DE"/>
    <w:rsid w:val="00B57D8B"/>
    <w:rsid w:val="00B605E8"/>
    <w:rsid w:val="00B62151"/>
    <w:rsid w:val="00B737E8"/>
    <w:rsid w:val="00B75C34"/>
    <w:rsid w:val="00B77070"/>
    <w:rsid w:val="00B87338"/>
    <w:rsid w:val="00B8741D"/>
    <w:rsid w:val="00B93E00"/>
    <w:rsid w:val="00B97351"/>
    <w:rsid w:val="00BA4541"/>
    <w:rsid w:val="00BB35DB"/>
    <w:rsid w:val="00BB76A9"/>
    <w:rsid w:val="00BC16BE"/>
    <w:rsid w:val="00BC38CE"/>
    <w:rsid w:val="00BC5053"/>
    <w:rsid w:val="00BE0417"/>
    <w:rsid w:val="00BE697C"/>
    <w:rsid w:val="00BF001C"/>
    <w:rsid w:val="00BF3285"/>
    <w:rsid w:val="00BF7C12"/>
    <w:rsid w:val="00C0512A"/>
    <w:rsid w:val="00C06953"/>
    <w:rsid w:val="00C0759E"/>
    <w:rsid w:val="00C131D2"/>
    <w:rsid w:val="00C16220"/>
    <w:rsid w:val="00C17D40"/>
    <w:rsid w:val="00C25CAC"/>
    <w:rsid w:val="00C30B9B"/>
    <w:rsid w:val="00C322D3"/>
    <w:rsid w:val="00C3555E"/>
    <w:rsid w:val="00C35E63"/>
    <w:rsid w:val="00C36DDE"/>
    <w:rsid w:val="00C410CF"/>
    <w:rsid w:val="00C44587"/>
    <w:rsid w:val="00C47CB3"/>
    <w:rsid w:val="00C51262"/>
    <w:rsid w:val="00C63AF3"/>
    <w:rsid w:val="00C63C78"/>
    <w:rsid w:val="00C70CF9"/>
    <w:rsid w:val="00C72591"/>
    <w:rsid w:val="00C80A58"/>
    <w:rsid w:val="00C818D3"/>
    <w:rsid w:val="00C904EF"/>
    <w:rsid w:val="00C912E2"/>
    <w:rsid w:val="00C92E86"/>
    <w:rsid w:val="00CA1D12"/>
    <w:rsid w:val="00CA3611"/>
    <w:rsid w:val="00CB0B9F"/>
    <w:rsid w:val="00CC1A76"/>
    <w:rsid w:val="00CC44A9"/>
    <w:rsid w:val="00CC49B3"/>
    <w:rsid w:val="00CD105E"/>
    <w:rsid w:val="00CD306A"/>
    <w:rsid w:val="00CD3D8E"/>
    <w:rsid w:val="00CE013A"/>
    <w:rsid w:val="00CE0E46"/>
    <w:rsid w:val="00CE62FE"/>
    <w:rsid w:val="00CE634A"/>
    <w:rsid w:val="00CE7A9D"/>
    <w:rsid w:val="00CF6771"/>
    <w:rsid w:val="00D0311E"/>
    <w:rsid w:val="00D06E3A"/>
    <w:rsid w:val="00D07B9E"/>
    <w:rsid w:val="00D11816"/>
    <w:rsid w:val="00D126DF"/>
    <w:rsid w:val="00D238C9"/>
    <w:rsid w:val="00D23F8B"/>
    <w:rsid w:val="00D34AE0"/>
    <w:rsid w:val="00D34E1D"/>
    <w:rsid w:val="00D358F0"/>
    <w:rsid w:val="00D4074F"/>
    <w:rsid w:val="00D42BDB"/>
    <w:rsid w:val="00D436F1"/>
    <w:rsid w:val="00D43FF8"/>
    <w:rsid w:val="00D46513"/>
    <w:rsid w:val="00D53743"/>
    <w:rsid w:val="00D54ABE"/>
    <w:rsid w:val="00D70C2E"/>
    <w:rsid w:val="00D767A1"/>
    <w:rsid w:val="00D87539"/>
    <w:rsid w:val="00D918DD"/>
    <w:rsid w:val="00D91E3D"/>
    <w:rsid w:val="00D91F85"/>
    <w:rsid w:val="00D92BE0"/>
    <w:rsid w:val="00D95257"/>
    <w:rsid w:val="00DA02D8"/>
    <w:rsid w:val="00DA08AA"/>
    <w:rsid w:val="00DA3D45"/>
    <w:rsid w:val="00DA46A6"/>
    <w:rsid w:val="00DB07FD"/>
    <w:rsid w:val="00DB292A"/>
    <w:rsid w:val="00DB5E60"/>
    <w:rsid w:val="00DC5DF0"/>
    <w:rsid w:val="00DC6036"/>
    <w:rsid w:val="00DC61B4"/>
    <w:rsid w:val="00DE186D"/>
    <w:rsid w:val="00DE1B2E"/>
    <w:rsid w:val="00DE1C89"/>
    <w:rsid w:val="00DE37D9"/>
    <w:rsid w:val="00DE5B4A"/>
    <w:rsid w:val="00DF26D2"/>
    <w:rsid w:val="00DF4DE8"/>
    <w:rsid w:val="00E0325D"/>
    <w:rsid w:val="00E0441B"/>
    <w:rsid w:val="00E105EA"/>
    <w:rsid w:val="00E14856"/>
    <w:rsid w:val="00E16100"/>
    <w:rsid w:val="00E22EBB"/>
    <w:rsid w:val="00E23B6B"/>
    <w:rsid w:val="00E32FC7"/>
    <w:rsid w:val="00E33C5F"/>
    <w:rsid w:val="00E350B7"/>
    <w:rsid w:val="00E3603D"/>
    <w:rsid w:val="00E4234E"/>
    <w:rsid w:val="00E5127F"/>
    <w:rsid w:val="00E565C0"/>
    <w:rsid w:val="00E61418"/>
    <w:rsid w:val="00E61F52"/>
    <w:rsid w:val="00E641BF"/>
    <w:rsid w:val="00E65320"/>
    <w:rsid w:val="00E71443"/>
    <w:rsid w:val="00E7562C"/>
    <w:rsid w:val="00E76DFA"/>
    <w:rsid w:val="00E7781D"/>
    <w:rsid w:val="00E8155F"/>
    <w:rsid w:val="00E91B89"/>
    <w:rsid w:val="00E95AF5"/>
    <w:rsid w:val="00E96628"/>
    <w:rsid w:val="00E97211"/>
    <w:rsid w:val="00EA1BC9"/>
    <w:rsid w:val="00EB6720"/>
    <w:rsid w:val="00EB6A11"/>
    <w:rsid w:val="00EC1650"/>
    <w:rsid w:val="00EC65DD"/>
    <w:rsid w:val="00ED14AC"/>
    <w:rsid w:val="00ED46D7"/>
    <w:rsid w:val="00ED7D71"/>
    <w:rsid w:val="00EE0B2E"/>
    <w:rsid w:val="00EE3062"/>
    <w:rsid w:val="00EE6411"/>
    <w:rsid w:val="00EE74CE"/>
    <w:rsid w:val="00EF0EF2"/>
    <w:rsid w:val="00EF24B8"/>
    <w:rsid w:val="00F042BA"/>
    <w:rsid w:val="00F0574F"/>
    <w:rsid w:val="00F11E03"/>
    <w:rsid w:val="00F1286B"/>
    <w:rsid w:val="00F21B5D"/>
    <w:rsid w:val="00F23030"/>
    <w:rsid w:val="00F32391"/>
    <w:rsid w:val="00F367B6"/>
    <w:rsid w:val="00F41384"/>
    <w:rsid w:val="00F4474B"/>
    <w:rsid w:val="00F46666"/>
    <w:rsid w:val="00F60B14"/>
    <w:rsid w:val="00F6381D"/>
    <w:rsid w:val="00F640D4"/>
    <w:rsid w:val="00F645DF"/>
    <w:rsid w:val="00F65DB2"/>
    <w:rsid w:val="00F74E25"/>
    <w:rsid w:val="00F75D97"/>
    <w:rsid w:val="00F8053A"/>
    <w:rsid w:val="00F833AA"/>
    <w:rsid w:val="00F8568F"/>
    <w:rsid w:val="00F93FAB"/>
    <w:rsid w:val="00FB2F61"/>
    <w:rsid w:val="00FB4990"/>
    <w:rsid w:val="00FB54E5"/>
    <w:rsid w:val="00FD2338"/>
    <w:rsid w:val="00FD3A48"/>
    <w:rsid w:val="00FE28D1"/>
    <w:rsid w:val="00FE2C9C"/>
    <w:rsid w:val="00FE3BBD"/>
    <w:rsid w:val="00FF5E5D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84623-94AA-4435-A858-1C055EB5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1468</Words>
  <Characters>8667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6</cp:revision>
  <cp:lastPrinted>2008-06-03T12:50:00Z</cp:lastPrinted>
  <dcterms:created xsi:type="dcterms:W3CDTF">2023-04-04T09:15:00Z</dcterms:created>
  <dcterms:modified xsi:type="dcterms:W3CDTF">2023-04-26T18:07:00Z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