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DB03C" w14:textId="2EFF0AD1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1.</w:t>
      </w:r>
      <w:r w:rsidRPr="00824023">
        <w:rPr>
          <w:b/>
          <w:sz w:val="22"/>
          <w:szCs w:val="22"/>
          <w:lang w:val="cs-CZ"/>
        </w:rPr>
        <w:tab/>
        <w:t>NÁZEV VETERINÁRNÍHO LÉČIVÉHO PŘÍPRAVKU</w:t>
      </w:r>
    </w:p>
    <w:p w14:paraId="5ACE991B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6C60C4C0" w14:textId="16AFC8DA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GALLIMUNE 407 ND+IB+EDS+ART </w:t>
      </w:r>
      <w:r w:rsidR="00800AF2" w:rsidRPr="00824023">
        <w:rPr>
          <w:sz w:val="22"/>
          <w:szCs w:val="22"/>
          <w:lang w:val="cs-CZ"/>
        </w:rPr>
        <w:t>i</w:t>
      </w:r>
      <w:r w:rsidRPr="00824023">
        <w:rPr>
          <w:sz w:val="22"/>
          <w:szCs w:val="22"/>
          <w:lang w:val="cs-CZ"/>
        </w:rPr>
        <w:t>njekční emulze</w:t>
      </w:r>
    </w:p>
    <w:p w14:paraId="5768EBDD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6F2D6FB3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3D230DE1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2.</w:t>
      </w:r>
      <w:r w:rsidRPr="00824023">
        <w:rPr>
          <w:b/>
          <w:sz w:val="22"/>
          <w:szCs w:val="22"/>
          <w:lang w:val="cs-CZ"/>
        </w:rPr>
        <w:tab/>
        <w:t>KVALITATIVNÍ A KVANTITATIVNÍ SLOŽENÍ</w:t>
      </w:r>
    </w:p>
    <w:p w14:paraId="04D8414A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774D7179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Každá dávka 0,3 ml obsahuje:</w:t>
      </w:r>
    </w:p>
    <w:p w14:paraId="710714A2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37AF776C" w14:textId="77777777" w:rsidR="006B45DF" w:rsidRPr="00824023" w:rsidRDefault="006B45DF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Léčivé látky:</w:t>
      </w:r>
    </w:p>
    <w:p w14:paraId="51B69162" w14:textId="77777777" w:rsidR="006B45DF" w:rsidRPr="00824023" w:rsidRDefault="006B45DF" w:rsidP="001D7EBD">
      <w:pPr>
        <w:tabs>
          <w:tab w:val="left" w:pos="3686"/>
          <w:tab w:val="right" w:leader="dot" w:pos="10206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Paramyxovirus pseudopestis avium inactivatum, kmen Ulster 2C, min.</w:t>
      </w:r>
      <w:r w:rsidRPr="00824023">
        <w:rPr>
          <w:sz w:val="22"/>
          <w:szCs w:val="22"/>
          <w:lang w:val="cs-CZ"/>
        </w:rPr>
        <w:tab/>
        <w:t xml:space="preserve"> 50 PD</w:t>
      </w:r>
      <w:r w:rsidRPr="00824023">
        <w:rPr>
          <w:sz w:val="22"/>
          <w:szCs w:val="22"/>
          <w:vertAlign w:val="subscript"/>
          <w:lang w:val="cs-CZ"/>
        </w:rPr>
        <w:t>50</w:t>
      </w:r>
      <w:r w:rsidRPr="00824023">
        <w:rPr>
          <w:sz w:val="22"/>
          <w:szCs w:val="22"/>
          <w:vertAlign w:val="superscript"/>
          <w:lang w:val="cs-CZ"/>
        </w:rPr>
        <w:t>1</w:t>
      </w:r>
    </w:p>
    <w:p w14:paraId="63F437A3" w14:textId="70B90A7D" w:rsidR="006B45DF" w:rsidRPr="00824023" w:rsidRDefault="006B45DF" w:rsidP="001D7EBD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Virus bronchitis infectiosae avium inactivatum, kmen Mass41, min</w:t>
      </w:r>
      <w:r w:rsidRPr="00824023">
        <w:rPr>
          <w:sz w:val="22"/>
          <w:szCs w:val="22"/>
          <w:lang w:val="cs-CZ"/>
        </w:rPr>
        <w:tab/>
        <w:t>18 HI.U</w:t>
      </w:r>
    </w:p>
    <w:p w14:paraId="2B075CA8" w14:textId="33349531" w:rsidR="006B45DF" w:rsidRPr="00824023" w:rsidRDefault="006B45DF" w:rsidP="001D7EBD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Adenovirus </w:t>
      </w:r>
      <w:r w:rsidR="00DE0E27" w:rsidRPr="00824023">
        <w:rPr>
          <w:sz w:val="22"/>
          <w:szCs w:val="22"/>
          <w:lang w:val="cs-CZ"/>
        </w:rPr>
        <w:t>(</w:t>
      </w:r>
      <w:r w:rsidRPr="00824023">
        <w:rPr>
          <w:sz w:val="22"/>
          <w:szCs w:val="22"/>
          <w:lang w:val="cs-CZ"/>
        </w:rPr>
        <w:t>EDS 76</w:t>
      </w:r>
      <w:r w:rsidR="00DE0E27" w:rsidRPr="00824023">
        <w:rPr>
          <w:sz w:val="22"/>
          <w:szCs w:val="22"/>
          <w:lang w:val="cs-CZ"/>
        </w:rPr>
        <w:t>)</w:t>
      </w:r>
      <w:r w:rsidRPr="00824023">
        <w:rPr>
          <w:sz w:val="22"/>
          <w:szCs w:val="22"/>
          <w:lang w:val="cs-CZ"/>
        </w:rPr>
        <w:t xml:space="preserve"> inactivatum, kmen V127, min</w:t>
      </w:r>
      <w:r w:rsidRPr="00824023">
        <w:rPr>
          <w:sz w:val="22"/>
          <w:szCs w:val="22"/>
          <w:lang w:val="cs-CZ"/>
        </w:rPr>
        <w:tab/>
        <w:t>180 HI.U</w:t>
      </w:r>
    </w:p>
    <w:p w14:paraId="547A56D9" w14:textId="166F8E4B" w:rsidR="006B45DF" w:rsidRPr="00824023" w:rsidRDefault="006B45DF" w:rsidP="001D7EBD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Virus </w:t>
      </w:r>
      <w:r w:rsidR="009C25DE" w:rsidRPr="00824023">
        <w:rPr>
          <w:sz w:val="22"/>
          <w:szCs w:val="22"/>
          <w:lang w:val="cs-CZ"/>
        </w:rPr>
        <w:t>rhinotracheiti</w:t>
      </w:r>
      <w:r w:rsidR="007057F9" w:rsidRPr="00824023">
        <w:rPr>
          <w:sz w:val="22"/>
          <w:szCs w:val="22"/>
          <w:lang w:val="cs-CZ"/>
        </w:rPr>
        <w:t xml:space="preserve">dis </w:t>
      </w:r>
      <w:r w:rsidR="00951B64" w:rsidRPr="00824023">
        <w:rPr>
          <w:sz w:val="22"/>
          <w:szCs w:val="22"/>
          <w:lang w:val="cs-CZ"/>
        </w:rPr>
        <w:t>infectiosae meleagridis</w:t>
      </w:r>
      <w:r w:rsidRPr="00824023">
        <w:rPr>
          <w:sz w:val="22"/>
          <w:szCs w:val="22"/>
          <w:lang w:val="cs-CZ"/>
        </w:rPr>
        <w:t xml:space="preserve"> inactivatum</w:t>
      </w:r>
      <w:r w:rsidR="009C25DE" w:rsidRPr="00824023">
        <w:rPr>
          <w:sz w:val="22"/>
          <w:szCs w:val="22"/>
          <w:vertAlign w:val="superscript"/>
          <w:lang w:val="cs-CZ"/>
        </w:rPr>
        <w:t>2</w:t>
      </w:r>
      <w:r w:rsidRPr="00824023">
        <w:rPr>
          <w:sz w:val="22"/>
          <w:szCs w:val="22"/>
          <w:lang w:val="cs-CZ"/>
        </w:rPr>
        <w:t>, kmen VCO3, min</w:t>
      </w:r>
      <w:r w:rsidRPr="00824023">
        <w:rPr>
          <w:sz w:val="22"/>
          <w:szCs w:val="22"/>
          <w:lang w:val="cs-CZ"/>
        </w:rPr>
        <w:tab/>
        <w:t>0,76 ODD</w:t>
      </w:r>
    </w:p>
    <w:p w14:paraId="7462970C" w14:textId="77777777" w:rsidR="00546621" w:rsidRPr="00824023" w:rsidRDefault="00546621" w:rsidP="001D7EBD">
      <w:pPr>
        <w:jc w:val="left"/>
        <w:rPr>
          <w:sz w:val="22"/>
          <w:szCs w:val="22"/>
          <w:lang w:val="cs-CZ"/>
        </w:rPr>
      </w:pPr>
    </w:p>
    <w:p w14:paraId="0549ADDC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Obsah je vyjádřen titrem protilátek zjištěným během testu účinnosti. Jedna jednotka (U) odpovídá titru protilátek v hodnotě 1.</w:t>
      </w:r>
    </w:p>
    <w:p w14:paraId="769F8631" w14:textId="4307DABD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HI: hemaglutinační </w:t>
      </w:r>
      <w:r w:rsidR="001D7EBD" w:rsidRPr="00824023">
        <w:rPr>
          <w:sz w:val="22"/>
          <w:szCs w:val="22"/>
          <w:lang w:val="cs-CZ"/>
        </w:rPr>
        <w:t>inhibice – ODD</w:t>
      </w:r>
      <w:r w:rsidRPr="00824023">
        <w:rPr>
          <w:sz w:val="22"/>
          <w:szCs w:val="22"/>
          <w:lang w:val="cs-CZ"/>
        </w:rPr>
        <w:t>: rozdíl optické hustoty</w:t>
      </w:r>
    </w:p>
    <w:p w14:paraId="60EC0B9F" w14:textId="1AAA1FD5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vertAlign w:val="superscript"/>
          <w:lang w:val="cs-CZ"/>
        </w:rPr>
        <w:t>1</w:t>
      </w:r>
      <w:r w:rsidRPr="00824023">
        <w:rPr>
          <w:sz w:val="22"/>
          <w:szCs w:val="22"/>
          <w:lang w:val="cs-CZ"/>
        </w:rPr>
        <w:t xml:space="preserve"> Minimální ochranná dávka podle monografie 0870 Ph. Eur.</w:t>
      </w:r>
    </w:p>
    <w:p w14:paraId="3812AF32" w14:textId="0B93ECA6" w:rsidR="00304210" w:rsidRPr="00824023" w:rsidRDefault="00DF16FC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vertAlign w:val="superscript"/>
          <w:lang w:val="cs-CZ"/>
        </w:rPr>
        <w:t>2</w:t>
      </w:r>
      <w:r w:rsidRPr="00824023">
        <w:rPr>
          <w:sz w:val="22"/>
          <w:szCs w:val="22"/>
          <w:lang w:val="cs-CZ"/>
        </w:rPr>
        <w:t xml:space="preserve"> Dříve označovaný jako virus ptačí rhinotracheitidy (ART), který je spouštěcím patogenem syndromu otekl</w:t>
      </w:r>
      <w:r w:rsidR="00304210" w:rsidRPr="00824023">
        <w:rPr>
          <w:sz w:val="22"/>
          <w:szCs w:val="22"/>
          <w:lang w:val="cs-CZ"/>
        </w:rPr>
        <w:t>é</w:t>
      </w:r>
      <w:r w:rsidRPr="00824023">
        <w:rPr>
          <w:sz w:val="22"/>
          <w:szCs w:val="22"/>
          <w:lang w:val="cs-CZ"/>
        </w:rPr>
        <w:t xml:space="preserve"> hlav</w:t>
      </w:r>
      <w:r w:rsidR="00304210" w:rsidRPr="00824023">
        <w:rPr>
          <w:sz w:val="22"/>
          <w:szCs w:val="22"/>
          <w:lang w:val="cs-CZ"/>
        </w:rPr>
        <w:t>y</w:t>
      </w:r>
      <w:r w:rsidRPr="00824023">
        <w:rPr>
          <w:sz w:val="22"/>
          <w:szCs w:val="22"/>
          <w:lang w:val="cs-CZ"/>
        </w:rPr>
        <w:t xml:space="preserve"> u kuřat</w:t>
      </w:r>
      <w:r w:rsidR="00B54B64" w:rsidRPr="00824023">
        <w:rPr>
          <w:sz w:val="22"/>
          <w:szCs w:val="22"/>
          <w:lang w:val="cs-CZ"/>
        </w:rPr>
        <w:t>.</w:t>
      </w:r>
    </w:p>
    <w:p w14:paraId="5A86BC7C" w14:textId="77777777" w:rsidR="006B45DF" w:rsidRPr="00824023" w:rsidRDefault="006B45DF" w:rsidP="001D7EBD">
      <w:pPr>
        <w:jc w:val="left"/>
        <w:rPr>
          <w:b/>
          <w:sz w:val="22"/>
          <w:szCs w:val="22"/>
          <w:lang w:val="cs-CZ"/>
        </w:rPr>
      </w:pPr>
    </w:p>
    <w:p w14:paraId="7DF9C632" w14:textId="77777777" w:rsidR="006B45DF" w:rsidRPr="00824023" w:rsidRDefault="006B45DF" w:rsidP="001D7EBD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Adjuvans:</w:t>
      </w:r>
      <w:r w:rsidRPr="00824023">
        <w:rPr>
          <w:sz w:val="22"/>
          <w:szCs w:val="22"/>
          <w:lang w:val="cs-CZ"/>
        </w:rPr>
        <w:t xml:space="preserve"> </w:t>
      </w:r>
    </w:p>
    <w:p w14:paraId="7235749B" w14:textId="77777777" w:rsidR="006B45DF" w:rsidRPr="00824023" w:rsidRDefault="006B45DF" w:rsidP="001D7EBD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Tekutý parafín</w:t>
      </w:r>
      <w:r w:rsidRPr="00824023">
        <w:rPr>
          <w:sz w:val="22"/>
          <w:szCs w:val="22"/>
          <w:lang w:val="cs-CZ"/>
        </w:rPr>
        <w:tab/>
        <w:t>170 až 186 mg</w:t>
      </w:r>
    </w:p>
    <w:p w14:paraId="07C755AC" w14:textId="77777777" w:rsidR="006B45DF" w:rsidRPr="00824023" w:rsidRDefault="006B45DF" w:rsidP="001D7EBD">
      <w:pPr>
        <w:jc w:val="left"/>
        <w:rPr>
          <w:b/>
          <w:sz w:val="22"/>
          <w:szCs w:val="22"/>
          <w:lang w:val="cs-CZ"/>
        </w:rPr>
      </w:pPr>
    </w:p>
    <w:p w14:paraId="052E689A" w14:textId="77777777" w:rsidR="006B45DF" w:rsidRPr="00824023" w:rsidRDefault="006B45DF" w:rsidP="001D7EBD">
      <w:pPr>
        <w:tabs>
          <w:tab w:val="right" w:leader="dot" w:pos="10206"/>
        </w:tabs>
        <w:jc w:val="left"/>
        <w:rPr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Pomocné látky:</w:t>
      </w:r>
    </w:p>
    <w:p w14:paraId="77D28322" w14:textId="77777777" w:rsidR="007706ED" w:rsidRPr="00824023" w:rsidRDefault="007706ED" w:rsidP="00086217">
      <w:pPr>
        <w:jc w:val="left"/>
        <w:rPr>
          <w:sz w:val="22"/>
          <w:szCs w:val="22"/>
          <w:lang w:val="cs-CZ" w:eastAsia="en-US"/>
        </w:rPr>
      </w:pPr>
    </w:p>
    <w:tbl>
      <w:tblPr>
        <w:tblW w:w="928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706ED" w:rsidRPr="00824023" w14:paraId="73206164" w14:textId="77777777" w:rsidTr="001D7EBD">
        <w:tc>
          <w:tcPr>
            <w:tcW w:w="4643" w:type="dxa"/>
            <w:shd w:val="clear" w:color="auto" w:fill="auto"/>
            <w:vAlign w:val="center"/>
          </w:tcPr>
          <w:p w14:paraId="61FDACB4" w14:textId="5A881B72" w:rsidR="007706ED" w:rsidRPr="00824023" w:rsidRDefault="007706ED" w:rsidP="001D7EBD">
            <w:pPr>
              <w:spacing w:line="260" w:lineRule="exact"/>
              <w:jc w:val="left"/>
              <w:rPr>
                <w:b/>
                <w:bCs/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b/>
                <w:bCs/>
                <w:iCs/>
                <w:sz w:val="22"/>
                <w:szCs w:val="22"/>
                <w:lang w:val="cs-CZ" w:eastAsia="en-US"/>
              </w:rPr>
              <w:t>Kvalitativní složení pomocných látek a dalších složek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D7713F" w14:textId="1117C6B5" w:rsidR="007706ED" w:rsidRPr="00824023" w:rsidRDefault="007706ED" w:rsidP="001D7EBD">
            <w:pPr>
              <w:spacing w:line="260" w:lineRule="exact"/>
              <w:jc w:val="left"/>
              <w:rPr>
                <w:b/>
                <w:bCs/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b/>
                <w:bCs/>
                <w:iCs/>
                <w:sz w:val="22"/>
                <w:szCs w:val="22"/>
                <w:lang w:val="cs-CZ" w:eastAsia="en-US"/>
              </w:rPr>
              <w:t>Kvantitativní složení, pokud je tato informace nezbytná pro řádné podání veterinárního léčivého přípravku</w:t>
            </w:r>
          </w:p>
        </w:tc>
      </w:tr>
      <w:tr w:rsidR="007706ED" w:rsidRPr="00824023" w14:paraId="0A1D8C44" w14:textId="77777777" w:rsidTr="001D7EBD">
        <w:tc>
          <w:tcPr>
            <w:tcW w:w="4643" w:type="dxa"/>
            <w:shd w:val="clear" w:color="auto" w:fill="auto"/>
            <w:vAlign w:val="center"/>
          </w:tcPr>
          <w:p w14:paraId="3C451B8F" w14:textId="133712D3" w:rsidR="007706ED" w:rsidRPr="00824023" w:rsidRDefault="00AC2FE4" w:rsidP="001D7EBD">
            <w:pPr>
              <w:tabs>
                <w:tab w:val="left" w:pos="567"/>
              </w:tabs>
              <w:spacing w:before="60" w:after="60" w:line="260" w:lineRule="exact"/>
              <w:ind w:left="567" w:hanging="567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iCs/>
                <w:sz w:val="22"/>
                <w:szCs w:val="22"/>
                <w:lang w:val="cs-CZ"/>
              </w:rPr>
              <w:t>Thiomersal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3F1BE2" w14:textId="6D01CA3D" w:rsidR="007706ED" w:rsidRPr="00824023" w:rsidRDefault="00A76608" w:rsidP="001D7EBD">
            <w:pPr>
              <w:spacing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sz w:val="22"/>
                <w:szCs w:val="22"/>
                <w:lang w:val="cs-CZ"/>
              </w:rPr>
              <w:t>30 μg</w:t>
            </w:r>
          </w:p>
        </w:tc>
      </w:tr>
      <w:tr w:rsidR="007706ED" w:rsidRPr="00824023" w14:paraId="08FA64B5" w14:textId="77777777" w:rsidTr="001D7EBD">
        <w:tc>
          <w:tcPr>
            <w:tcW w:w="4643" w:type="dxa"/>
            <w:shd w:val="clear" w:color="auto" w:fill="auto"/>
            <w:vAlign w:val="center"/>
          </w:tcPr>
          <w:p w14:paraId="2A9AB40B" w14:textId="1640A177" w:rsidR="007706ED" w:rsidRPr="00824023" w:rsidRDefault="00DD72CD" w:rsidP="001D7EBD">
            <w:pPr>
              <w:tabs>
                <w:tab w:val="left" w:pos="567"/>
              </w:tabs>
              <w:spacing w:before="60" w:after="60" w:line="260" w:lineRule="exact"/>
              <w:ind w:left="567" w:hanging="567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sz w:val="22"/>
                <w:szCs w:val="22"/>
                <w:lang w:val="cs-CZ"/>
              </w:rPr>
              <w:t>Roztok formaldehydu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BF9CB56" w14:textId="6132A3D6" w:rsidR="007706ED" w:rsidRPr="00824023" w:rsidRDefault="008C7F49" w:rsidP="001D7EBD">
            <w:pPr>
              <w:spacing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iCs/>
                <w:sz w:val="22"/>
                <w:szCs w:val="22"/>
                <w:lang w:val="cs-CZ" w:eastAsia="en-US"/>
              </w:rPr>
              <w:t>≤</w:t>
            </w:r>
            <w:r w:rsidR="00A76608" w:rsidRPr="00824023">
              <w:rPr>
                <w:iCs/>
                <w:sz w:val="22"/>
                <w:szCs w:val="22"/>
                <w:lang w:val="cs-CZ" w:eastAsia="en-US"/>
              </w:rPr>
              <w:t xml:space="preserve"> </w:t>
            </w:r>
            <w:r w:rsidR="00A76608" w:rsidRPr="00824023">
              <w:rPr>
                <w:sz w:val="22"/>
                <w:szCs w:val="22"/>
                <w:lang w:val="cs-CZ"/>
              </w:rPr>
              <w:t>90 μg</w:t>
            </w:r>
          </w:p>
        </w:tc>
      </w:tr>
      <w:tr w:rsidR="007706ED" w:rsidRPr="00824023" w14:paraId="704F50BF" w14:textId="77777777" w:rsidTr="001D7EBD">
        <w:tc>
          <w:tcPr>
            <w:tcW w:w="4643" w:type="dxa"/>
            <w:shd w:val="clear" w:color="auto" w:fill="auto"/>
            <w:vAlign w:val="center"/>
          </w:tcPr>
          <w:p w14:paraId="08F62BA7" w14:textId="30373E52" w:rsidR="007706ED" w:rsidRPr="00824023" w:rsidRDefault="0081133A" w:rsidP="001D7EBD">
            <w:pPr>
              <w:tabs>
                <w:tab w:val="left" w:pos="567"/>
              </w:tabs>
              <w:spacing w:before="60" w:after="60" w:line="260" w:lineRule="exact"/>
              <w:ind w:left="567" w:hanging="567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iCs/>
                <w:sz w:val="22"/>
                <w:szCs w:val="22"/>
                <w:lang w:val="cs-CZ" w:eastAsia="en-US"/>
              </w:rPr>
              <w:t>Ester</w:t>
            </w:r>
            <w:r w:rsidR="00E00B1F" w:rsidRPr="00824023">
              <w:rPr>
                <w:iCs/>
                <w:sz w:val="22"/>
                <w:szCs w:val="22"/>
                <w:lang w:val="cs-CZ" w:eastAsia="en-US"/>
              </w:rPr>
              <w:t>y</w:t>
            </w:r>
            <w:r w:rsidRPr="00824023">
              <w:rPr>
                <w:iCs/>
                <w:sz w:val="22"/>
                <w:szCs w:val="22"/>
                <w:lang w:val="cs-CZ" w:eastAsia="en-US"/>
              </w:rPr>
              <w:t xml:space="preserve"> mastných kyselin a polyolů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F56C79" w14:textId="77777777" w:rsidR="007706ED" w:rsidRPr="00824023" w:rsidRDefault="007706ED" w:rsidP="001D7EBD">
            <w:pPr>
              <w:spacing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</w:p>
        </w:tc>
      </w:tr>
      <w:tr w:rsidR="007706ED" w:rsidRPr="00824023" w14:paraId="42BBE5FA" w14:textId="77777777" w:rsidTr="001D7EBD">
        <w:tc>
          <w:tcPr>
            <w:tcW w:w="4643" w:type="dxa"/>
            <w:shd w:val="clear" w:color="auto" w:fill="auto"/>
            <w:vAlign w:val="center"/>
          </w:tcPr>
          <w:p w14:paraId="2DD993B8" w14:textId="525E92A0" w:rsidR="007706ED" w:rsidRPr="00824023" w:rsidRDefault="00D274E6" w:rsidP="001D7EBD">
            <w:pPr>
              <w:spacing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iCs/>
                <w:sz w:val="22"/>
                <w:szCs w:val="22"/>
                <w:lang w:val="cs-CZ" w:eastAsia="en-US"/>
              </w:rPr>
              <w:t>Ester</w:t>
            </w:r>
            <w:r w:rsidR="00E00B1F" w:rsidRPr="00824023">
              <w:rPr>
                <w:iCs/>
                <w:sz w:val="22"/>
                <w:szCs w:val="22"/>
                <w:lang w:val="cs-CZ" w:eastAsia="en-US"/>
              </w:rPr>
              <w:t>y</w:t>
            </w:r>
            <w:r w:rsidRPr="00824023">
              <w:rPr>
                <w:iCs/>
                <w:sz w:val="22"/>
                <w:szCs w:val="22"/>
                <w:lang w:val="cs-CZ" w:eastAsia="en-US"/>
              </w:rPr>
              <w:t xml:space="preserve"> mastných kyselin a ethoxylovaných polyolů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F04B5B7" w14:textId="77777777" w:rsidR="007706ED" w:rsidRPr="00824023" w:rsidRDefault="007706ED" w:rsidP="001D7EBD">
            <w:pPr>
              <w:tabs>
                <w:tab w:val="left" w:pos="567"/>
              </w:tabs>
              <w:spacing w:before="60" w:after="60" w:line="260" w:lineRule="exact"/>
              <w:ind w:left="567" w:hanging="567"/>
              <w:jc w:val="left"/>
              <w:rPr>
                <w:iCs/>
                <w:sz w:val="22"/>
                <w:szCs w:val="22"/>
                <w:lang w:val="cs-CZ" w:eastAsia="en-US"/>
              </w:rPr>
            </w:pPr>
          </w:p>
        </w:tc>
      </w:tr>
      <w:tr w:rsidR="007706ED" w:rsidRPr="00824023" w14:paraId="2E8005F9" w14:textId="77777777" w:rsidTr="001D7EBD">
        <w:tc>
          <w:tcPr>
            <w:tcW w:w="4643" w:type="dxa"/>
            <w:shd w:val="clear" w:color="auto" w:fill="auto"/>
            <w:vAlign w:val="center"/>
          </w:tcPr>
          <w:p w14:paraId="3D728003" w14:textId="21486B87" w:rsidR="007706ED" w:rsidRPr="00824023" w:rsidRDefault="00D274E6" w:rsidP="001D7EBD">
            <w:pPr>
              <w:spacing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iCs/>
                <w:sz w:val="22"/>
                <w:szCs w:val="22"/>
                <w:lang w:val="cs-CZ" w:eastAsia="en-US"/>
              </w:rPr>
              <w:t xml:space="preserve">Voda </w:t>
            </w:r>
            <w:r w:rsidR="00107684" w:rsidRPr="00824023">
              <w:rPr>
                <w:iCs/>
                <w:sz w:val="22"/>
                <w:szCs w:val="22"/>
                <w:lang w:val="cs-CZ" w:eastAsia="en-US"/>
              </w:rPr>
              <w:t>pro</w:t>
            </w:r>
            <w:r w:rsidRPr="00824023">
              <w:rPr>
                <w:iCs/>
                <w:sz w:val="22"/>
                <w:szCs w:val="22"/>
                <w:lang w:val="cs-CZ" w:eastAsia="en-US"/>
              </w:rPr>
              <w:t xml:space="preserve"> injekci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CA5C4E9" w14:textId="77777777" w:rsidR="007706ED" w:rsidRPr="00824023" w:rsidRDefault="007706ED" w:rsidP="001D7EBD">
            <w:pPr>
              <w:tabs>
                <w:tab w:val="left" w:pos="567"/>
              </w:tabs>
              <w:spacing w:before="60" w:after="60" w:line="260" w:lineRule="exact"/>
              <w:ind w:left="567" w:hanging="567"/>
              <w:jc w:val="left"/>
              <w:rPr>
                <w:iCs/>
                <w:sz w:val="22"/>
                <w:szCs w:val="22"/>
                <w:lang w:val="cs-CZ" w:eastAsia="en-US"/>
              </w:rPr>
            </w:pPr>
          </w:p>
        </w:tc>
      </w:tr>
    </w:tbl>
    <w:p w14:paraId="00283750" w14:textId="77777777" w:rsidR="006B45DF" w:rsidRPr="00824023" w:rsidRDefault="006B45DF" w:rsidP="001D7EBD">
      <w:pPr>
        <w:tabs>
          <w:tab w:val="right" w:leader="dot" w:pos="10206"/>
        </w:tabs>
        <w:rPr>
          <w:sz w:val="22"/>
          <w:szCs w:val="22"/>
          <w:lang w:val="cs-CZ"/>
        </w:rPr>
      </w:pPr>
    </w:p>
    <w:p w14:paraId="3D553338" w14:textId="0B391D0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Bělavá homogenní emulze</w:t>
      </w:r>
    </w:p>
    <w:p w14:paraId="24B1D56F" w14:textId="77777777" w:rsidR="00107684" w:rsidRPr="00824023" w:rsidRDefault="00107684" w:rsidP="001D7EBD">
      <w:pPr>
        <w:jc w:val="left"/>
        <w:rPr>
          <w:sz w:val="22"/>
          <w:szCs w:val="22"/>
          <w:lang w:val="cs-CZ"/>
        </w:rPr>
      </w:pPr>
    </w:p>
    <w:p w14:paraId="089ABE25" w14:textId="77777777" w:rsidR="00073076" w:rsidRPr="00824023" w:rsidRDefault="00073076" w:rsidP="001D7EBD">
      <w:pPr>
        <w:jc w:val="left"/>
        <w:rPr>
          <w:sz w:val="22"/>
          <w:szCs w:val="22"/>
          <w:lang w:val="cs-CZ"/>
        </w:rPr>
      </w:pPr>
    </w:p>
    <w:p w14:paraId="6623300D" w14:textId="4D4CB0F9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</w:t>
      </w:r>
      <w:r w:rsidRPr="00824023">
        <w:rPr>
          <w:b/>
          <w:sz w:val="22"/>
          <w:szCs w:val="22"/>
          <w:lang w:val="cs-CZ"/>
        </w:rPr>
        <w:tab/>
        <w:t>KLINICKÉ INFORMACE</w:t>
      </w:r>
    </w:p>
    <w:p w14:paraId="122E23BD" w14:textId="7777777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22561E63" w14:textId="1D47BF3A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3.1</w:t>
      </w:r>
      <w:r w:rsidRPr="00824023">
        <w:rPr>
          <w:b/>
          <w:sz w:val="22"/>
          <w:szCs w:val="22"/>
          <w:lang w:val="cs-CZ"/>
        </w:rPr>
        <w:tab/>
        <w:t>Cílové druhy zvířat</w:t>
      </w:r>
    </w:p>
    <w:p w14:paraId="647FD2DC" w14:textId="7777777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5CD87462" w14:textId="291B4E0A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Kur domácí (</w:t>
      </w:r>
      <w:r w:rsidR="00BA5E49" w:rsidRPr="00824023">
        <w:rPr>
          <w:sz w:val="22"/>
          <w:szCs w:val="22"/>
          <w:lang w:val="cs-CZ"/>
        </w:rPr>
        <w:t>chovné a nosné</w:t>
      </w:r>
      <w:r w:rsidRPr="00824023">
        <w:rPr>
          <w:sz w:val="22"/>
          <w:szCs w:val="22"/>
          <w:lang w:val="cs-CZ"/>
        </w:rPr>
        <w:t xml:space="preserve"> kuřice).</w:t>
      </w:r>
    </w:p>
    <w:p w14:paraId="76F5CB2F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3D475E44" w14:textId="14B6FE9C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3.2</w:t>
      </w:r>
      <w:r w:rsidRPr="00824023">
        <w:rPr>
          <w:b/>
          <w:sz w:val="22"/>
          <w:szCs w:val="22"/>
          <w:lang w:val="cs-CZ"/>
        </w:rPr>
        <w:tab/>
        <w:t>Indikace pro použití pro každý cílový druh zvířat</w:t>
      </w:r>
    </w:p>
    <w:p w14:paraId="4B526383" w14:textId="7777777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75F8272C" w14:textId="3152497A" w:rsidR="006B45DF" w:rsidRPr="00824023" w:rsidRDefault="006B45DF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Revakcinace </w:t>
      </w:r>
      <w:r w:rsidR="00D63D86" w:rsidRPr="00824023">
        <w:rPr>
          <w:sz w:val="22"/>
          <w:szCs w:val="22"/>
          <w:lang w:val="cs-CZ"/>
        </w:rPr>
        <w:t>chovných a nosných</w:t>
      </w:r>
      <w:r w:rsidRPr="00824023">
        <w:rPr>
          <w:sz w:val="22"/>
          <w:szCs w:val="22"/>
          <w:lang w:val="cs-CZ"/>
        </w:rPr>
        <w:t xml:space="preserve"> kuřic po primární </w:t>
      </w:r>
      <w:r w:rsidR="003448E6" w:rsidRPr="00824023">
        <w:rPr>
          <w:sz w:val="22"/>
          <w:szCs w:val="22"/>
          <w:lang w:val="cs-CZ"/>
        </w:rPr>
        <w:t>vakcinaci</w:t>
      </w:r>
      <w:r w:rsidRPr="00824023">
        <w:rPr>
          <w:sz w:val="22"/>
          <w:szCs w:val="22"/>
          <w:lang w:val="cs-CZ"/>
        </w:rPr>
        <w:t xml:space="preserve"> živými vakcínami proti:</w:t>
      </w:r>
    </w:p>
    <w:p w14:paraId="4C03C655" w14:textId="01344C82" w:rsidR="006B45DF" w:rsidRPr="00824023" w:rsidRDefault="006B45DF" w:rsidP="001D7EBD">
      <w:pPr>
        <w:ind w:left="567" w:hanging="567"/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- </w:t>
      </w:r>
      <w:r w:rsidR="00AA42B2" w:rsidRPr="00824023">
        <w:rPr>
          <w:b/>
          <w:sz w:val="22"/>
          <w:szCs w:val="22"/>
          <w:lang w:val="cs-CZ"/>
        </w:rPr>
        <w:tab/>
      </w:r>
      <w:r w:rsidR="00286E03" w:rsidRPr="00824023">
        <w:rPr>
          <w:sz w:val="22"/>
          <w:szCs w:val="22"/>
          <w:lang w:val="cs-CZ"/>
        </w:rPr>
        <w:t xml:space="preserve">viru </w:t>
      </w:r>
      <w:r w:rsidRPr="00824023">
        <w:rPr>
          <w:sz w:val="22"/>
          <w:szCs w:val="22"/>
          <w:lang w:val="cs-CZ"/>
        </w:rPr>
        <w:t>Newcastleské chorob</w:t>
      </w:r>
      <w:r w:rsidR="00286E03" w:rsidRPr="00824023">
        <w:rPr>
          <w:sz w:val="22"/>
          <w:szCs w:val="22"/>
          <w:lang w:val="cs-CZ"/>
        </w:rPr>
        <w:t>y</w:t>
      </w:r>
      <w:r w:rsidRPr="00824023">
        <w:rPr>
          <w:sz w:val="22"/>
          <w:szCs w:val="22"/>
          <w:lang w:val="cs-CZ"/>
        </w:rPr>
        <w:t>, ke snížení poklesu snášky spojeného s</w:t>
      </w:r>
      <w:r w:rsidR="00286E03" w:rsidRPr="00824023">
        <w:rPr>
          <w:sz w:val="22"/>
          <w:szCs w:val="22"/>
          <w:lang w:val="cs-CZ"/>
        </w:rPr>
        <w:t> </w:t>
      </w:r>
      <w:r w:rsidR="00E764D5" w:rsidRPr="00824023">
        <w:rPr>
          <w:sz w:val="22"/>
          <w:szCs w:val="22"/>
          <w:lang w:val="cs-CZ"/>
        </w:rPr>
        <w:t>infekc</w:t>
      </w:r>
      <w:r w:rsidR="00286E03" w:rsidRPr="00824023">
        <w:rPr>
          <w:sz w:val="22"/>
          <w:szCs w:val="22"/>
          <w:lang w:val="cs-CZ"/>
        </w:rPr>
        <w:t xml:space="preserve">í </w:t>
      </w:r>
      <w:r w:rsidRPr="00824023">
        <w:rPr>
          <w:sz w:val="22"/>
          <w:szCs w:val="22"/>
          <w:lang w:val="cs-CZ"/>
        </w:rPr>
        <w:t>Newcastleskou chorobou,</w:t>
      </w:r>
    </w:p>
    <w:p w14:paraId="74437CD6" w14:textId="425EC13E" w:rsidR="006B45DF" w:rsidRPr="00824023" w:rsidRDefault="00C4383E" w:rsidP="001D7EBD">
      <w:pPr>
        <w:ind w:left="567" w:hanging="567"/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lastRenderedPageBreak/>
        <w:t xml:space="preserve">- </w:t>
      </w:r>
      <w:r w:rsidRPr="00824023">
        <w:rPr>
          <w:b/>
          <w:sz w:val="22"/>
          <w:szCs w:val="22"/>
          <w:lang w:val="cs-CZ"/>
        </w:rPr>
        <w:tab/>
      </w:r>
      <w:r w:rsidR="00851F06" w:rsidRPr="00824023">
        <w:rPr>
          <w:sz w:val="22"/>
          <w:szCs w:val="22"/>
          <w:lang w:val="cs-CZ"/>
        </w:rPr>
        <w:t xml:space="preserve">viru </w:t>
      </w:r>
      <w:r w:rsidR="008C7F49" w:rsidRPr="00824023">
        <w:rPr>
          <w:sz w:val="22"/>
          <w:szCs w:val="22"/>
          <w:lang w:val="cs-CZ"/>
        </w:rPr>
        <w:t>i</w:t>
      </w:r>
      <w:r w:rsidR="006B45DF" w:rsidRPr="00824023">
        <w:rPr>
          <w:sz w:val="22"/>
          <w:szCs w:val="22"/>
          <w:lang w:val="cs-CZ"/>
        </w:rPr>
        <w:t>nfekční bronchitid</w:t>
      </w:r>
      <w:r w:rsidR="00851F06" w:rsidRPr="00824023">
        <w:rPr>
          <w:sz w:val="22"/>
          <w:szCs w:val="22"/>
          <w:lang w:val="cs-CZ"/>
        </w:rPr>
        <w:t>y</w:t>
      </w:r>
      <w:r w:rsidR="006B45DF" w:rsidRPr="00824023">
        <w:rPr>
          <w:sz w:val="22"/>
          <w:szCs w:val="22"/>
          <w:lang w:val="cs-CZ"/>
        </w:rPr>
        <w:t>, ke snížení poklesu snášky spojeného s</w:t>
      </w:r>
      <w:r w:rsidR="00851F06" w:rsidRPr="00824023">
        <w:rPr>
          <w:sz w:val="22"/>
          <w:szCs w:val="22"/>
          <w:lang w:val="cs-CZ"/>
        </w:rPr>
        <w:t xml:space="preserve"> infekcí </w:t>
      </w:r>
      <w:r w:rsidR="006B45DF" w:rsidRPr="00824023">
        <w:rPr>
          <w:sz w:val="22"/>
          <w:szCs w:val="22"/>
          <w:lang w:val="cs-CZ"/>
        </w:rPr>
        <w:t>infekční bronchitidou způsobenou kmenem Mass41,</w:t>
      </w:r>
    </w:p>
    <w:p w14:paraId="0FD0311A" w14:textId="02370F02" w:rsidR="004D1210" w:rsidRPr="00824023" w:rsidRDefault="00C0317C" w:rsidP="001D7EBD">
      <w:pPr>
        <w:ind w:left="567" w:hanging="567"/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- </w:t>
      </w:r>
      <w:r w:rsidRPr="00824023">
        <w:rPr>
          <w:b/>
          <w:sz w:val="22"/>
          <w:szCs w:val="22"/>
          <w:lang w:val="cs-CZ"/>
        </w:rPr>
        <w:tab/>
      </w:r>
      <w:r w:rsidR="004D1210" w:rsidRPr="00824023">
        <w:rPr>
          <w:sz w:val="22"/>
          <w:szCs w:val="22"/>
          <w:lang w:val="cs-CZ"/>
        </w:rPr>
        <w:t>pneumoviru</w:t>
      </w:r>
      <w:r w:rsidR="008A0D77" w:rsidRPr="00824023">
        <w:rPr>
          <w:sz w:val="22"/>
          <w:szCs w:val="22"/>
          <w:lang w:val="cs-CZ"/>
        </w:rPr>
        <w:t xml:space="preserve"> ptáků</w:t>
      </w:r>
      <w:r w:rsidR="006B45DF" w:rsidRPr="00824023">
        <w:rPr>
          <w:sz w:val="22"/>
          <w:szCs w:val="22"/>
          <w:lang w:val="cs-CZ"/>
        </w:rPr>
        <w:t>, ke snížení respiračních příznaků spojených s</w:t>
      </w:r>
      <w:r w:rsidR="004D1210" w:rsidRPr="00824023">
        <w:rPr>
          <w:sz w:val="22"/>
          <w:szCs w:val="22"/>
          <w:lang w:val="cs-CZ"/>
        </w:rPr>
        <w:t xml:space="preserve"> infekcí pneumovirem</w:t>
      </w:r>
      <w:r w:rsidR="008A0D77" w:rsidRPr="00824023">
        <w:rPr>
          <w:sz w:val="22"/>
          <w:szCs w:val="22"/>
          <w:lang w:val="cs-CZ"/>
        </w:rPr>
        <w:t xml:space="preserve"> ptáků</w:t>
      </w:r>
      <w:r w:rsidR="006B45DF" w:rsidRPr="00824023">
        <w:rPr>
          <w:sz w:val="22"/>
          <w:szCs w:val="22"/>
          <w:lang w:val="cs-CZ"/>
        </w:rPr>
        <w:t xml:space="preserve"> </w:t>
      </w:r>
      <w:r w:rsidR="004D1210" w:rsidRPr="00824023">
        <w:rPr>
          <w:sz w:val="22"/>
          <w:szCs w:val="22"/>
          <w:lang w:val="cs-CZ"/>
        </w:rPr>
        <w:t>(</w:t>
      </w:r>
      <w:r w:rsidR="006B45DF" w:rsidRPr="00824023">
        <w:rPr>
          <w:sz w:val="22"/>
          <w:szCs w:val="22"/>
          <w:lang w:val="cs-CZ"/>
        </w:rPr>
        <w:t>syndromem otekl</w:t>
      </w:r>
      <w:r w:rsidR="003448E6" w:rsidRPr="00824023">
        <w:rPr>
          <w:sz w:val="22"/>
          <w:szCs w:val="22"/>
          <w:lang w:val="cs-CZ"/>
        </w:rPr>
        <w:t>é</w:t>
      </w:r>
      <w:r w:rsidR="006B45DF" w:rsidRPr="00824023">
        <w:rPr>
          <w:sz w:val="22"/>
          <w:szCs w:val="22"/>
          <w:lang w:val="cs-CZ"/>
        </w:rPr>
        <w:t xml:space="preserve"> hlav</w:t>
      </w:r>
      <w:r w:rsidR="003448E6" w:rsidRPr="00824023">
        <w:rPr>
          <w:sz w:val="22"/>
          <w:szCs w:val="22"/>
          <w:lang w:val="cs-CZ"/>
        </w:rPr>
        <w:t>y</w:t>
      </w:r>
      <w:r w:rsidR="006B45DF" w:rsidRPr="00824023">
        <w:rPr>
          <w:sz w:val="22"/>
          <w:szCs w:val="22"/>
          <w:lang w:val="cs-CZ"/>
        </w:rPr>
        <w:t>).</w:t>
      </w:r>
    </w:p>
    <w:p w14:paraId="4A9E9EA9" w14:textId="144E02DA" w:rsidR="006B45DF" w:rsidRPr="00824023" w:rsidRDefault="006B45DF" w:rsidP="001D7EBD">
      <w:pPr>
        <w:ind w:left="567" w:hanging="567"/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 </w:t>
      </w:r>
    </w:p>
    <w:p w14:paraId="566E6F78" w14:textId="708BAA07" w:rsidR="006B45DF" w:rsidRPr="00824023" w:rsidRDefault="006B45DF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Aktivní imunizace </w:t>
      </w:r>
      <w:r w:rsidR="00BD1C2F" w:rsidRPr="00824023">
        <w:rPr>
          <w:sz w:val="22"/>
          <w:szCs w:val="22"/>
          <w:lang w:val="cs-CZ"/>
        </w:rPr>
        <w:t xml:space="preserve">chovných a nosných </w:t>
      </w:r>
      <w:r w:rsidRPr="00824023">
        <w:rPr>
          <w:sz w:val="22"/>
          <w:szCs w:val="22"/>
          <w:lang w:val="cs-CZ"/>
        </w:rPr>
        <w:t>kuřic ke snížení poklesu snášky způsobeného syndromem poklesu snášky (EDS76), bez primární vakcinace.</w:t>
      </w:r>
    </w:p>
    <w:p w14:paraId="65B73D69" w14:textId="77777777" w:rsidR="006B45DF" w:rsidRPr="00824023" w:rsidRDefault="006B45DF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</w:p>
    <w:p w14:paraId="41BBD7C9" w14:textId="77777777" w:rsidR="006B45DF" w:rsidRPr="00824023" w:rsidRDefault="006B45DF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Newcastleská choroba, infekční bronchitida a syndrom poklesu snášky:</w:t>
      </w:r>
    </w:p>
    <w:p w14:paraId="5E521069" w14:textId="3906CD2C" w:rsidR="006B45DF" w:rsidRPr="00824023" w:rsidRDefault="006B45DF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Nástup imunity: 4 týdny po vakcinaci</w:t>
      </w:r>
      <w:r w:rsidR="007E3D70" w:rsidRPr="00824023">
        <w:rPr>
          <w:sz w:val="22"/>
          <w:szCs w:val="22"/>
          <w:lang w:val="cs-CZ"/>
        </w:rPr>
        <w:t>.</w:t>
      </w:r>
    </w:p>
    <w:p w14:paraId="0D4C768C" w14:textId="77777777" w:rsidR="006B45DF" w:rsidRPr="00824023" w:rsidRDefault="006B45DF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Trvání imunity: jedno snáškové období.</w:t>
      </w:r>
    </w:p>
    <w:p w14:paraId="496C89A3" w14:textId="77777777" w:rsidR="00546621" w:rsidRPr="00824023" w:rsidRDefault="00546621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</w:p>
    <w:p w14:paraId="63E91591" w14:textId="54F9E9EC" w:rsidR="006B45DF" w:rsidRPr="00824023" w:rsidRDefault="004D1210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Rhinotracheitida krůt</w:t>
      </w:r>
      <w:r w:rsidR="006B45DF" w:rsidRPr="00824023">
        <w:rPr>
          <w:sz w:val="22"/>
          <w:szCs w:val="22"/>
          <w:lang w:val="cs-CZ"/>
        </w:rPr>
        <w:t>:</w:t>
      </w:r>
    </w:p>
    <w:p w14:paraId="7FED5654" w14:textId="128FF3E1" w:rsidR="006B45DF" w:rsidRPr="00824023" w:rsidRDefault="006B45DF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Nástup imunity: 14 týdnů po vakcinaci</w:t>
      </w:r>
      <w:r w:rsidR="007E3D70" w:rsidRPr="00824023">
        <w:rPr>
          <w:sz w:val="22"/>
          <w:szCs w:val="22"/>
          <w:lang w:val="cs-CZ"/>
        </w:rPr>
        <w:t>.</w:t>
      </w:r>
    </w:p>
    <w:p w14:paraId="4F15E1FB" w14:textId="77777777" w:rsidR="006B45DF" w:rsidRPr="00824023" w:rsidRDefault="006B45DF" w:rsidP="001D7EBD">
      <w:pPr>
        <w:tabs>
          <w:tab w:val="left" w:pos="885"/>
        </w:tabs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Trvání imunity: jedno snáškové období.</w:t>
      </w:r>
    </w:p>
    <w:p w14:paraId="158B31A1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2B359716" w14:textId="2BA57148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3.3</w:t>
      </w:r>
      <w:r w:rsidRPr="00824023">
        <w:rPr>
          <w:b/>
          <w:sz w:val="22"/>
          <w:szCs w:val="22"/>
          <w:lang w:val="cs-CZ"/>
        </w:rPr>
        <w:tab/>
        <w:t>Kontraindikace</w:t>
      </w:r>
    </w:p>
    <w:p w14:paraId="04F7A084" w14:textId="7777777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41F1E93B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Nejsou.</w:t>
      </w:r>
    </w:p>
    <w:p w14:paraId="788D45C9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5EBB298D" w14:textId="66F95A6F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3.4</w:t>
      </w:r>
      <w:r w:rsidRPr="00824023">
        <w:rPr>
          <w:b/>
          <w:sz w:val="22"/>
          <w:szCs w:val="22"/>
          <w:lang w:val="cs-CZ"/>
        </w:rPr>
        <w:tab/>
        <w:t>Zvláštní upozornění</w:t>
      </w:r>
    </w:p>
    <w:p w14:paraId="4D35F80A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2A796E1A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Vakcinovat pouze zdravá zvířata.</w:t>
      </w:r>
    </w:p>
    <w:p w14:paraId="0F81A674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7BDB5CCB" w14:textId="761DD61B" w:rsidR="006B45DF" w:rsidRPr="00824023" w:rsidRDefault="00DD2000" w:rsidP="001D7EBD">
      <w:pPr>
        <w:jc w:val="left"/>
        <w:rPr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3.5</w:t>
      </w:r>
      <w:r w:rsidRPr="00824023">
        <w:rPr>
          <w:b/>
          <w:sz w:val="22"/>
          <w:szCs w:val="22"/>
          <w:lang w:val="cs-CZ"/>
        </w:rPr>
        <w:tab/>
        <w:t>Zvláštní opatření pro použití</w:t>
      </w:r>
    </w:p>
    <w:p w14:paraId="2983E1D7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178AF8A6" w14:textId="77777777" w:rsidR="00DD2000" w:rsidRPr="00824023" w:rsidRDefault="00DD2000" w:rsidP="001D7EBD">
      <w:pPr>
        <w:jc w:val="left"/>
        <w:rPr>
          <w:sz w:val="22"/>
          <w:szCs w:val="22"/>
          <w:u w:val="single"/>
          <w:lang w:val="cs-CZ"/>
        </w:rPr>
      </w:pPr>
      <w:r w:rsidRPr="00824023">
        <w:rPr>
          <w:sz w:val="22"/>
          <w:szCs w:val="22"/>
          <w:u w:val="single"/>
          <w:lang w:val="cs-CZ"/>
        </w:rPr>
        <w:t>Zvláštní opatření pro bezpečné použití u cílových druhů zvířat:</w:t>
      </w:r>
    </w:p>
    <w:p w14:paraId="7E65FB1A" w14:textId="0410E76D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Neuplatňuje se.</w:t>
      </w:r>
    </w:p>
    <w:p w14:paraId="295F1001" w14:textId="77777777" w:rsidR="00546621" w:rsidRPr="00824023" w:rsidRDefault="00546621" w:rsidP="001D7EBD">
      <w:pPr>
        <w:jc w:val="left"/>
        <w:rPr>
          <w:sz w:val="22"/>
          <w:szCs w:val="22"/>
          <w:lang w:val="cs-CZ"/>
        </w:rPr>
      </w:pPr>
    </w:p>
    <w:p w14:paraId="67F4BB79" w14:textId="77777777" w:rsidR="00DD2000" w:rsidRPr="00824023" w:rsidRDefault="00DD2000" w:rsidP="001D7EBD">
      <w:pPr>
        <w:jc w:val="left"/>
        <w:rPr>
          <w:sz w:val="22"/>
          <w:szCs w:val="22"/>
          <w:u w:val="single"/>
          <w:lang w:val="cs-CZ"/>
        </w:rPr>
      </w:pPr>
      <w:r w:rsidRPr="00824023">
        <w:rPr>
          <w:sz w:val="22"/>
          <w:szCs w:val="22"/>
          <w:u w:val="single"/>
          <w:lang w:val="cs-CZ"/>
        </w:rPr>
        <w:t>Zvláštní opatření pro osobu, která podává veterinární léčivý přípravek zvířatům:</w:t>
      </w:r>
    </w:p>
    <w:p w14:paraId="74898BDB" w14:textId="07BFE65A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iCs/>
          <w:sz w:val="22"/>
          <w:szCs w:val="22"/>
          <w:lang w:val="cs-CZ"/>
        </w:rPr>
        <w:t>Pro uživatele:</w:t>
      </w:r>
    </w:p>
    <w:p w14:paraId="085B1BA0" w14:textId="06D8E74B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Tento veterinární léčivý přípravek obsahuje minerální olej. Náhodná injekce/náhodné sebepoškození injekčně </w:t>
      </w:r>
      <w:r w:rsidR="00AB6701" w:rsidRPr="00824023">
        <w:rPr>
          <w:sz w:val="22"/>
          <w:szCs w:val="22"/>
          <w:lang w:val="cs-CZ"/>
        </w:rPr>
        <w:t xml:space="preserve">podaným </w:t>
      </w:r>
      <w:r w:rsidRPr="00824023">
        <w:rPr>
          <w:sz w:val="22"/>
          <w:szCs w:val="22"/>
          <w:lang w:val="cs-CZ"/>
        </w:rPr>
        <w:t>přípravkem může způsobit silné bolesti a otok, zvláště po injekčním podání do kloubu nebo prstu, a ve vzácných případech může vést ke ztrátě postiženého prstu, pokud není poskytnuta rychlá lékařská péče.</w:t>
      </w:r>
      <w:r w:rsidR="00B13461" w:rsidRPr="00824023">
        <w:rPr>
          <w:bCs/>
          <w:sz w:val="22"/>
          <w:szCs w:val="22"/>
          <w:lang w:val="cs-CZ"/>
        </w:rPr>
        <w:t xml:space="preserve"> </w:t>
      </w:r>
      <w:r w:rsidRPr="00824023">
        <w:rPr>
          <w:bCs/>
          <w:sz w:val="22"/>
          <w:szCs w:val="22"/>
          <w:lang w:val="cs-CZ"/>
        </w:rPr>
        <w:t xml:space="preserve">Pokud u vás došlo k náhodné injekci veterinárního léčivého přípravku, vyhledejte lékařskou pomoc, i když šlo jen o </w:t>
      </w:r>
      <w:r w:rsidRPr="00824023">
        <w:rPr>
          <w:sz w:val="22"/>
          <w:szCs w:val="22"/>
          <w:lang w:val="cs-CZ"/>
        </w:rPr>
        <w:t xml:space="preserve">malé množství, a vezměte příbalovou informaci s sebou. </w:t>
      </w:r>
    </w:p>
    <w:p w14:paraId="2A3F7DBA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bCs/>
          <w:sz w:val="22"/>
          <w:szCs w:val="22"/>
          <w:lang w:val="cs-CZ"/>
        </w:rPr>
        <w:t>Pokud bolest přetrvává více než 12 hodin po lékařské prohlídce, obraťte se na lékaře znovu.</w:t>
      </w:r>
    </w:p>
    <w:p w14:paraId="60C70FAD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4FB14826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iCs/>
          <w:sz w:val="22"/>
          <w:szCs w:val="22"/>
          <w:lang w:val="cs-CZ"/>
        </w:rPr>
        <w:t>Pro lékaře:</w:t>
      </w:r>
    </w:p>
    <w:p w14:paraId="5F29ADA6" w14:textId="4A2DD188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Tento veterinární léčivý přípravek obsahuje minerální olej. I když bylo injekčně </w:t>
      </w:r>
      <w:r w:rsidR="009868B4" w:rsidRPr="00824023">
        <w:rPr>
          <w:sz w:val="22"/>
          <w:szCs w:val="22"/>
          <w:lang w:val="cs-CZ"/>
        </w:rPr>
        <w:t xml:space="preserve">podané </w:t>
      </w:r>
      <w:r w:rsidRPr="00824023">
        <w:rPr>
          <w:sz w:val="22"/>
          <w:szCs w:val="22"/>
          <w:lang w:val="cs-CZ"/>
        </w:rPr>
        <w:t xml:space="preserve">malé množství, náhodná injekce tohoto </w:t>
      </w:r>
      <w:r w:rsidR="009868B4" w:rsidRPr="00824023">
        <w:rPr>
          <w:sz w:val="22"/>
          <w:szCs w:val="22"/>
          <w:lang w:val="cs-CZ"/>
        </w:rPr>
        <w:t xml:space="preserve">veterinárního léčivého </w:t>
      </w:r>
      <w:r w:rsidRPr="00824023">
        <w:rPr>
          <w:sz w:val="22"/>
          <w:szCs w:val="22"/>
          <w:lang w:val="cs-CZ"/>
        </w:rPr>
        <w:t>přípravku může vyvolat intenzivní otok, který může např. končit ischemickou nekrózou</w:t>
      </w:r>
      <w:r w:rsidR="009868B4" w:rsidRPr="00824023">
        <w:rPr>
          <w:sz w:val="22"/>
          <w:szCs w:val="22"/>
          <w:lang w:val="cs-CZ"/>
        </w:rPr>
        <w:t>,</w:t>
      </w:r>
      <w:r w:rsidRPr="00824023">
        <w:rPr>
          <w:sz w:val="22"/>
          <w:szCs w:val="22"/>
          <w:lang w:val="cs-CZ"/>
        </w:rPr>
        <w:t xml:space="preserve"> a dokonce i ztrátou prstu. Odborná, RYCHLÁ chirurgická péče je nutná a může vyžadovat včasné chirurgické otevření a výplach místa, kam byla injekce podána, zvláště tam, kde je zasažena pulpa prstu nebo šlacha.</w:t>
      </w:r>
    </w:p>
    <w:p w14:paraId="6A100B28" w14:textId="0488FB5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4E512479" w14:textId="77777777" w:rsidR="00DD2000" w:rsidRPr="00824023" w:rsidRDefault="00DD2000" w:rsidP="001D7EBD">
      <w:pPr>
        <w:jc w:val="left"/>
        <w:rPr>
          <w:sz w:val="22"/>
          <w:szCs w:val="22"/>
          <w:u w:val="single"/>
          <w:lang w:val="cs-CZ"/>
        </w:rPr>
      </w:pPr>
      <w:r w:rsidRPr="00824023">
        <w:rPr>
          <w:sz w:val="22"/>
          <w:szCs w:val="22"/>
          <w:u w:val="single"/>
          <w:lang w:val="cs-CZ"/>
        </w:rPr>
        <w:t>Zvláštní opatření pro ochranu životního prostředí:</w:t>
      </w:r>
    </w:p>
    <w:p w14:paraId="161EEB1C" w14:textId="5ACC2B77" w:rsidR="00DD2000" w:rsidRPr="00824023" w:rsidRDefault="001E714C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Neuplatňuje se.</w:t>
      </w:r>
    </w:p>
    <w:p w14:paraId="5CF79CF5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0B7C959B" w14:textId="190FC8B9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3.6</w:t>
      </w:r>
      <w:r w:rsidRPr="00824023">
        <w:rPr>
          <w:b/>
          <w:sz w:val="22"/>
          <w:szCs w:val="22"/>
          <w:lang w:val="cs-CZ"/>
        </w:rPr>
        <w:tab/>
        <w:t>Nežádoucí účinky</w:t>
      </w:r>
    </w:p>
    <w:p w14:paraId="0D94222C" w14:textId="77777777" w:rsidR="00DD2000" w:rsidRPr="00824023" w:rsidRDefault="00DD2000" w:rsidP="001D7EBD">
      <w:pPr>
        <w:jc w:val="left"/>
        <w:rPr>
          <w:b/>
          <w:sz w:val="22"/>
          <w:szCs w:val="22"/>
          <w:lang w:val="cs-CZ"/>
        </w:rPr>
      </w:pPr>
    </w:p>
    <w:p w14:paraId="7615883E" w14:textId="4959B58D" w:rsidR="006B45DF" w:rsidRPr="00824023" w:rsidRDefault="000E4EEB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Kur domácí:</w:t>
      </w:r>
    </w:p>
    <w:p w14:paraId="33189701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9"/>
        <w:gridCol w:w="5487"/>
      </w:tblGrid>
      <w:tr w:rsidR="005B34F7" w:rsidRPr="00824023" w14:paraId="66CA0C8D" w14:textId="77777777" w:rsidTr="001D7EBD">
        <w:tc>
          <w:tcPr>
            <w:tcW w:w="1957" w:type="pct"/>
          </w:tcPr>
          <w:p w14:paraId="4C6D53B9" w14:textId="77777777" w:rsidR="005B34F7" w:rsidRPr="00824023" w:rsidRDefault="005B34F7" w:rsidP="001D7EBD">
            <w:pPr>
              <w:tabs>
                <w:tab w:val="left" w:pos="567"/>
              </w:tabs>
              <w:spacing w:line="260" w:lineRule="exact"/>
              <w:jc w:val="left"/>
              <w:rPr>
                <w:sz w:val="22"/>
                <w:szCs w:val="22"/>
                <w:lang w:val="cs-CZ" w:eastAsia="en-US"/>
              </w:rPr>
            </w:pPr>
            <w:r w:rsidRPr="00824023">
              <w:rPr>
                <w:sz w:val="22"/>
                <w:lang w:val="cs-CZ" w:eastAsia="en-US"/>
              </w:rPr>
              <w:t>Velmi časté</w:t>
            </w:r>
          </w:p>
          <w:p w14:paraId="1931C4D7" w14:textId="77777777" w:rsidR="005B34F7" w:rsidRPr="00824023" w:rsidRDefault="005B34F7" w:rsidP="001D7EBD">
            <w:pPr>
              <w:tabs>
                <w:tab w:val="left" w:pos="567"/>
              </w:tabs>
              <w:spacing w:line="260" w:lineRule="exact"/>
              <w:jc w:val="left"/>
              <w:rPr>
                <w:sz w:val="22"/>
                <w:szCs w:val="22"/>
                <w:lang w:val="cs-CZ" w:eastAsia="en-US"/>
              </w:rPr>
            </w:pPr>
            <w:r w:rsidRPr="00824023">
              <w:rPr>
                <w:sz w:val="22"/>
                <w:lang w:val="cs-CZ" w:eastAsia="en-US"/>
              </w:rPr>
              <w:t>(&gt; 1 zvíře / 10 ošetřených zvířat):</w:t>
            </w:r>
          </w:p>
        </w:tc>
        <w:tc>
          <w:tcPr>
            <w:tcW w:w="3043" w:type="pct"/>
            <w:hideMark/>
          </w:tcPr>
          <w:p w14:paraId="25591D69" w14:textId="1ACB8B50" w:rsidR="005B34F7" w:rsidRPr="00824023" w:rsidRDefault="00B80997" w:rsidP="00FE070E">
            <w:pPr>
              <w:tabs>
                <w:tab w:val="left" w:pos="567"/>
              </w:tabs>
              <w:spacing w:before="60" w:after="60" w:line="260" w:lineRule="exact"/>
              <w:jc w:val="left"/>
              <w:rPr>
                <w:iCs/>
                <w:sz w:val="22"/>
                <w:szCs w:val="22"/>
                <w:lang w:val="cs-CZ" w:eastAsia="en-US"/>
              </w:rPr>
            </w:pPr>
            <w:r w:rsidRPr="00824023">
              <w:rPr>
                <w:sz w:val="22"/>
                <w:lang w:val="cs-CZ" w:eastAsia="en-US"/>
              </w:rPr>
              <w:t>Abnormální histologi</w:t>
            </w:r>
            <w:r w:rsidR="008A0D77" w:rsidRPr="00824023">
              <w:rPr>
                <w:sz w:val="22"/>
                <w:lang w:val="cs-CZ" w:eastAsia="en-US"/>
              </w:rPr>
              <w:t>e</w:t>
            </w:r>
            <w:r w:rsidR="0050093F" w:rsidRPr="00824023">
              <w:rPr>
                <w:sz w:val="22"/>
                <w:vertAlign w:val="superscript"/>
                <w:lang w:val="cs-CZ" w:eastAsia="en-US"/>
              </w:rPr>
              <w:t>1</w:t>
            </w:r>
          </w:p>
        </w:tc>
      </w:tr>
    </w:tbl>
    <w:p w14:paraId="1CA7A37D" w14:textId="1196B000" w:rsidR="00DC761A" w:rsidRPr="00824023" w:rsidRDefault="00D67153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vertAlign w:val="superscript"/>
          <w:lang w:val="cs-CZ"/>
        </w:rPr>
        <w:lastRenderedPageBreak/>
        <w:t>1</w:t>
      </w:r>
      <w:r w:rsidRPr="00824023">
        <w:rPr>
          <w:sz w:val="22"/>
          <w:szCs w:val="22"/>
          <w:lang w:val="cs-CZ"/>
        </w:rPr>
        <w:t xml:space="preserve"> </w:t>
      </w:r>
      <w:bookmarkStart w:id="0" w:name="_Hlk157599020"/>
      <w:r w:rsidR="008A0D77" w:rsidRPr="00824023">
        <w:rPr>
          <w:sz w:val="22"/>
          <w:szCs w:val="22"/>
          <w:lang w:val="cs-CZ"/>
        </w:rPr>
        <w:t>V místě injekčního podání.</w:t>
      </w:r>
      <w:bookmarkEnd w:id="0"/>
      <w:r w:rsidR="008A0D77" w:rsidRPr="00824023">
        <w:rPr>
          <w:sz w:val="22"/>
          <w:szCs w:val="22"/>
          <w:lang w:val="cs-CZ"/>
        </w:rPr>
        <w:t xml:space="preserve"> </w:t>
      </w:r>
      <w:r w:rsidR="009E7D5B" w:rsidRPr="00824023">
        <w:rPr>
          <w:sz w:val="22"/>
          <w:szCs w:val="22"/>
          <w:lang w:val="cs-CZ"/>
        </w:rPr>
        <w:t>T</w:t>
      </w:r>
      <w:r w:rsidRPr="00824023">
        <w:rPr>
          <w:sz w:val="22"/>
          <w:szCs w:val="22"/>
          <w:lang w:val="cs-CZ"/>
        </w:rPr>
        <w:t xml:space="preserve">ři týdny po vakcinaci </w:t>
      </w:r>
      <w:r w:rsidR="009E7D5B" w:rsidRPr="00824023">
        <w:rPr>
          <w:sz w:val="22"/>
          <w:szCs w:val="22"/>
          <w:lang w:val="cs-CZ"/>
        </w:rPr>
        <w:t xml:space="preserve">byly </w:t>
      </w:r>
      <w:r w:rsidRPr="00824023">
        <w:rPr>
          <w:sz w:val="22"/>
          <w:szCs w:val="22"/>
          <w:lang w:val="cs-CZ"/>
        </w:rPr>
        <w:t>v</w:t>
      </w:r>
      <w:r w:rsidR="0028362B" w:rsidRPr="00824023">
        <w:rPr>
          <w:sz w:val="22"/>
          <w:szCs w:val="22"/>
          <w:lang w:val="cs-CZ"/>
        </w:rPr>
        <w:t> </w:t>
      </w:r>
      <w:r w:rsidRPr="00824023">
        <w:rPr>
          <w:sz w:val="22"/>
          <w:szCs w:val="22"/>
          <w:lang w:val="cs-CZ"/>
        </w:rPr>
        <w:t>87</w:t>
      </w:r>
      <w:r w:rsidR="0028362B" w:rsidRPr="00824023">
        <w:rPr>
          <w:sz w:val="22"/>
          <w:szCs w:val="22"/>
          <w:lang w:val="cs-CZ"/>
        </w:rPr>
        <w:t xml:space="preserve"> </w:t>
      </w:r>
      <w:r w:rsidRPr="00824023">
        <w:rPr>
          <w:sz w:val="22"/>
          <w:szCs w:val="22"/>
          <w:lang w:val="cs-CZ"/>
        </w:rPr>
        <w:t>% případů histologicky pozorovány tkáňové léze spojené s olejovým adjuvans</w:t>
      </w:r>
      <w:r w:rsidR="00253E23" w:rsidRPr="00824023">
        <w:rPr>
          <w:sz w:val="22"/>
          <w:szCs w:val="22"/>
          <w:lang w:val="cs-CZ"/>
        </w:rPr>
        <w:t xml:space="preserve">, </w:t>
      </w:r>
      <w:r w:rsidRPr="00824023">
        <w:rPr>
          <w:sz w:val="22"/>
          <w:szCs w:val="22"/>
          <w:lang w:val="cs-CZ"/>
        </w:rPr>
        <w:t>např. malé množství olejových reziduí a příležitostně aseptické mikroabscesy.</w:t>
      </w:r>
      <w:r w:rsidR="003420D8" w:rsidRPr="00824023">
        <w:rPr>
          <w:sz w:val="22"/>
          <w:szCs w:val="22"/>
          <w:lang w:val="cs-CZ"/>
        </w:rPr>
        <w:t xml:space="preserve"> </w:t>
      </w:r>
      <w:r w:rsidR="00541CDC" w:rsidRPr="00824023">
        <w:rPr>
          <w:sz w:val="22"/>
          <w:szCs w:val="22"/>
          <w:lang w:val="cs-CZ"/>
        </w:rPr>
        <w:t>N</w:t>
      </w:r>
      <w:r w:rsidR="003420D8" w:rsidRPr="00824023">
        <w:rPr>
          <w:sz w:val="22"/>
          <w:szCs w:val="22"/>
          <w:lang w:val="cs-CZ"/>
        </w:rPr>
        <w:t>ebyly pozorovány žádné reakce</w:t>
      </w:r>
      <w:r w:rsidR="008A0D77" w:rsidRPr="00824023">
        <w:rPr>
          <w:sz w:val="22"/>
          <w:szCs w:val="22"/>
          <w:lang w:val="cs-CZ"/>
        </w:rPr>
        <w:t xml:space="preserve"> zjistitelné pohmatem</w:t>
      </w:r>
      <w:r w:rsidR="003420D8" w:rsidRPr="00824023">
        <w:rPr>
          <w:sz w:val="22"/>
          <w:szCs w:val="22"/>
          <w:lang w:val="cs-CZ"/>
        </w:rPr>
        <w:t>.</w:t>
      </w:r>
    </w:p>
    <w:p w14:paraId="2FAD31F3" w14:textId="77777777" w:rsidR="0050093F" w:rsidRPr="00824023" w:rsidRDefault="0050093F" w:rsidP="001D7EBD">
      <w:pPr>
        <w:jc w:val="left"/>
        <w:rPr>
          <w:sz w:val="22"/>
          <w:szCs w:val="22"/>
          <w:lang w:val="cs-CZ"/>
        </w:rPr>
      </w:pPr>
    </w:p>
    <w:p w14:paraId="09AED01B" w14:textId="33AD6D0A" w:rsidR="000E4EEB" w:rsidRPr="00824023" w:rsidRDefault="00DC761A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Podrobné kontaktní údaje naleznete v příbalové informaci.</w:t>
      </w:r>
    </w:p>
    <w:p w14:paraId="4F8B0F45" w14:textId="77777777" w:rsidR="006B45DF" w:rsidRPr="00824023" w:rsidRDefault="006B45DF" w:rsidP="001D7EBD">
      <w:pPr>
        <w:jc w:val="left"/>
        <w:rPr>
          <w:b/>
          <w:sz w:val="22"/>
          <w:szCs w:val="22"/>
          <w:lang w:val="cs-CZ"/>
        </w:rPr>
      </w:pPr>
    </w:p>
    <w:p w14:paraId="33796765" w14:textId="2B00D7E0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3.7</w:t>
      </w:r>
      <w:r w:rsidRPr="00824023">
        <w:rPr>
          <w:b/>
          <w:sz w:val="22"/>
          <w:szCs w:val="22"/>
          <w:lang w:val="cs-CZ"/>
        </w:rPr>
        <w:tab/>
        <w:t>Použití v průběhu březosti, laktace nebo snášky</w:t>
      </w:r>
    </w:p>
    <w:p w14:paraId="5A6669D1" w14:textId="7777777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53804F54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Nepoužívat u nosnic ve snášce a během 4 týdnů před počátkem snášky.</w:t>
      </w:r>
    </w:p>
    <w:p w14:paraId="7C7027D9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54604FE9" w14:textId="3B26E6B5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3.8</w:t>
      </w:r>
      <w:r w:rsidRPr="00824023">
        <w:rPr>
          <w:b/>
          <w:sz w:val="22"/>
          <w:szCs w:val="22"/>
          <w:lang w:val="cs-CZ"/>
        </w:rPr>
        <w:tab/>
        <w:t>Interakce s jinými léčivými přípravky a další formy interakce</w:t>
      </w:r>
    </w:p>
    <w:p w14:paraId="5E6D8857" w14:textId="7777777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0DE6905D" w14:textId="0B93EF7C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Nejsou dostupné informace o bezpečnosti a účinnosti této vakcíny, pokud </w:t>
      </w:r>
      <w:r w:rsidR="00D3081A" w:rsidRPr="00824023">
        <w:rPr>
          <w:sz w:val="22"/>
          <w:szCs w:val="22"/>
          <w:lang w:val="cs-CZ"/>
        </w:rPr>
        <w:t>se používá</w:t>
      </w:r>
      <w:r w:rsidRPr="00824023">
        <w:rPr>
          <w:sz w:val="22"/>
          <w:szCs w:val="22"/>
          <w:lang w:val="cs-CZ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613CF6C8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3B327457" w14:textId="7A40C2A9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3.9</w:t>
      </w:r>
      <w:r w:rsidRPr="00824023">
        <w:rPr>
          <w:b/>
          <w:sz w:val="22"/>
          <w:szCs w:val="22"/>
          <w:lang w:val="cs-CZ"/>
        </w:rPr>
        <w:tab/>
        <w:t>Cesty podání a dávkování</w:t>
      </w:r>
    </w:p>
    <w:p w14:paraId="2178CB47" w14:textId="7777777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19A60D71" w14:textId="3B9E3306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Podejte intramuskulárně jednu dávku (0,3 ml) od 18 týdnů věku, ne dříve než 4 týdny po primovakcinaci živými vakcínami proti Newcastleské chorobě (kmen Hitchner B1 nebo VG/</w:t>
      </w:r>
      <w:r w:rsidR="00F36170" w:rsidRPr="00824023">
        <w:rPr>
          <w:sz w:val="22"/>
          <w:szCs w:val="22"/>
          <w:lang w:val="cs-CZ"/>
        </w:rPr>
        <w:t>GA – AVINEW</w:t>
      </w:r>
      <w:r w:rsidRPr="00824023">
        <w:rPr>
          <w:sz w:val="22"/>
          <w:szCs w:val="22"/>
          <w:lang w:val="cs-CZ"/>
        </w:rPr>
        <w:t xml:space="preserve">), infekční bronchitidě (kmen Mass H120) a </w:t>
      </w:r>
      <w:r w:rsidR="008A0D77" w:rsidRPr="00824023">
        <w:rPr>
          <w:sz w:val="22"/>
          <w:szCs w:val="22"/>
          <w:lang w:val="cs-CZ"/>
        </w:rPr>
        <w:t xml:space="preserve">pneumoviru ptáků </w:t>
      </w:r>
      <w:r w:rsidRPr="00824023">
        <w:rPr>
          <w:sz w:val="22"/>
          <w:szCs w:val="22"/>
          <w:lang w:val="cs-CZ"/>
        </w:rPr>
        <w:t>(kmen PL21).</w:t>
      </w:r>
    </w:p>
    <w:p w14:paraId="125E67BE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4ABEA6A2" w14:textId="3F182DEB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Před použitím dobře protřepat.</w:t>
      </w:r>
    </w:p>
    <w:p w14:paraId="0F0B810D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Aplikujte obvyklé aseptické postupy.</w:t>
      </w:r>
    </w:p>
    <w:p w14:paraId="2AF97A10" w14:textId="13E96F6E" w:rsidR="006B45DF" w:rsidRPr="00824023" w:rsidRDefault="008A0D77" w:rsidP="001D7EBD">
      <w:pPr>
        <w:jc w:val="left"/>
        <w:rPr>
          <w:sz w:val="22"/>
          <w:szCs w:val="22"/>
          <w:lang w:val="cs-CZ"/>
        </w:rPr>
      </w:pPr>
      <w:bookmarkStart w:id="1" w:name="_Hlk157599219"/>
      <w:r w:rsidRPr="00824023">
        <w:rPr>
          <w:sz w:val="22"/>
          <w:szCs w:val="22"/>
          <w:lang w:val="cs-CZ"/>
        </w:rPr>
        <w:t>Nepoužívejte injekční stříkačky s písty z přírodního kaučuku nebo butyl elastomeru.</w:t>
      </w:r>
      <w:bookmarkEnd w:id="1"/>
      <w:r w:rsidR="00D02671" w:rsidRPr="00824023">
        <w:rPr>
          <w:sz w:val="22"/>
          <w:szCs w:val="22"/>
          <w:lang w:val="cs-CZ"/>
        </w:rPr>
        <w:t xml:space="preserve"> </w:t>
      </w:r>
      <w:r w:rsidR="006B45DF" w:rsidRPr="00824023">
        <w:rPr>
          <w:sz w:val="22"/>
          <w:szCs w:val="22"/>
          <w:lang w:val="cs-CZ"/>
        </w:rPr>
        <w:t>Použijte pouze sterilní injekční materiál, včetně jehly a stříkačky.</w:t>
      </w:r>
    </w:p>
    <w:p w14:paraId="3FCC6EBC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276772F3" w14:textId="70E14616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3.10</w:t>
      </w:r>
      <w:r w:rsidRPr="00824023">
        <w:rPr>
          <w:b/>
          <w:sz w:val="22"/>
          <w:szCs w:val="22"/>
          <w:lang w:val="cs-CZ"/>
        </w:rPr>
        <w:tab/>
        <w:t>Příznaky předávkování (a kde je relevantní, první pomoc a antidota)</w:t>
      </w:r>
    </w:p>
    <w:p w14:paraId="0D4AA4C5" w14:textId="7777777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517A16C3" w14:textId="6791D2F9" w:rsidR="00086217" w:rsidRPr="00824023" w:rsidRDefault="00281B39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Kromě nežádoucích účinků uvedených v bodu "Nežádoucí účinky" se po podání dvojnásobné dávky vakcíny může </w:t>
      </w:r>
      <w:r w:rsidR="00852E43" w:rsidRPr="00824023">
        <w:rPr>
          <w:sz w:val="22"/>
          <w:szCs w:val="22"/>
          <w:lang w:val="cs-CZ"/>
        </w:rPr>
        <w:t>objevit</w:t>
      </w:r>
      <w:r w:rsidRPr="00824023">
        <w:rPr>
          <w:sz w:val="22"/>
          <w:szCs w:val="22"/>
          <w:lang w:val="cs-CZ"/>
        </w:rPr>
        <w:t xml:space="preserve"> přechodná apatie a mírný otok v místě </w:t>
      </w:r>
      <w:r w:rsidR="00D02671" w:rsidRPr="00824023">
        <w:rPr>
          <w:sz w:val="22"/>
          <w:szCs w:val="22"/>
          <w:lang w:val="cs-CZ"/>
        </w:rPr>
        <w:t xml:space="preserve">injekčního </w:t>
      </w:r>
      <w:r w:rsidRPr="00824023">
        <w:rPr>
          <w:sz w:val="22"/>
          <w:szCs w:val="22"/>
          <w:lang w:val="cs-CZ"/>
        </w:rPr>
        <w:t>podání.</w:t>
      </w:r>
    </w:p>
    <w:p w14:paraId="24895F16" w14:textId="5ABAA401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4D5B15C5" w14:textId="77777777" w:rsidR="00DD2000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3.11</w:t>
      </w:r>
      <w:r w:rsidRPr="00824023">
        <w:rPr>
          <w:b/>
          <w:sz w:val="22"/>
          <w:szCs w:val="22"/>
          <w:lang w:val="cs-CZ"/>
        </w:rPr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659E00D7" w14:textId="77777777" w:rsidR="00DD2000" w:rsidRPr="00824023" w:rsidRDefault="00DD2000" w:rsidP="001D7EBD">
      <w:pPr>
        <w:jc w:val="left"/>
        <w:rPr>
          <w:b/>
          <w:sz w:val="22"/>
          <w:szCs w:val="22"/>
          <w:lang w:val="cs-CZ"/>
        </w:rPr>
      </w:pPr>
    </w:p>
    <w:p w14:paraId="1E6817F7" w14:textId="4BE9A4E8" w:rsidR="002638D9" w:rsidRPr="00824023" w:rsidRDefault="00281B39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Neuplatňuje se.</w:t>
      </w:r>
    </w:p>
    <w:p w14:paraId="5D682E39" w14:textId="77777777" w:rsidR="00281B39" w:rsidRPr="00824023" w:rsidRDefault="00281B39" w:rsidP="001D7EBD">
      <w:pPr>
        <w:jc w:val="left"/>
        <w:rPr>
          <w:sz w:val="22"/>
          <w:szCs w:val="22"/>
          <w:lang w:val="cs-CZ"/>
        </w:rPr>
      </w:pPr>
    </w:p>
    <w:p w14:paraId="51222994" w14:textId="2BA3B5FC" w:rsidR="006B45DF" w:rsidRPr="00824023" w:rsidRDefault="00DD2000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3.12</w:t>
      </w:r>
      <w:r w:rsidRPr="00824023">
        <w:rPr>
          <w:b/>
          <w:sz w:val="22"/>
          <w:szCs w:val="22"/>
          <w:lang w:val="cs-CZ"/>
        </w:rPr>
        <w:tab/>
        <w:t>Ochranné lhůty</w:t>
      </w:r>
    </w:p>
    <w:p w14:paraId="4289479C" w14:textId="77777777" w:rsidR="00DD2000" w:rsidRPr="00824023" w:rsidRDefault="00DD2000" w:rsidP="001D7EBD">
      <w:pPr>
        <w:jc w:val="left"/>
        <w:rPr>
          <w:sz w:val="22"/>
          <w:szCs w:val="22"/>
          <w:lang w:val="cs-CZ"/>
        </w:rPr>
      </w:pPr>
    </w:p>
    <w:p w14:paraId="26A1E2F1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Bez ochranných lhůt.</w:t>
      </w:r>
    </w:p>
    <w:p w14:paraId="407CF3FF" w14:textId="77777777" w:rsidR="002C27F9" w:rsidRPr="00824023" w:rsidRDefault="002C27F9" w:rsidP="001D7EBD">
      <w:pPr>
        <w:jc w:val="left"/>
        <w:rPr>
          <w:sz w:val="22"/>
          <w:szCs w:val="22"/>
          <w:lang w:val="cs-CZ"/>
        </w:rPr>
      </w:pPr>
    </w:p>
    <w:p w14:paraId="2B8BF8AA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367C8879" w14:textId="38CB6599" w:rsidR="006B45DF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4.</w:t>
      </w:r>
      <w:r w:rsidRPr="00824023">
        <w:rPr>
          <w:b/>
          <w:sz w:val="22"/>
          <w:szCs w:val="22"/>
          <w:lang w:val="cs-CZ"/>
        </w:rPr>
        <w:tab/>
        <w:t>IMUNOLOGICKÉ INFORMACE</w:t>
      </w:r>
    </w:p>
    <w:p w14:paraId="286B9624" w14:textId="77777777" w:rsidR="00B8157A" w:rsidRPr="00824023" w:rsidRDefault="00B8157A" w:rsidP="001D7EBD">
      <w:pPr>
        <w:jc w:val="left"/>
        <w:rPr>
          <w:sz w:val="22"/>
          <w:szCs w:val="22"/>
          <w:lang w:val="cs-CZ"/>
        </w:rPr>
      </w:pPr>
    </w:p>
    <w:p w14:paraId="0EA33158" w14:textId="669D1B04" w:rsidR="00B8157A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4.1</w:t>
      </w:r>
      <w:r w:rsidRPr="00824023">
        <w:rPr>
          <w:b/>
          <w:sz w:val="22"/>
          <w:szCs w:val="22"/>
          <w:lang w:val="cs-CZ"/>
        </w:rPr>
        <w:tab/>
        <w:t>ATCvet kód:</w:t>
      </w:r>
      <w:r w:rsidR="0031630E" w:rsidRPr="00824023">
        <w:rPr>
          <w:b/>
          <w:sz w:val="22"/>
          <w:szCs w:val="22"/>
          <w:lang w:val="cs-CZ"/>
        </w:rPr>
        <w:t xml:space="preserve"> </w:t>
      </w:r>
      <w:r w:rsidR="0031630E" w:rsidRPr="00824023">
        <w:rPr>
          <w:sz w:val="22"/>
          <w:szCs w:val="22"/>
          <w:lang w:val="cs-CZ"/>
        </w:rPr>
        <w:t>QIO1AA18</w:t>
      </w:r>
    </w:p>
    <w:p w14:paraId="05C7ED4D" w14:textId="77777777" w:rsidR="0031630E" w:rsidRPr="00824023" w:rsidRDefault="0031630E" w:rsidP="001D7EBD">
      <w:pPr>
        <w:jc w:val="left"/>
        <w:rPr>
          <w:sz w:val="22"/>
          <w:szCs w:val="22"/>
          <w:lang w:val="cs-CZ"/>
        </w:rPr>
      </w:pPr>
    </w:p>
    <w:p w14:paraId="628C4FA3" w14:textId="1AD54294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Inaktivovaná vakcína v olejovém adjuvans proti Newcastleské chorobě, infekční bronchitidě, syndromu poklesu snášky (EDS76) a syndromu otekl</w:t>
      </w:r>
      <w:r w:rsidR="00D02671" w:rsidRPr="00824023">
        <w:rPr>
          <w:sz w:val="22"/>
          <w:szCs w:val="22"/>
          <w:lang w:val="cs-CZ"/>
        </w:rPr>
        <w:t>é</w:t>
      </w:r>
      <w:r w:rsidRPr="00824023">
        <w:rPr>
          <w:sz w:val="22"/>
          <w:szCs w:val="22"/>
          <w:lang w:val="cs-CZ"/>
        </w:rPr>
        <w:t xml:space="preserve"> hlav</w:t>
      </w:r>
      <w:r w:rsidR="00D02671" w:rsidRPr="00824023">
        <w:rPr>
          <w:sz w:val="22"/>
          <w:szCs w:val="22"/>
          <w:lang w:val="cs-CZ"/>
        </w:rPr>
        <w:t>y</w:t>
      </w:r>
      <w:r w:rsidRPr="00824023">
        <w:rPr>
          <w:sz w:val="22"/>
          <w:szCs w:val="22"/>
          <w:lang w:val="cs-CZ"/>
        </w:rPr>
        <w:t>.</w:t>
      </w:r>
    </w:p>
    <w:p w14:paraId="6CF33F74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4AD6480A" w14:textId="3AC8B1D5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lastRenderedPageBreak/>
        <w:t xml:space="preserve">Vakcína stimuluje aktivní imunitu </w:t>
      </w:r>
      <w:r w:rsidR="0031630E" w:rsidRPr="00824023">
        <w:rPr>
          <w:sz w:val="22"/>
          <w:szCs w:val="22"/>
          <w:lang w:val="cs-CZ"/>
        </w:rPr>
        <w:t>chovných a nosných</w:t>
      </w:r>
      <w:r w:rsidRPr="00824023">
        <w:rPr>
          <w:sz w:val="22"/>
          <w:szCs w:val="22"/>
          <w:lang w:val="cs-CZ"/>
        </w:rPr>
        <w:t xml:space="preserve"> kuřic proti syndromu poklesu snášky (EDS76) (bez primární vakcinace), Newcastleské chorobě, infekční bronchitidě a syndromu otekl</w:t>
      </w:r>
      <w:r w:rsidR="00D02671" w:rsidRPr="00824023">
        <w:rPr>
          <w:sz w:val="22"/>
          <w:szCs w:val="22"/>
          <w:lang w:val="cs-CZ"/>
        </w:rPr>
        <w:t>é</w:t>
      </w:r>
      <w:r w:rsidRPr="00824023">
        <w:rPr>
          <w:sz w:val="22"/>
          <w:szCs w:val="22"/>
          <w:lang w:val="cs-CZ"/>
        </w:rPr>
        <w:t xml:space="preserve"> hlav</w:t>
      </w:r>
      <w:r w:rsidR="00D02671" w:rsidRPr="00824023">
        <w:rPr>
          <w:sz w:val="22"/>
          <w:szCs w:val="22"/>
          <w:lang w:val="cs-CZ"/>
        </w:rPr>
        <w:t>y</w:t>
      </w:r>
      <w:r w:rsidRPr="00824023">
        <w:rPr>
          <w:sz w:val="22"/>
          <w:szCs w:val="22"/>
          <w:lang w:val="cs-CZ"/>
        </w:rPr>
        <w:t xml:space="preserve"> po předchozím podání živých vakcín proti těmto chorobám. </w:t>
      </w:r>
    </w:p>
    <w:p w14:paraId="33292C9F" w14:textId="77777777" w:rsidR="002C27F9" w:rsidRPr="00824023" w:rsidRDefault="002C27F9" w:rsidP="001D7EBD">
      <w:pPr>
        <w:jc w:val="left"/>
        <w:rPr>
          <w:sz w:val="22"/>
          <w:szCs w:val="22"/>
          <w:lang w:val="cs-CZ"/>
        </w:rPr>
      </w:pPr>
    </w:p>
    <w:p w14:paraId="19968E10" w14:textId="77777777" w:rsidR="00073076" w:rsidRPr="00824023" w:rsidRDefault="00073076" w:rsidP="001D7EBD">
      <w:pPr>
        <w:jc w:val="left"/>
        <w:rPr>
          <w:sz w:val="22"/>
          <w:szCs w:val="22"/>
          <w:lang w:val="cs-CZ"/>
        </w:rPr>
      </w:pPr>
    </w:p>
    <w:p w14:paraId="1F11D8F7" w14:textId="405B13CB" w:rsidR="00B8157A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5.</w:t>
      </w:r>
      <w:r w:rsidRPr="00824023">
        <w:rPr>
          <w:b/>
          <w:sz w:val="22"/>
          <w:szCs w:val="22"/>
          <w:lang w:val="cs-CZ"/>
        </w:rPr>
        <w:tab/>
        <w:t>FARMACEUTICKÉ ÚDAJE</w:t>
      </w:r>
    </w:p>
    <w:p w14:paraId="1E5E124C" w14:textId="77777777" w:rsidR="006B45DF" w:rsidRPr="00824023" w:rsidRDefault="006B45DF" w:rsidP="001D7EBD">
      <w:pPr>
        <w:jc w:val="left"/>
        <w:rPr>
          <w:b/>
          <w:sz w:val="22"/>
          <w:szCs w:val="22"/>
          <w:lang w:val="cs-CZ"/>
        </w:rPr>
      </w:pPr>
    </w:p>
    <w:p w14:paraId="41A260AB" w14:textId="56CC8857" w:rsidR="006B45DF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5.1</w:t>
      </w:r>
      <w:r w:rsidRPr="00824023">
        <w:rPr>
          <w:b/>
          <w:sz w:val="22"/>
          <w:szCs w:val="22"/>
          <w:lang w:val="cs-CZ"/>
        </w:rPr>
        <w:tab/>
        <w:t>Hlavní inkompatibility</w:t>
      </w:r>
    </w:p>
    <w:p w14:paraId="7F976837" w14:textId="77777777" w:rsidR="00B8157A" w:rsidRPr="00824023" w:rsidRDefault="00B8157A" w:rsidP="001D7EBD">
      <w:pPr>
        <w:jc w:val="left"/>
        <w:rPr>
          <w:sz w:val="22"/>
          <w:szCs w:val="22"/>
          <w:lang w:val="cs-CZ"/>
        </w:rPr>
      </w:pPr>
    </w:p>
    <w:p w14:paraId="0D63692D" w14:textId="51E80ADA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Nemísit s </w:t>
      </w:r>
      <w:r w:rsidR="00AB140F" w:rsidRPr="00824023">
        <w:rPr>
          <w:sz w:val="22"/>
          <w:szCs w:val="22"/>
          <w:lang w:val="cs-CZ"/>
        </w:rPr>
        <w:t xml:space="preserve">jiným veterinárním léčivým </w:t>
      </w:r>
      <w:r w:rsidRPr="00824023">
        <w:rPr>
          <w:sz w:val="22"/>
          <w:szCs w:val="22"/>
          <w:lang w:val="cs-CZ"/>
        </w:rPr>
        <w:t>přípravkem.</w:t>
      </w:r>
    </w:p>
    <w:p w14:paraId="39C689C9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02ABC692" w14:textId="71C22517" w:rsidR="006B45DF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5.2</w:t>
      </w:r>
      <w:r w:rsidRPr="00824023">
        <w:rPr>
          <w:b/>
          <w:sz w:val="22"/>
          <w:szCs w:val="22"/>
          <w:lang w:val="cs-CZ"/>
        </w:rPr>
        <w:tab/>
        <w:t>Doba použitelnosti</w:t>
      </w:r>
    </w:p>
    <w:p w14:paraId="4015C8E2" w14:textId="77777777" w:rsidR="00B8157A" w:rsidRPr="00824023" w:rsidRDefault="00B8157A" w:rsidP="001D7EBD">
      <w:pPr>
        <w:jc w:val="left"/>
        <w:rPr>
          <w:sz w:val="22"/>
          <w:szCs w:val="22"/>
          <w:lang w:val="cs-CZ"/>
        </w:rPr>
      </w:pPr>
    </w:p>
    <w:p w14:paraId="12ED8271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Doba použitelnosti veterinárního léčivého přípravku v neporušeném obalu: 18 měsíců.</w:t>
      </w:r>
    </w:p>
    <w:p w14:paraId="3CB1F3C2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Doba použitelnosti po prvním otevření vnitřního obalu: spotřebujte ihned.</w:t>
      </w:r>
    </w:p>
    <w:p w14:paraId="11E127A1" w14:textId="77777777" w:rsidR="00546621" w:rsidRPr="00824023" w:rsidRDefault="00546621" w:rsidP="001D7EBD">
      <w:pPr>
        <w:jc w:val="left"/>
        <w:rPr>
          <w:sz w:val="22"/>
          <w:szCs w:val="22"/>
          <w:lang w:val="cs-CZ"/>
        </w:rPr>
      </w:pPr>
    </w:p>
    <w:p w14:paraId="4E0F1D87" w14:textId="62FA63C7" w:rsidR="006B45DF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5.3</w:t>
      </w:r>
      <w:r w:rsidRPr="00824023">
        <w:rPr>
          <w:b/>
          <w:sz w:val="22"/>
          <w:szCs w:val="22"/>
          <w:lang w:val="cs-CZ"/>
        </w:rPr>
        <w:tab/>
        <w:t>Zvláštní opatření pro uchovávání</w:t>
      </w:r>
    </w:p>
    <w:p w14:paraId="3AD2A83A" w14:textId="77777777" w:rsidR="00B8157A" w:rsidRPr="00824023" w:rsidRDefault="00B8157A" w:rsidP="001D7EBD">
      <w:pPr>
        <w:jc w:val="left"/>
        <w:rPr>
          <w:sz w:val="22"/>
          <w:szCs w:val="22"/>
          <w:lang w:val="cs-CZ"/>
        </w:rPr>
      </w:pPr>
    </w:p>
    <w:p w14:paraId="34ECA48D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Uchovávejte a přepravujte chlazené (</w:t>
      </w:r>
      <w:smartTag w:uri="urn:schemas-microsoft-com:office:smarttags" w:element="metricconverter">
        <w:smartTagPr>
          <w:attr w:name="ProductID" w:val="2ﾰC"/>
        </w:smartTagPr>
        <w:r w:rsidRPr="00824023">
          <w:rPr>
            <w:sz w:val="22"/>
            <w:szCs w:val="22"/>
            <w:lang w:val="cs-CZ"/>
          </w:rPr>
          <w:t>2°C</w:t>
        </w:r>
      </w:smartTag>
      <w:r w:rsidRPr="00824023">
        <w:rPr>
          <w:sz w:val="22"/>
          <w:szCs w:val="22"/>
          <w:lang w:val="cs-CZ"/>
        </w:rPr>
        <w:t xml:space="preserve"> - </w:t>
      </w:r>
      <w:smartTag w:uri="urn:schemas-microsoft-com:office:smarttags" w:element="metricconverter">
        <w:smartTagPr>
          <w:attr w:name="ProductID" w:val="8ﾰC"/>
        </w:smartTagPr>
        <w:r w:rsidRPr="00824023">
          <w:rPr>
            <w:sz w:val="22"/>
            <w:szCs w:val="22"/>
            <w:lang w:val="cs-CZ"/>
          </w:rPr>
          <w:t>8°C</w:t>
        </w:r>
      </w:smartTag>
      <w:r w:rsidRPr="00824023">
        <w:rPr>
          <w:sz w:val="22"/>
          <w:szCs w:val="22"/>
          <w:lang w:val="cs-CZ"/>
        </w:rPr>
        <w:t xml:space="preserve">). </w:t>
      </w:r>
    </w:p>
    <w:p w14:paraId="75718D43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Chraňte před mrazem.</w:t>
      </w:r>
    </w:p>
    <w:p w14:paraId="20452D97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Chraňte před světlem. </w:t>
      </w:r>
    </w:p>
    <w:p w14:paraId="18F2C337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5A122DAF" w14:textId="734EAF07" w:rsidR="006B45DF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5.4</w:t>
      </w:r>
      <w:r w:rsidRPr="00824023">
        <w:rPr>
          <w:b/>
          <w:sz w:val="22"/>
          <w:szCs w:val="22"/>
          <w:lang w:val="cs-CZ"/>
        </w:rPr>
        <w:tab/>
        <w:t>Druh a složení vnitřního obalu</w:t>
      </w:r>
    </w:p>
    <w:p w14:paraId="2C9D9688" w14:textId="77777777" w:rsidR="00B8157A" w:rsidRPr="00824023" w:rsidRDefault="00B8157A" w:rsidP="001D7EBD">
      <w:pPr>
        <w:jc w:val="left"/>
        <w:rPr>
          <w:sz w:val="22"/>
          <w:szCs w:val="22"/>
          <w:lang w:val="cs-CZ"/>
        </w:rPr>
      </w:pPr>
    </w:p>
    <w:p w14:paraId="066F8179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Prvky primárního obalu:</w:t>
      </w:r>
    </w:p>
    <w:p w14:paraId="7EC6ABD6" w14:textId="4DF53CC3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 -  polypropylenová l</w:t>
      </w:r>
      <w:r w:rsidR="00023889" w:rsidRPr="00824023">
        <w:rPr>
          <w:sz w:val="22"/>
          <w:szCs w:val="22"/>
          <w:lang w:val="cs-CZ"/>
        </w:rPr>
        <w:t>a</w:t>
      </w:r>
      <w:r w:rsidRPr="00824023">
        <w:rPr>
          <w:sz w:val="22"/>
          <w:szCs w:val="22"/>
          <w:lang w:val="cs-CZ"/>
        </w:rPr>
        <w:t>hev</w:t>
      </w:r>
    </w:p>
    <w:p w14:paraId="26BB2961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 -  nitril elastomerová zátka</w:t>
      </w:r>
    </w:p>
    <w:p w14:paraId="752F32CB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 -  hliníková pertle</w:t>
      </w:r>
    </w:p>
    <w:p w14:paraId="2EBC9DAB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14F96FC8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Velikosti balení:</w:t>
      </w:r>
    </w:p>
    <w:p w14:paraId="40420A26" w14:textId="5428F070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150 ml (500 dávek) l</w:t>
      </w:r>
      <w:r w:rsidR="00023889" w:rsidRPr="00824023">
        <w:rPr>
          <w:sz w:val="22"/>
          <w:szCs w:val="22"/>
          <w:lang w:val="cs-CZ"/>
        </w:rPr>
        <w:t>a</w:t>
      </w:r>
      <w:r w:rsidRPr="00824023">
        <w:rPr>
          <w:sz w:val="22"/>
          <w:szCs w:val="22"/>
          <w:lang w:val="cs-CZ"/>
        </w:rPr>
        <w:t>hev.</w:t>
      </w:r>
    </w:p>
    <w:p w14:paraId="408C1A03" w14:textId="419CCC3C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150 ml (500 dávek) l</w:t>
      </w:r>
      <w:r w:rsidR="00023889" w:rsidRPr="00824023">
        <w:rPr>
          <w:sz w:val="22"/>
          <w:szCs w:val="22"/>
          <w:lang w:val="cs-CZ"/>
        </w:rPr>
        <w:t>a</w:t>
      </w:r>
      <w:r w:rsidRPr="00824023">
        <w:rPr>
          <w:sz w:val="22"/>
          <w:szCs w:val="22"/>
          <w:lang w:val="cs-CZ"/>
        </w:rPr>
        <w:t>hev, balení 10 lahví.</w:t>
      </w:r>
    </w:p>
    <w:p w14:paraId="59CEC67F" w14:textId="3753E194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300 ml (1</w:t>
      </w:r>
      <w:r w:rsidR="00AA251F" w:rsidRPr="00824023">
        <w:rPr>
          <w:sz w:val="22"/>
          <w:szCs w:val="22"/>
          <w:lang w:val="cs-CZ"/>
        </w:rPr>
        <w:t xml:space="preserve"> </w:t>
      </w:r>
      <w:r w:rsidRPr="00824023">
        <w:rPr>
          <w:sz w:val="22"/>
          <w:szCs w:val="22"/>
          <w:lang w:val="cs-CZ"/>
        </w:rPr>
        <w:t>000 dávek) l</w:t>
      </w:r>
      <w:r w:rsidR="00023889" w:rsidRPr="00824023">
        <w:rPr>
          <w:sz w:val="22"/>
          <w:szCs w:val="22"/>
          <w:lang w:val="cs-CZ"/>
        </w:rPr>
        <w:t>a</w:t>
      </w:r>
      <w:r w:rsidRPr="00824023">
        <w:rPr>
          <w:sz w:val="22"/>
          <w:szCs w:val="22"/>
          <w:lang w:val="cs-CZ"/>
        </w:rPr>
        <w:t>hev.</w:t>
      </w:r>
    </w:p>
    <w:p w14:paraId="6CA1D512" w14:textId="2801C50E" w:rsidR="006B45DF" w:rsidRPr="00824023" w:rsidRDefault="006B45DF" w:rsidP="00086217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300 ml (1</w:t>
      </w:r>
      <w:r w:rsidR="00AA251F" w:rsidRPr="00824023">
        <w:rPr>
          <w:sz w:val="22"/>
          <w:szCs w:val="22"/>
          <w:lang w:val="cs-CZ"/>
        </w:rPr>
        <w:t xml:space="preserve"> </w:t>
      </w:r>
      <w:r w:rsidRPr="00824023">
        <w:rPr>
          <w:sz w:val="22"/>
          <w:szCs w:val="22"/>
          <w:lang w:val="cs-CZ"/>
        </w:rPr>
        <w:t>000 dávek) l</w:t>
      </w:r>
      <w:r w:rsidR="00023889" w:rsidRPr="00824023">
        <w:rPr>
          <w:sz w:val="22"/>
          <w:szCs w:val="22"/>
          <w:lang w:val="cs-CZ"/>
        </w:rPr>
        <w:t>a</w:t>
      </w:r>
      <w:r w:rsidRPr="00824023">
        <w:rPr>
          <w:sz w:val="22"/>
          <w:szCs w:val="22"/>
          <w:lang w:val="cs-CZ"/>
        </w:rPr>
        <w:t>hev, balení 10 lahví.</w:t>
      </w:r>
    </w:p>
    <w:p w14:paraId="434588BF" w14:textId="77777777" w:rsidR="00C0382F" w:rsidRPr="00824023" w:rsidRDefault="00C0382F" w:rsidP="001D7EBD">
      <w:pPr>
        <w:jc w:val="left"/>
        <w:rPr>
          <w:sz w:val="22"/>
          <w:szCs w:val="22"/>
          <w:lang w:val="cs-CZ"/>
        </w:rPr>
      </w:pPr>
    </w:p>
    <w:p w14:paraId="1777F2B3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Na trhu nemusí být všechny velikosti balení.</w:t>
      </w:r>
    </w:p>
    <w:p w14:paraId="6FA68AE0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76A2B8D2" w14:textId="4D27DB1C" w:rsidR="006B45DF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5.5</w:t>
      </w:r>
      <w:r w:rsidRPr="00824023">
        <w:rPr>
          <w:b/>
          <w:sz w:val="22"/>
          <w:szCs w:val="22"/>
          <w:lang w:val="cs-CZ"/>
        </w:rPr>
        <w:tab/>
        <w:t>Zvláštní opatření pro likvidaci nepoužitých veterinárních léčivých přípravků nebo odpadů, které pochází z těchto přípravků</w:t>
      </w:r>
    </w:p>
    <w:p w14:paraId="0D0D9386" w14:textId="77777777" w:rsidR="00B8157A" w:rsidRPr="00824023" w:rsidRDefault="00B8157A" w:rsidP="001D7EBD">
      <w:pPr>
        <w:ind w:hanging="851"/>
        <w:jc w:val="left"/>
        <w:rPr>
          <w:sz w:val="22"/>
          <w:szCs w:val="22"/>
          <w:lang w:val="cs-CZ"/>
        </w:rPr>
      </w:pPr>
    </w:p>
    <w:p w14:paraId="1AC45946" w14:textId="29E0FFE1" w:rsidR="00272A08" w:rsidRPr="00824023" w:rsidRDefault="00272A08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Léčivé přípravky se nesmí likvidovat prostřednictvím odpadní vody či domovního odpadu.</w:t>
      </w:r>
    </w:p>
    <w:p w14:paraId="4A3D1528" w14:textId="77777777" w:rsidR="00272A08" w:rsidRPr="00824023" w:rsidRDefault="00272A08" w:rsidP="001D7EBD">
      <w:pPr>
        <w:jc w:val="left"/>
        <w:rPr>
          <w:sz w:val="22"/>
          <w:szCs w:val="22"/>
          <w:lang w:val="cs-CZ"/>
        </w:rPr>
      </w:pPr>
    </w:p>
    <w:p w14:paraId="520476EA" w14:textId="635A0BD8" w:rsidR="008A744E" w:rsidRPr="00824023" w:rsidRDefault="00272A08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2EB059D1" w14:textId="77777777" w:rsidR="008A744E" w:rsidRPr="00824023" w:rsidRDefault="008A744E" w:rsidP="001D7EBD">
      <w:pPr>
        <w:jc w:val="left"/>
        <w:rPr>
          <w:i/>
          <w:sz w:val="22"/>
          <w:szCs w:val="22"/>
          <w:lang w:val="cs-CZ"/>
        </w:rPr>
      </w:pPr>
    </w:p>
    <w:p w14:paraId="20CF04D6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33D88DBC" w14:textId="22AEBEF3" w:rsidR="006B45DF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6.</w:t>
      </w:r>
      <w:r w:rsidRPr="00824023">
        <w:rPr>
          <w:b/>
          <w:sz w:val="22"/>
          <w:szCs w:val="22"/>
          <w:lang w:val="cs-CZ"/>
        </w:rPr>
        <w:tab/>
        <w:t>JMÉNO DRŽITELE ROZHODNUTÍ O REGISTRACI</w:t>
      </w:r>
    </w:p>
    <w:p w14:paraId="24E02A46" w14:textId="77777777" w:rsidR="00B8157A" w:rsidRPr="00824023" w:rsidRDefault="00B8157A" w:rsidP="001D7EBD">
      <w:pPr>
        <w:jc w:val="left"/>
        <w:rPr>
          <w:b/>
          <w:sz w:val="22"/>
          <w:szCs w:val="22"/>
          <w:lang w:val="cs-CZ"/>
        </w:rPr>
      </w:pPr>
    </w:p>
    <w:p w14:paraId="15C22224" w14:textId="67382572" w:rsidR="006B45DF" w:rsidRPr="00824023" w:rsidRDefault="00073076" w:rsidP="001D7EBD">
      <w:pPr>
        <w:jc w:val="left"/>
        <w:rPr>
          <w:bCs/>
          <w:sz w:val="22"/>
          <w:szCs w:val="22"/>
          <w:lang w:val="cs-CZ"/>
        </w:rPr>
      </w:pPr>
      <w:r w:rsidRPr="00824023">
        <w:rPr>
          <w:bCs/>
          <w:sz w:val="22"/>
          <w:szCs w:val="22"/>
          <w:lang w:val="cs-CZ"/>
        </w:rPr>
        <w:t>Boehringer Ingelheim Animal Health France SCS</w:t>
      </w:r>
    </w:p>
    <w:p w14:paraId="02FF49F2" w14:textId="77777777" w:rsidR="008A744E" w:rsidRPr="00824023" w:rsidRDefault="008A744E" w:rsidP="001D7EBD">
      <w:pPr>
        <w:jc w:val="left"/>
        <w:rPr>
          <w:bCs/>
          <w:sz w:val="22"/>
          <w:szCs w:val="22"/>
          <w:lang w:val="cs-CZ"/>
        </w:rPr>
      </w:pPr>
    </w:p>
    <w:p w14:paraId="53A4856F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35C790D0" w14:textId="428D6788" w:rsidR="006B45DF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7.</w:t>
      </w:r>
      <w:r w:rsidRPr="00824023">
        <w:rPr>
          <w:b/>
          <w:sz w:val="22"/>
          <w:szCs w:val="22"/>
          <w:lang w:val="cs-CZ"/>
        </w:rPr>
        <w:tab/>
        <w:t>REGISTRAČNÍ ČÍSLO(A)</w:t>
      </w:r>
    </w:p>
    <w:p w14:paraId="45C9A3D9" w14:textId="77777777" w:rsidR="00B8157A" w:rsidRPr="00824023" w:rsidRDefault="00B8157A" w:rsidP="001D7EBD">
      <w:pPr>
        <w:jc w:val="left"/>
        <w:rPr>
          <w:caps/>
          <w:sz w:val="22"/>
          <w:szCs w:val="22"/>
          <w:lang w:val="cs-CZ"/>
        </w:rPr>
      </w:pPr>
    </w:p>
    <w:p w14:paraId="440B5B79" w14:textId="77777777" w:rsidR="006B45DF" w:rsidRPr="00824023" w:rsidRDefault="006B45DF" w:rsidP="001D7EBD">
      <w:pPr>
        <w:jc w:val="left"/>
        <w:rPr>
          <w:caps/>
          <w:sz w:val="22"/>
          <w:szCs w:val="22"/>
          <w:lang w:val="cs-CZ"/>
        </w:rPr>
      </w:pPr>
      <w:r w:rsidRPr="00824023">
        <w:rPr>
          <w:caps/>
          <w:sz w:val="22"/>
          <w:szCs w:val="22"/>
          <w:lang w:val="cs-CZ"/>
        </w:rPr>
        <w:t>97/139/04-C</w:t>
      </w:r>
    </w:p>
    <w:p w14:paraId="02C0F79E" w14:textId="77777777" w:rsidR="006B45DF" w:rsidRPr="00824023" w:rsidRDefault="006B45DF" w:rsidP="001D7EBD">
      <w:pPr>
        <w:jc w:val="left"/>
        <w:rPr>
          <w:caps/>
          <w:sz w:val="22"/>
          <w:szCs w:val="22"/>
          <w:lang w:val="cs-CZ"/>
        </w:rPr>
      </w:pPr>
    </w:p>
    <w:p w14:paraId="6FA83DFD" w14:textId="77777777" w:rsidR="008A744E" w:rsidRPr="00824023" w:rsidRDefault="008A744E" w:rsidP="001D7EBD">
      <w:pPr>
        <w:jc w:val="left"/>
        <w:rPr>
          <w:caps/>
          <w:sz w:val="22"/>
          <w:szCs w:val="22"/>
          <w:lang w:val="cs-CZ"/>
        </w:rPr>
      </w:pPr>
    </w:p>
    <w:p w14:paraId="4828BF0A" w14:textId="03D70BB8" w:rsidR="006B45DF" w:rsidRPr="00824023" w:rsidRDefault="00B8157A" w:rsidP="001D7EBD">
      <w:pPr>
        <w:jc w:val="left"/>
        <w:rPr>
          <w:b/>
          <w:caps/>
          <w:sz w:val="22"/>
          <w:szCs w:val="22"/>
          <w:lang w:val="cs-CZ"/>
        </w:rPr>
      </w:pPr>
      <w:r w:rsidRPr="00824023">
        <w:rPr>
          <w:b/>
          <w:caps/>
          <w:sz w:val="22"/>
          <w:szCs w:val="22"/>
          <w:lang w:val="cs-CZ"/>
        </w:rPr>
        <w:t>8.</w:t>
      </w:r>
      <w:r w:rsidRPr="00824023">
        <w:rPr>
          <w:b/>
          <w:caps/>
          <w:sz w:val="22"/>
          <w:szCs w:val="22"/>
          <w:lang w:val="cs-CZ"/>
        </w:rPr>
        <w:tab/>
        <w:t>DATUM PRVNÍ REGISTRACE</w:t>
      </w:r>
    </w:p>
    <w:p w14:paraId="6BE9556D" w14:textId="77777777" w:rsidR="00B8157A" w:rsidRPr="00824023" w:rsidRDefault="00B8157A" w:rsidP="001D7EBD">
      <w:pPr>
        <w:jc w:val="left"/>
        <w:rPr>
          <w:b/>
          <w:caps/>
          <w:sz w:val="22"/>
          <w:szCs w:val="22"/>
          <w:lang w:val="cs-CZ"/>
        </w:rPr>
      </w:pPr>
    </w:p>
    <w:p w14:paraId="5E35B4AE" w14:textId="2CB5CA4B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 xml:space="preserve">Datum </w:t>
      </w:r>
      <w:r w:rsidR="00F124F2" w:rsidRPr="00824023">
        <w:rPr>
          <w:sz w:val="22"/>
          <w:szCs w:val="22"/>
          <w:lang w:val="cs-CZ"/>
        </w:rPr>
        <w:t xml:space="preserve">první </w:t>
      </w:r>
      <w:r w:rsidRPr="00824023">
        <w:rPr>
          <w:sz w:val="22"/>
          <w:szCs w:val="22"/>
          <w:lang w:val="cs-CZ"/>
        </w:rPr>
        <w:t xml:space="preserve">registrace: </w:t>
      </w:r>
      <w:r w:rsidR="00F124F2" w:rsidRPr="00824023">
        <w:rPr>
          <w:sz w:val="22"/>
          <w:szCs w:val="22"/>
          <w:lang w:val="cs-CZ"/>
        </w:rPr>
        <w:t>0</w:t>
      </w:r>
      <w:r w:rsidRPr="00824023">
        <w:rPr>
          <w:sz w:val="22"/>
          <w:szCs w:val="22"/>
          <w:lang w:val="cs-CZ"/>
        </w:rPr>
        <w:t>8</w:t>
      </w:r>
      <w:r w:rsidR="00F124F2" w:rsidRPr="00824023">
        <w:rPr>
          <w:sz w:val="22"/>
          <w:szCs w:val="22"/>
          <w:lang w:val="cs-CZ"/>
        </w:rPr>
        <w:t>/0</w:t>
      </w:r>
      <w:r w:rsidRPr="00824023">
        <w:rPr>
          <w:sz w:val="22"/>
          <w:szCs w:val="22"/>
          <w:lang w:val="cs-CZ"/>
        </w:rPr>
        <w:t>9</w:t>
      </w:r>
      <w:r w:rsidR="00F124F2" w:rsidRPr="00824023">
        <w:rPr>
          <w:sz w:val="22"/>
          <w:szCs w:val="22"/>
          <w:lang w:val="cs-CZ"/>
        </w:rPr>
        <w:t>/</w:t>
      </w:r>
      <w:r w:rsidRPr="00824023">
        <w:rPr>
          <w:sz w:val="22"/>
          <w:szCs w:val="22"/>
          <w:lang w:val="cs-CZ"/>
        </w:rPr>
        <w:t>2004</w:t>
      </w:r>
    </w:p>
    <w:p w14:paraId="6B3FB1B9" w14:textId="77777777" w:rsidR="008A744E" w:rsidRPr="00824023" w:rsidRDefault="008A744E" w:rsidP="001D7EBD">
      <w:pPr>
        <w:jc w:val="left"/>
        <w:rPr>
          <w:sz w:val="22"/>
          <w:szCs w:val="22"/>
          <w:lang w:val="cs-CZ"/>
        </w:rPr>
      </w:pPr>
    </w:p>
    <w:p w14:paraId="28D6D840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1B505E1C" w14:textId="76043323" w:rsidR="006B45DF" w:rsidRPr="00824023" w:rsidRDefault="00B8157A" w:rsidP="001D7EBD">
      <w:pPr>
        <w:jc w:val="left"/>
        <w:rPr>
          <w:b/>
          <w:sz w:val="22"/>
          <w:szCs w:val="22"/>
          <w:lang w:val="cs-CZ"/>
        </w:rPr>
      </w:pPr>
      <w:r w:rsidRPr="00824023">
        <w:rPr>
          <w:b/>
          <w:sz w:val="22"/>
          <w:szCs w:val="22"/>
          <w:lang w:val="cs-CZ"/>
        </w:rPr>
        <w:t>9.</w:t>
      </w:r>
      <w:r w:rsidRPr="00824023">
        <w:rPr>
          <w:b/>
          <w:sz w:val="22"/>
          <w:szCs w:val="22"/>
          <w:lang w:val="cs-CZ"/>
        </w:rPr>
        <w:tab/>
        <w:t>DATUM POSLEDNÍ AKTUALIZACE SOUHRNU ÚDAJŮ O PŘÍPRAVKU</w:t>
      </w:r>
    </w:p>
    <w:p w14:paraId="1A2AB942" w14:textId="77777777" w:rsidR="00B8157A" w:rsidRPr="00824023" w:rsidRDefault="00B8157A" w:rsidP="001D7EBD">
      <w:pPr>
        <w:jc w:val="left"/>
        <w:rPr>
          <w:sz w:val="22"/>
          <w:szCs w:val="22"/>
          <w:lang w:val="cs-CZ"/>
        </w:rPr>
      </w:pPr>
    </w:p>
    <w:p w14:paraId="44B5AA28" w14:textId="4928E0F4" w:rsidR="008A744E" w:rsidRPr="00824023" w:rsidRDefault="00A61AB9" w:rsidP="001D7EBD">
      <w:pPr>
        <w:jc w:val="left"/>
        <w:rPr>
          <w:sz w:val="22"/>
          <w:szCs w:val="22"/>
          <w:lang w:val="cs-CZ"/>
        </w:rPr>
      </w:pPr>
      <w:r w:rsidRPr="00824023">
        <w:rPr>
          <w:sz w:val="22"/>
          <w:szCs w:val="22"/>
          <w:lang w:val="cs-CZ"/>
        </w:rPr>
        <w:t>0</w:t>
      </w:r>
      <w:r w:rsidR="006E1383" w:rsidRPr="00824023">
        <w:rPr>
          <w:sz w:val="22"/>
          <w:szCs w:val="22"/>
          <w:lang w:val="cs-CZ"/>
        </w:rPr>
        <w:t>4</w:t>
      </w:r>
      <w:r w:rsidR="00F124F2" w:rsidRPr="00824023">
        <w:rPr>
          <w:sz w:val="22"/>
          <w:szCs w:val="22"/>
          <w:lang w:val="cs-CZ"/>
        </w:rPr>
        <w:t>/</w:t>
      </w:r>
      <w:r w:rsidRPr="00824023">
        <w:rPr>
          <w:sz w:val="22"/>
          <w:szCs w:val="22"/>
          <w:lang w:val="cs-CZ"/>
        </w:rPr>
        <w:t>2024</w:t>
      </w:r>
    </w:p>
    <w:p w14:paraId="41323E75" w14:textId="77777777" w:rsidR="008A744E" w:rsidRPr="00824023" w:rsidRDefault="008A744E" w:rsidP="001D7EBD">
      <w:pPr>
        <w:jc w:val="left"/>
        <w:rPr>
          <w:sz w:val="22"/>
          <w:szCs w:val="22"/>
          <w:lang w:val="cs-CZ"/>
        </w:rPr>
      </w:pPr>
    </w:p>
    <w:p w14:paraId="5EA3AFFF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</w:p>
    <w:p w14:paraId="2D5E8F18" w14:textId="77777777" w:rsidR="00B8157A" w:rsidRPr="00824023" w:rsidRDefault="00B8157A" w:rsidP="001D7EBD">
      <w:pPr>
        <w:jc w:val="left"/>
        <w:rPr>
          <w:b/>
          <w:caps/>
          <w:sz w:val="22"/>
          <w:szCs w:val="22"/>
          <w:lang w:val="cs-CZ"/>
        </w:rPr>
      </w:pPr>
      <w:r w:rsidRPr="00824023">
        <w:rPr>
          <w:b/>
          <w:caps/>
          <w:sz w:val="22"/>
          <w:szCs w:val="22"/>
          <w:lang w:val="cs-CZ"/>
        </w:rPr>
        <w:t>10.</w:t>
      </w:r>
      <w:r w:rsidRPr="00824023">
        <w:rPr>
          <w:b/>
          <w:caps/>
          <w:sz w:val="22"/>
          <w:szCs w:val="22"/>
          <w:lang w:val="cs-CZ"/>
        </w:rPr>
        <w:tab/>
        <w:t>KLASIFIKACE VETERINÁRNÍCH LÉČIVÝCH PŘÍPRAVKŮ</w:t>
      </w:r>
    </w:p>
    <w:p w14:paraId="0023D8C6" w14:textId="77777777" w:rsidR="00B8157A" w:rsidRPr="00824023" w:rsidRDefault="00B8157A" w:rsidP="001D7EBD">
      <w:pPr>
        <w:jc w:val="left"/>
        <w:rPr>
          <w:b/>
          <w:caps/>
          <w:sz w:val="22"/>
          <w:szCs w:val="22"/>
          <w:lang w:val="cs-CZ"/>
        </w:rPr>
      </w:pPr>
    </w:p>
    <w:p w14:paraId="279F10A9" w14:textId="64FE7E4A" w:rsidR="00070AA4" w:rsidRPr="00824023" w:rsidRDefault="00070AA4" w:rsidP="00086217">
      <w:pPr>
        <w:numPr>
          <w:ilvl w:val="12"/>
          <w:numId w:val="0"/>
        </w:numPr>
        <w:tabs>
          <w:tab w:val="left" w:pos="567"/>
        </w:tabs>
        <w:spacing w:line="260" w:lineRule="exact"/>
        <w:jc w:val="left"/>
        <w:rPr>
          <w:sz w:val="22"/>
          <w:szCs w:val="22"/>
          <w:lang w:val="cs-CZ" w:eastAsia="en-US"/>
        </w:rPr>
      </w:pPr>
      <w:r w:rsidRPr="00824023">
        <w:rPr>
          <w:sz w:val="22"/>
          <w:szCs w:val="22"/>
          <w:lang w:val="cs-CZ" w:eastAsia="en-US"/>
        </w:rPr>
        <w:t>Veterinární léčivý přípravek je vydáván pouze na předpis.</w:t>
      </w:r>
    </w:p>
    <w:p w14:paraId="14343824" w14:textId="77777777" w:rsidR="007D68B8" w:rsidRPr="00824023" w:rsidRDefault="007D68B8" w:rsidP="001D7EBD">
      <w:pPr>
        <w:tabs>
          <w:tab w:val="left" w:pos="567"/>
        </w:tabs>
        <w:spacing w:line="260" w:lineRule="exact"/>
        <w:jc w:val="left"/>
        <w:rPr>
          <w:sz w:val="22"/>
          <w:szCs w:val="22"/>
          <w:lang w:val="cs-CZ" w:eastAsia="en-US"/>
        </w:rPr>
      </w:pPr>
      <w:bookmarkStart w:id="2" w:name="_Hlk73467306"/>
    </w:p>
    <w:p w14:paraId="24AC8BC2" w14:textId="2DCB9C21" w:rsidR="007D68B8" w:rsidRPr="00824023" w:rsidRDefault="007D68B8">
      <w:pPr>
        <w:tabs>
          <w:tab w:val="left" w:pos="567"/>
        </w:tabs>
        <w:spacing w:line="260" w:lineRule="exact"/>
        <w:jc w:val="left"/>
        <w:rPr>
          <w:i/>
          <w:sz w:val="22"/>
          <w:szCs w:val="22"/>
          <w:lang w:val="cs-CZ" w:eastAsia="en-US"/>
        </w:rPr>
      </w:pPr>
      <w:r w:rsidRPr="00824023">
        <w:rPr>
          <w:sz w:val="22"/>
          <w:szCs w:val="22"/>
          <w:lang w:val="cs-CZ" w:eastAsia="en-US"/>
        </w:rPr>
        <w:t>Podrobné informace o tomto veterinárním léčivém přípravku jsou k dispozici v databázi přípravků Unie (</w:t>
      </w:r>
      <w:hyperlink r:id="rId10" w:history="1">
        <w:r w:rsidRPr="00824023">
          <w:rPr>
            <w:color w:val="0000FF"/>
            <w:sz w:val="22"/>
            <w:szCs w:val="22"/>
            <w:u w:val="single"/>
            <w:lang w:val="cs-CZ" w:eastAsia="en-US"/>
          </w:rPr>
          <w:t>https://medicines.health.europa.eu/veterinary</w:t>
        </w:r>
      </w:hyperlink>
      <w:r w:rsidRPr="00824023">
        <w:rPr>
          <w:sz w:val="22"/>
          <w:szCs w:val="22"/>
          <w:lang w:val="cs-CZ" w:eastAsia="en-US"/>
        </w:rPr>
        <w:t>)</w:t>
      </w:r>
      <w:r w:rsidRPr="00824023">
        <w:rPr>
          <w:i/>
          <w:sz w:val="22"/>
          <w:szCs w:val="22"/>
          <w:lang w:val="cs-CZ" w:eastAsia="en-US"/>
        </w:rPr>
        <w:t>.</w:t>
      </w:r>
    </w:p>
    <w:p w14:paraId="773170B5" w14:textId="1403EC9D" w:rsidR="00F36170" w:rsidRPr="00824023" w:rsidRDefault="00F36170">
      <w:pPr>
        <w:tabs>
          <w:tab w:val="left" w:pos="567"/>
        </w:tabs>
        <w:spacing w:line="260" w:lineRule="exact"/>
        <w:jc w:val="left"/>
        <w:rPr>
          <w:sz w:val="22"/>
          <w:szCs w:val="22"/>
          <w:lang w:val="cs-CZ" w:eastAsia="en-US"/>
        </w:rPr>
      </w:pPr>
    </w:p>
    <w:p w14:paraId="3D02E8B0" w14:textId="3E77FDEF" w:rsidR="00F36170" w:rsidRPr="00824023" w:rsidRDefault="00F36170" w:rsidP="00F36170">
      <w:pPr>
        <w:tabs>
          <w:tab w:val="left" w:pos="708"/>
        </w:tabs>
        <w:rPr>
          <w:sz w:val="22"/>
          <w:szCs w:val="22"/>
          <w:lang w:val="cs-CZ" w:eastAsia="en-US"/>
        </w:rPr>
      </w:pPr>
      <w:r w:rsidRPr="00824023">
        <w:rPr>
          <w:sz w:val="22"/>
          <w:szCs w:val="22"/>
          <w:lang w:val="cs-CZ"/>
        </w:rPr>
        <w:t>Podrobné informace o tomto veterinárním léčivém přípravku naleznete také v národní databázi (</w:t>
      </w:r>
      <w:hyperlink r:id="rId11" w:history="1">
        <w:r w:rsidR="00A562CA" w:rsidRPr="00824023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824023">
        <w:rPr>
          <w:sz w:val="22"/>
          <w:szCs w:val="22"/>
          <w:lang w:val="cs-CZ"/>
        </w:rPr>
        <w:t>).</w:t>
      </w:r>
    </w:p>
    <w:p w14:paraId="7599105C" w14:textId="77777777" w:rsidR="00F36170" w:rsidRPr="00824023" w:rsidRDefault="00F36170" w:rsidP="001D7EBD">
      <w:pPr>
        <w:tabs>
          <w:tab w:val="left" w:pos="567"/>
        </w:tabs>
        <w:spacing w:line="260" w:lineRule="exact"/>
        <w:jc w:val="left"/>
        <w:rPr>
          <w:sz w:val="22"/>
          <w:szCs w:val="22"/>
          <w:lang w:val="cs-CZ" w:eastAsia="en-US"/>
        </w:rPr>
      </w:pPr>
    </w:p>
    <w:bookmarkEnd w:id="2"/>
    <w:p w14:paraId="7CD0329E" w14:textId="77777777" w:rsidR="00B8157A" w:rsidRPr="00824023" w:rsidRDefault="00B8157A" w:rsidP="001D7EBD">
      <w:pPr>
        <w:jc w:val="left"/>
        <w:rPr>
          <w:b/>
          <w:caps/>
          <w:sz w:val="22"/>
          <w:szCs w:val="22"/>
          <w:lang w:val="cs-CZ"/>
        </w:rPr>
      </w:pPr>
    </w:p>
    <w:p w14:paraId="7FDC9B07" w14:textId="77777777" w:rsidR="006B45DF" w:rsidRPr="00824023" w:rsidRDefault="006B45DF" w:rsidP="001D7EBD">
      <w:pPr>
        <w:jc w:val="left"/>
        <w:rPr>
          <w:sz w:val="22"/>
          <w:szCs w:val="22"/>
          <w:lang w:val="cs-CZ"/>
        </w:rPr>
      </w:pPr>
      <w:bookmarkStart w:id="3" w:name="_GoBack"/>
      <w:bookmarkEnd w:id="3"/>
    </w:p>
    <w:sectPr w:rsidR="006B45DF" w:rsidRPr="00824023" w:rsidSect="001D7EBD">
      <w:footerReference w:type="even" r:id="rId12"/>
      <w:footerReference w:type="default" r:id="rId13"/>
      <w:pgSz w:w="11906" w:h="16838" w:code="9"/>
      <w:pgMar w:top="1440" w:right="1440" w:bottom="1440" w:left="1440" w:header="363" w:footer="32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FB1DF" w14:textId="77777777" w:rsidR="0008469F" w:rsidRDefault="0008469F" w:rsidP="002645A9">
      <w:pPr>
        <w:pStyle w:val="Texte2"/>
      </w:pPr>
      <w:r>
        <w:separator/>
      </w:r>
    </w:p>
  </w:endnote>
  <w:endnote w:type="continuationSeparator" w:id="0">
    <w:p w14:paraId="5B4D766D" w14:textId="77777777" w:rsidR="0008469F" w:rsidRDefault="0008469F" w:rsidP="002645A9">
      <w:pPr>
        <w:pStyle w:val="Texte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@PMingLiU">
    <w:altName w:val="@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ECACD" w14:textId="628CEAD1" w:rsidR="008F76B6" w:rsidRDefault="008F76B6" w:rsidP="00785E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325B">
      <w:rPr>
        <w:rStyle w:val="slostrnky"/>
        <w:noProof/>
      </w:rPr>
      <w:t>4</w:t>
    </w:r>
    <w:r>
      <w:rPr>
        <w:rStyle w:val="slostrnky"/>
      </w:rPr>
      <w:fldChar w:fldCharType="end"/>
    </w:r>
  </w:p>
  <w:p w14:paraId="4D56D4B1" w14:textId="77777777" w:rsidR="008F76B6" w:rsidRDefault="008F76B6" w:rsidP="008D4E7C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6E1D3" w14:textId="77777777" w:rsidR="008F76B6" w:rsidRDefault="008F76B6" w:rsidP="00785ED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24023">
      <w:rPr>
        <w:rStyle w:val="slostrnky"/>
        <w:noProof/>
      </w:rPr>
      <w:t>5</w:t>
    </w:r>
    <w:r>
      <w:rPr>
        <w:rStyle w:val="slostrnky"/>
      </w:rPr>
      <w:fldChar w:fldCharType="end"/>
    </w:r>
  </w:p>
  <w:p w14:paraId="75E24B98" w14:textId="77777777" w:rsidR="008F76B6" w:rsidRDefault="008F76B6" w:rsidP="008D4E7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4C462" w14:textId="77777777" w:rsidR="0008469F" w:rsidRDefault="0008469F" w:rsidP="002645A9">
      <w:pPr>
        <w:pStyle w:val="Texte2"/>
      </w:pPr>
      <w:r>
        <w:separator/>
      </w:r>
    </w:p>
  </w:footnote>
  <w:footnote w:type="continuationSeparator" w:id="0">
    <w:p w14:paraId="06E515B2" w14:textId="77777777" w:rsidR="0008469F" w:rsidRDefault="0008469F" w:rsidP="002645A9">
      <w:pPr>
        <w:pStyle w:val="Texte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Level1"/>
      <w:lvlText w:val="%1"/>
      <w:lvlJc w:val="left"/>
      <w:pPr>
        <w:tabs>
          <w:tab w:val="num" w:pos="148"/>
        </w:tabs>
        <w:ind w:left="148" w:hanging="148"/>
      </w:pPr>
      <w:rPr>
        <w:rFonts w:ascii="@PMingLiU" w:hAnsi="Times New Roman TUR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0F6ED3"/>
    <w:multiLevelType w:val="multilevel"/>
    <w:tmpl w:val="4F4816E6"/>
    <w:lvl w:ilvl="0">
      <w:start w:val="1"/>
      <w:numFmt w:val="decimal"/>
      <w:pStyle w:val="Nadpis1"/>
      <w:suff w:val="space"/>
      <w:lvlText w:val="%1"/>
      <w:lvlJc w:val="left"/>
      <w:pPr>
        <w:ind w:left="0" w:firstLine="0"/>
      </w:pPr>
      <w:rPr>
        <w:rFonts w:ascii="CG Times" w:hAnsi="CG Times" w:hint="default"/>
        <w:b/>
        <w:i w:val="0"/>
        <w:sz w:val="24"/>
        <w:u w:val="none"/>
      </w:rPr>
    </w:lvl>
    <w:lvl w:ilvl="1">
      <w:start w:val="1"/>
      <w:numFmt w:val="decimal"/>
      <w:pStyle w:val="Nadpis2"/>
      <w:suff w:val="space"/>
      <w:lvlText w:val="%1.%2"/>
      <w:lvlJc w:val="left"/>
      <w:pPr>
        <w:ind w:left="227" w:firstLine="0"/>
      </w:pPr>
      <w:rPr>
        <w:rFonts w:ascii="CG Times" w:hAnsi="CG Times" w:hint="default"/>
        <w:b/>
        <w:i w:val="0"/>
        <w:sz w:val="24"/>
        <w:u w:val="none"/>
      </w:rPr>
    </w:lvl>
    <w:lvl w:ilvl="2">
      <w:start w:val="1"/>
      <w:numFmt w:val="decimal"/>
      <w:pStyle w:val="Nadpis3"/>
      <w:suff w:val="space"/>
      <w:lvlText w:val="%1.%2.%3"/>
      <w:lvlJc w:val="left"/>
      <w:pPr>
        <w:ind w:left="454" w:firstLine="0"/>
      </w:pPr>
      <w:rPr>
        <w:rFonts w:ascii="CG Times" w:hAnsi="CG Times" w:hint="default"/>
        <w:b/>
        <w:i w:val="0"/>
        <w:sz w:val="24"/>
      </w:rPr>
    </w:lvl>
    <w:lvl w:ilvl="3">
      <w:start w:val="1"/>
      <w:numFmt w:val="lowerLetter"/>
      <w:pStyle w:val="Nadpis4"/>
      <w:suff w:val="space"/>
      <w:lvlText w:val="%1.%2.%3.%4"/>
      <w:lvlJc w:val="left"/>
      <w:pPr>
        <w:ind w:left="680" w:firstLine="0"/>
      </w:pPr>
      <w:rPr>
        <w:rFonts w:ascii="CG Times" w:hAnsi="CG Times" w:hint="default"/>
        <w:b/>
        <w:i w:val="0"/>
        <w:sz w:val="24"/>
        <w:u w:val="none"/>
      </w:rPr>
    </w:lvl>
    <w:lvl w:ilvl="4">
      <w:start w:val="1"/>
      <w:numFmt w:val="lowerRoman"/>
      <w:pStyle w:val="Nadpis5"/>
      <w:suff w:val="space"/>
      <w:lvlText w:val="%1.%2.%3.%4.%5"/>
      <w:lvlJc w:val="left"/>
      <w:pPr>
        <w:ind w:left="907" w:firstLine="0"/>
      </w:pPr>
      <w:rPr>
        <w:rFonts w:ascii="CG Times" w:hAnsi="CG Times" w:hint="default"/>
        <w:b/>
        <w:i w:val="0"/>
        <w:sz w:val="24"/>
        <w:u w:val="none"/>
      </w:rPr>
    </w:lvl>
    <w:lvl w:ilvl="5">
      <w:start w:val="1"/>
      <w:numFmt w:val="decimal"/>
      <w:pStyle w:val="Nadpis6"/>
      <w:suff w:val="space"/>
      <w:lvlText w:val="%1.%2.%3.%4.%5%6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pStyle w:val="Nadpis7"/>
      <w:suff w:val="space"/>
      <w:lvlText w:val="%1.%2.%3.%4.%5%6.%7"/>
      <w:lvlJc w:val="left"/>
      <w:pPr>
        <w:ind w:left="1361" w:firstLine="0"/>
      </w:pPr>
      <w:rPr>
        <w:rFonts w:ascii="Times New Roman" w:hAnsi="Times New Roman" w:hint="default"/>
        <w:b/>
        <w:i w:val="0"/>
        <w:sz w:val="24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63943A2"/>
    <w:multiLevelType w:val="hybridMultilevel"/>
    <w:tmpl w:val="BB56787E"/>
    <w:lvl w:ilvl="0" w:tplc="9A86825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645C40"/>
    <w:multiLevelType w:val="hybridMultilevel"/>
    <w:tmpl w:val="76E47DE6"/>
    <w:lvl w:ilvl="0" w:tplc="3D42703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77C8A"/>
    <w:multiLevelType w:val="hybridMultilevel"/>
    <w:tmpl w:val="D86E8040"/>
    <w:lvl w:ilvl="0" w:tplc="DD90643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05CE4"/>
    <w:multiLevelType w:val="hybridMultilevel"/>
    <w:tmpl w:val="FE06CAC2"/>
    <w:lvl w:ilvl="0" w:tplc="9A8682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3D5D6F"/>
    <w:multiLevelType w:val="multilevel"/>
    <w:tmpl w:val="8E6A16BC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6F9783B"/>
    <w:multiLevelType w:val="hybridMultilevel"/>
    <w:tmpl w:val="A8181E72"/>
    <w:lvl w:ilvl="0" w:tplc="1EA2742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A24CF8"/>
    <w:multiLevelType w:val="singleLevel"/>
    <w:tmpl w:val="0C78B994"/>
    <w:lvl w:ilvl="0">
      <w:start w:val="16"/>
      <w:numFmt w:val="decimal"/>
      <w:lvlText w:val="%1."/>
      <w:legacy w:legacy="1" w:legacySpace="0" w:legacyIndent="570"/>
      <w:lvlJc w:val="left"/>
      <w:pPr>
        <w:ind w:left="570" w:hanging="570"/>
      </w:pPr>
    </w:lvl>
  </w:abstractNum>
  <w:num w:numId="1">
    <w:abstractNumId w:val="1"/>
  </w:num>
  <w:num w:numId="2">
    <w:abstractNumId w:val="8"/>
  </w:num>
  <w:num w:numId="3">
    <w:abstractNumId w:val="0"/>
    <w:lvlOverride w:ilvl="0">
      <w:startOverride w:val="1"/>
      <w:lvl w:ilvl="0">
        <w:start w:val="1"/>
        <w:numFmt w:val="decimal"/>
        <w:pStyle w:val="Level1"/>
        <w:lvlText w:val="%1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ED"/>
    <w:rsid w:val="00006865"/>
    <w:rsid w:val="00020BF7"/>
    <w:rsid w:val="00023889"/>
    <w:rsid w:val="00055488"/>
    <w:rsid w:val="000560A4"/>
    <w:rsid w:val="0006325B"/>
    <w:rsid w:val="00063964"/>
    <w:rsid w:val="00070AA4"/>
    <w:rsid w:val="00073076"/>
    <w:rsid w:val="00081FB5"/>
    <w:rsid w:val="0008469F"/>
    <w:rsid w:val="00086217"/>
    <w:rsid w:val="00092158"/>
    <w:rsid w:val="000B2664"/>
    <w:rsid w:val="000B56EA"/>
    <w:rsid w:val="000C049E"/>
    <w:rsid w:val="000C601F"/>
    <w:rsid w:val="000C67E5"/>
    <w:rsid w:val="000C754A"/>
    <w:rsid w:val="000D13A9"/>
    <w:rsid w:val="000D28E7"/>
    <w:rsid w:val="000E4EEB"/>
    <w:rsid w:val="000E7521"/>
    <w:rsid w:val="000E7DBF"/>
    <w:rsid w:val="001042B5"/>
    <w:rsid w:val="00107684"/>
    <w:rsid w:val="001076F7"/>
    <w:rsid w:val="00110952"/>
    <w:rsid w:val="00113248"/>
    <w:rsid w:val="00126181"/>
    <w:rsid w:val="00133E89"/>
    <w:rsid w:val="00150AF3"/>
    <w:rsid w:val="0015694E"/>
    <w:rsid w:val="001604B7"/>
    <w:rsid w:val="00160767"/>
    <w:rsid w:val="00184C02"/>
    <w:rsid w:val="00197C36"/>
    <w:rsid w:val="001A3CAB"/>
    <w:rsid w:val="001C4010"/>
    <w:rsid w:val="001C5E0D"/>
    <w:rsid w:val="001D7EBD"/>
    <w:rsid w:val="001E1784"/>
    <w:rsid w:val="001E20FB"/>
    <w:rsid w:val="001E2DBE"/>
    <w:rsid w:val="001E5746"/>
    <w:rsid w:val="001E582F"/>
    <w:rsid w:val="001E714C"/>
    <w:rsid w:val="001E7EAD"/>
    <w:rsid w:val="00200A43"/>
    <w:rsid w:val="00205BC1"/>
    <w:rsid w:val="00207187"/>
    <w:rsid w:val="0021333F"/>
    <w:rsid w:val="002156F4"/>
    <w:rsid w:val="002235EF"/>
    <w:rsid w:val="00223A05"/>
    <w:rsid w:val="002274A9"/>
    <w:rsid w:val="00227997"/>
    <w:rsid w:val="00234A2F"/>
    <w:rsid w:val="002415A0"/>
    <w:rsid w:val="00241F72"/>
    <w:rsid w:val="00243732"/>
    <w:rsid w:val="002536DD"/>
    <w:rsid w:val="00253E23"/>
    <w:rsid w:val="002638D9"/>
    <w:rsid w:val="00263AA7"/>
    <w:rsid w:val="002645A9"/>
    <w:rsid w:val="00272A08"/>
    <w:rsid w:val="002817C2"/>
    <w:rsid w:val="00281B39"/>
    <w:rsid w:val="0028362B"/>
    <w:rsid w:val="00286E03"/>
    <w:rsid w:val="00287BF7"/>
    <w:rsid w:val="002A5F1F"/>
    <w:rsid w:val="002B3C84"/>
    <w:rsid w:val="002C27F9"/>
    <w:rsid w:val="00304210"/>
    <w:rsid w:val="003063A9"/>
    <w:rsid w:val="00314B82"/>
    <w:rsid w:val="0031630E"/>
    <w:rsid w:val="00323C67"/>
    <w:rsid w:val="00326A54"/>
    <w:rsid w:val="003276CE"/>
    <w:rsid w:val="003420D8"/>
    <w:rsid w:val="003448E6"/>
    <w:rsid w:val="00350D7B"/>
    <w:rsid w:val="00353AAE"/>
    <w:rsid w:val="00360F00"/>
    <w:rsid w:val="0036133C"/>
    <w:rsid w:val="0036278A"/>
    <w:rsid w:val="00383A32"/>
    <w:rsid w:val="003A1644"/>
    <w:rsid w:val="003B56C2"/>
    <w:rsid w:val="003E3B97"/>
    <w:rsid w:val="003F14ED"/>
    <w:rsid w:val="0040151F"/>
    <w:rsid w:val="0040398A"/>
    <w:rsid w:val="00406022"/>
    <w:rsid w:val="00407722"/>
    <w:rsid w:val="00426A45"/>
    <w:rsid w:val="00432026"/>
    <w:rsid w:val="0043768E"/>
    <w:rsid w:val="004403A9"/>
    <w:rsid w:val="004502DB"/>
    <w:rsid w:val="00482BC5"/>
    <w:rsid w:val="00484957"/>
    <w:rsid w:val="00493BDB"/>
    <w:rsid w:val="00495D3A"/>
    <w:rsid w:val="00495FBC"/>
    <w:rsid w:val="004A0CB6"/>
    <w:rsid w:val="004A7A23"/>
    <w:rsid w:val="004B198F"/>
    <w:rsid w:val="004B1F31"/>
    <w:rsid w:val="004B3A03"/>
    <w:rsid w:val="004B4CF3"/>
    <w:rsid w:val="004B78F4"/>
    <w:rsid w:val="004D1210"/>
    <w:rsid w:val="004E47DA"/>
    <w:rsid w:val="004E4CA3"/>
    <w:rsid w:val="004F6A08"/>
    <w:rsid w:val="004F7B37"/>
    <w:rsid w:val="0050093F"/>
    <w:rsid w:val="00505B63"/>
    <w:rsid w:val="00505BF1"/>
    <w:rsid w:val="00507CDD"/>
    <w:rsid w:val="0051234C"/>
    <w:rsid w:val="005153EA"/>
    <w:rsid w:val="005408E5"/>
    <w:rsid w:val="00541CDC"/>
    <w:rsid w:val="00546621"/>
    <w:rsid w:val="00582588"/>
    <w:rsid w:val="00591680"/>
    <w:rsid w:val="00591D3A"/>
    <w:rsid w:val="005A2E76"/>
    <w:rsid w:val="005B04B8"/>
    <w:rsid w:val="005B0C40"/>
    <w:rsid w:val="005B34F7"/>
    <w:rsid w:val="005B492D"/>
    <w:rsid w:val="005B5AEE"/>
    <w:rsid w:val="005C73A6"/>
    <w:rsid w:val="005D1DA0"/>
    <w:rsid w:val="005D38DB"/>
    <w:rsid w:val="005E40F3"/>
    <w:rsid w:val="00602A5B"/>
    <w:rsid w:val="0060566D"/>
    <w:rsid w:val="00640407"/>
    <w:rsid w:val="0064300A"/>
    <w:rsid w:val="00653BF5"/>
    <w:rsid w:val="00691F6F"/>
    <w:rsid w:val="00694243"/>
    <w:rsid w:val="006953C6"/>
    <w:rsid w:val="006A678F"/>
    <w:rsid w:val="006B45DF"/>
    <w:rsid w:val="006D1F76"/>
    <w:rsid w:val="006D274A"/>
    <w:rsid w:val="006E1383"/>
    <w:rsid w:val="006E238A"/>
    <w:rsid w:val="006E6927"/>
    <w:rsid w:val="007057F9"/>
    <w:rsid w:val="007101E0"/>
    <w:rsid w:val="00712050"/>
    <w:rsid w:val="00712C51"/>
    <w:rsid w:val="00722FC3"/>
    <w:rsid w:val="00730903"/>
    <w:rsid w:val="007329DB"/>
    <w:rsid w:val="00733CD3"/>
    <w:rsid w:val="007466B7"/>
    <w:rsid w:val="0074729B"/>
    <w:rsid w:val="00763A27"/>
    <w:rsid w:val="007706ED"/>
    <w:rsid w:val="00770BB6"/>
    <w:rsid w:val="00776490"/>
    <w:rsid w:val="007766D7"/>
    <w:rsid w:val="0078425B"/>
    <w:rsid w:val="00785EDC"/>
    <w:rsid w:val="00786410"/>
    <w:rsid w:val="00796C4A"/>
    <w:rsid w:val="007B3071"/>
    <w:rsid w:val="007B6F5B"/>
    <w:rsid w:val="007C3576"/>
    <w:rsid w:val="007C63CE"/>
    <w:rsid w:val="007C709E"/>
    <w:rsid w:val="007D4BD4"/>
    <w:rsid w:val="007D68B8"/>
    <w:rsid w:val="007E3D70"/>
    <w:rsid w:val="007F2BEC"/>
    <w:rsid w:val="007F5893"/>
    <w:rsid w:val="00800AF2"/>
    <w:rsid w:val="008033F7"/>
    <w:rsid w:val="00807132"/>
    <w:rsid w:val="0081133A"/>
    <w:rsid w:val="008125C5"/>
    <w:rsid w:val="0081788B"/>
    <w:rsid w:val="00821D8A"/>
    <w:rsid w:val="00824023"/>
    <w:rsid w:val="00831033"/>
    <w:rsid w:val="00851F06"/>
    <w:rsid w:val="00852E43"/>
    <w:rsid w:val="00853ADC"/>
    <w:rsid w:val="008572EE"/>
    <w:rsid w:val="0086516C"/>
    <w:rsid w:val="00872179"/>
    <w:rsid w:val="008728E5"/>
    <w:rsid w:val="00881F09"/>
    <w:rsid w:val="008954C4"/>
    <w:rsid w:val="008A0D77"/>
    <w:rsid w:val="008A1FFA"/>
    <w:rsid w:val="008A744E"/>
    <w:rsid w:val="008B5690"/>
    <w:rsid w:val="008C7F49"/>
    <w:rsid w:val="008D4E7C"/>
    <w:rsid w:val="008D79E4"/>
    <w:rsid w:val="008E05AC"/>
    <w:rsid w:val="008E0FBA"/>
    <w:rsid w:val="008E3781"/>
    <w:rsid w:val="008F76B6"/>
    <w:rsid w:val="00913B12"/>
    <w:rsid w:val="00921B04"/>
    <w:rsid w:val="00927712"/>
    <w:rsid w:val="00927D4F"/>
    <w:rsid w:val="00930A94"/>
    <w:rsid w:val="00931A74"/>
    <w:rsid w:val="00931BC2"/>
    <w:rsid w:val="00951B64"/>
    <w:rsid w:val="0096108E"/>
    <w:rsid w:val="0096123C"/>
    <w:rsid w:val="009617B4"/>
    <w:rsid w:val="0097245A"/>
    <w:rsid w:val="009730D5"/>
    <w:rsid w:val="0098245A"/>
    <w:rsid w:val="00986869"/>
    <w:rsid w:val="009868B4"/>
    <w:rsid w:val="009A1D0A"/>
    <w:rsid w:val="009A3164"/>
    <w:rsid w:val="009A4D4E"/>
    <w:rsid w:val="009A6D17"/>
    <w:rsid w:val="009C25DE"/>
    <w:rsid w:val="009C2E22"/>
    <w:rsid w:val="009C3C74"/>
    <w:rsid w:val="009C65A2"/>
    <w:rsid w:val="009C76ED"/>
    <w:rsid w:val="009C782A"/>
    <w:rsid w:val="009D16CA"/>
    <w:rsid w:val="009E7D5B"/>
    <w:rsid w:val="009F2299"/>
    <w:rsid w:val="00A17109"/>
    <w:rsid w:val="00A174C3"/>
    <w:rsid w:val="00A17ECD"/>
    <w:rsid w:val="00A562CA"/>
    <w:rsid w:val="00A61AB9"/>
    <w:rsid w:val="00A647F4"/>
    <w:rsid w:val="00A64C35"/>
    <w:rsid w:val="00A70F2A"/>
    <w:rsid w:val="00A76608"/>
    <w:rsid w:val="00A92935"/>
    <w:rsid w:val="00A93868"/>
    <w:rsid w:val="00AA147A"/>
    <w:rsid w:val="00AA251F"/>
    <w:rsid w:val="00AA42B2"/>
    <w:rsid w:val="00AB140F"/>
    <w:rsid w:val="00AB6701"/>
    <w:rsid w:val="00AC1A86"/>
    <w:rsid w:val="00AC2FE4"/>
    <w:rsid w:val="00AD1641"/>
    <w:rsid w:val="00AD71B1"/>
    <w:rsid w:val="00AD7789"/>
    <w:rsid w:val="00AF0B66"/>
    <w:rsid w:val="00AF3971"/>
    <w:rsid w:val="00AF6B88"/>
    <w:rsid w:val="00B13461"/>
    <w:rsid w:val="00B1514D"/>
    <w:rsid w:val="00B17440"/>
    <w:rsid w:val="00B177C4"/>
    <w:rsid w:val="00B17939"/>
    <w:rsid w:val="00B22CFF"/>
    <w:rsid w:val="00B50F40"/>
    <w:rsid w:val="00B5243D"/>
    <w:rsid w:val="00B54B64"/>
    <w:rsid w:val="00B55513"/>
    <w:rsid w:val="00B633E6"/>
    <w:rsid w:val="00B80997"/>
    <w:rsid w:val="00B8157A"/>
    <w:rsid w:val="00B86DBF"/>
    <w:rsid w:val="00B9198D"/>
    <w:rsid w:val="00BA5E49"/>
    <w:rsid w:val="00BB15E1"/>
    <w:rsid w:val="00BB2C4B"/>
    <w:rsid w:val="00BC49C4"/>
    <w:rsid w:val="00BD1C2F"/>
    <w:rsid w:val="00BE739A"/>
    <w:rsid w:val="00BF0D7B"/>
    <w:rsid w:val="00BF1846"/>
    <w:rsid w:val="00BF293A"/>
    <w:rsid w:val="00BF552A"/>
    <w:rsid w:val="00C0317C"/>
    <w:rsid w:val="00C0382F"/>
    <w:rsid w:val="00C05C88"/>
    <w:rsid w:val="00C15E73"/>
    <w:rsid w:val="00C17CC0"/>
    <w:rsid w:val="00C22B8E"/>
    <w:rsid w:val="00C24F8C"/>
    <w:rsid w:val="00C254C5"/>
    <w:rsid w:val="00C318FF"/>
    <w:rsid w:val="00C33A55"/>
    <w:rsid w:val="00C34776"/>
    <w:rsid w:val="00C4383E"/>
    <w:rsid w:val="00C444FD"/>
    <w:rsid w:val="00C446D0"/>
    <w:rsid w:val="00C44768"/>
    <w:rsid w:val="00C45896"/>
    <w:rsid w:val="00C54471"/>
    <w:rsid w:val="00C577ED"/>
    <w:rsid w:val="00C624B1"/>
    <w:rsid w:val="00C9670D"/>
    <w:rsid w:val="00CA3E0D"/>
    <w:rsid w:val="00CB1D2F"/>
    <w:rsid w:val="00CB7233"/>
    <w:rsid w:val="00CD3455"/>
    <w:rsid w:val="00CE0D47"/>
    <w:rsid w:val="00CE3A91"/>
    <w:rsid w:val="00CE5DFA"/>
    <w:rsid w:val="00CF7861"/>
    <w:rsid w:val="00D02671"/>
    <w:rsid w:val="00D02720"/>
    <w:rsid w:val="00D12F7E"/>
    <w:rsid w:val="00D152CB"/>
    <w:rsid w:val="00D231B5"/>
    <w:rsid w:val="00D26AE2"/>
    <w:rsid w:val="00D274E6"/>
    <w:rsid w:val="00D3081A"/>
    <w:rsid w:val="00D32CD7"/>
    <w:rsid w:val="00D3561A"/>
    <w:rsid w:val="00D35C43"/>
    <w:rsid w:val="00D376A2"/>
    <w:rsid w:val="00D522CC"/>
    <w:rsid w:val="00D55F26"/>
    <w:rsid w:val="00D63D86"/>
    <w:rsid w:val="00D67153"/>
    <w:rsid w:val="00D736CB"/>
    <w:rsid w:val="00D800F6"/>
    <w:rsid w:val="00D95219"/>
    <w:rsid w:val="00DA08EF"/>
    <w:rsid w:val="00DA5138"/>
    <w:rsid w:val="00DA61F1"/>
    <w:rsid w:val="00DB43D4"/>
    <w:rsid w:val="00DC559D"/>
    <w:rsid w:val="00DC75DE"/>
    <w:rsid w:val="00DC761A"/>
    <w:rsid w:val="00DD2000"/>
    <w:rsid w:val="00DD70BA"/>
    <w:rsid w:val="00DD72CD"/>
    <w:rsid w:val="00DE0E27"/>
    <w:rsid w:val="00DE637F"/>
    <w:rsid w:val="00DF00AE"/>
    <w:rsid w:val="00DF16FC"/>
    <w:rsid w:val="00DF72F9"/>
    <w:rsid w:val="00E00B1F"/>
    <w:rsid w:val="00E105B4"/>
    <w:rsid w:val="00E139BB"/>
    <w:rsid w:val="00E47528"/>
    <w:rsid w:val="00E6252B"/>
    <w:rsid w:val="00E706C2"/>
    <w:rsid w:val="00E745E1"/>
    <w:rsid w:val="00E764D5"/>
    <w:rsid w:val="00E82344"/>
    <w:rsid w:val="00E93644"/>
    <w:rsid w:val="00E947C0"/>
    <w:rsid w:val="00EA03DA"/>
    <w:rsid w:val="00EA470E"/>
    <w:rsid w:val="00EC1313"/>
    <w:rsid w:val="00ED0D26"/>
    <w:rsid w:val="00ED6385"/>
    <w:rsid w:val="00EE3B61"/>
    <w:rsid w:val="00F03046"/>
    <w:rsid w:val="00F10CF8"/>
    <w:rsid w:val="00F11404"/>
    <w:rsid w:val="00F124F2"/>
    <w:rsid w:val="00F36170"/>
    <w:rsid w:val="00F4605A"/>
    <w:rsid w:val="00F52A55"/>
    <w:rsid w:val="00F70B4A"/>
    <w:rsid w:val="00F74D56"/>
    <w:rsid w:val="00F75773"/>
    <w:rsid w:val="00F8741B"/>
    <w:rsid w:val="00FA4ED8"/>
    <w:rsid w:val="00FC347D"/>
    <w:rsid w:val="00FC4024"/>
    <w:rsid w:val="00FD0994"/>
    <w:rsid w:val="00FE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1E64450"/>
  <w15:chartTrackingRefBased/>
  <w15:docId w15:val="{FB5DE85A-57C7-4EB8-9B30-6C310B84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0D8"/>
    <w:pPr>
      <w:jc w:val="both"/>
    </w:pPr>
    <w:rPr>
      <w:sz w:val="24"/>
      <w:lang w:val="en-US" w:eastAsia="fr-FR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b/>
      <w:smallCaps/>
      <w:kern w:val="28"/>
      <w:u w:val="single"/>
    </w:rPr>
  </w:style>
  <w:style w:type="paragraph" w:styleId="Nadpis2">
    <w:name w:val="heading 2"/>
    <w:basedOn w:val="Normln"/>
    <w:next w:val="Texte2"/>
    <w:qFormat/>
    <w:pPr>
      <w:keepNext/>
      <w:numPr>
        <w:ilvl w:val="1"/>
        <w:numId w:val="1"/>
      </w:numPr>
      <w:spacing w:before="240" w:after="60"/>
      <w:outlineLvl w:val="1"/>
    </w:pPr>
    <w:rPr>
      <w:b/>
      <w:u w:val="single"/>
    </w:rPr>
  </w:style>
  <w:style w:type="paragraph" w:styleId="Nadpis3">
    <w:name w:val="heading 3"/>
    <w:basedOn w:val="Normln"/>
    <w:next w:val="Texte3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Nadpis4">
    <w:name w:val="heading 4"/>
    <w:basedOn w:val="Normln"/>
    <w:next w:val="Texte4"/>
    <w:qFormat/>
    <w:pPr>
      <w:keepNext/>
      <w:numPr>
        <w:ilvl w:val="3"/>
        <w:numId w:val="1"/>
      </w:numPr>
      <w:spacing w:before="240" w:after="60"/>
      <w:outlineLvl w:val="3"/>
    </w:pPr>
    <w:rPr>
      <w:u w:val="single"/>
    </w:rPr>
  </w:style>
  <w:style w:type="paragraph" w:styleId="Nadpis5">
    <w:name w:val="heading 5"/>
    <w:basedOn w:val="Normln"/>
    <w:next w:val="Texte5"/>
    <w:qFormat/>
    <w:pPr>
      <w:numPr>
        <w:ilvl w:val="4"/>
        <w:numId w:val="1"/>
      </w:numPr>
      <w:spacing w:before="240" w:after="60"/>
      <w:outlineLvl w:val="4"/>
    </w:pPr>
    <w:rPr>
      <w:i/>
      <w:u w:val="single"/>
    </w:rPr>
  </w:style>
  <w:style w:type="paragraph" w:styleId="Nadpis6">
    <w:name w:val="heading 6"/>
    <w:basedOn w:val="Normln"/>
    <w:next w:val="Texte6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Nadpis7">
    <w:name w:val="heading 7"/>
    <w:basedOn w:val="Normln"/>
    <w:next w:val="Texte7"/>
    <w:qFormat/>
    <w:pPr>
      <w:numPr>
        <w:ilvl w:val="6"/>
        <w:numId w:val="1"/>
      </w:numPr>
      <w:spacing w:before="240" w:after="60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e2">
    <w:name w:val="Texte 2"/>
    <w:basedOn w:val="Normln"/>
    <w:pPr>
      <w:ind w:left="227"/>
    </w:pPr>
  </w:style>
  <w:style w:type="paragraph" w:customStyle="1" w:styleId="Texte3">
    <w:name w:val="Texte 3"/>
    <w:basedOn w:val="Normln"/>
    <w:pPr>
      <w:ind w:left="454"/>
    </w:pPr>
  </w:style>
  <w:style w:type="paragraph" w:customStyle="1" w:styleId="Texte4">
    <w:name w:val="Texte 4"/>
    <w:basedOn w:val="Normln"/>
    <w:pPr>
      <w:ind w:left="680"/>
    </w:pPr>
  </w:style>
  <w:style w:type="paragraph" w:customStyle="1" w:styleId="Texte5">
    <w:name w:val="Texte 5"/>
    <w:basedOn w:val="Normln"/>
    <w:pPr>
      <w:ind w:left="907"/>
    </w:pPr>
  </w:style>
  <w:style w:type="paragraph" w:customStyle="1" w:styleId="Texte6">
    <w:name w:val="Texte 6"/>
    <w:basedOn w:val="Normln"/>
    <w:pPr>
      <w:ind w:left="1134"/>
    </w:pPr>
  </w:style>
  <w:style w:type="paragraph" w:customStyle="1" w:styleId="Texte7">
    <w:name w:val="Texte 7"/>
    <w:basedOn w:val="Normln"/>
    <w:pPr>
      <w:ind w:left="1361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odyText21">
    <w:name w:val="Body Text 21"/>
    <w:basedOn w:val="Normln"/>
    <w:pPr>
      <w:jc w:val="left"/>
    </w:pPr>
    <w:rPr>
      <w:i/>
      <w:color w:val="008000"/>
      <w:sz w:val="22"/>
      <w:lang w:val="en-GB"/>
    </w:rPr>
  </w:style>
  <w:style w:type="paragraph" w:styleId="Zkladntext">
    <w:name w:val="Body Text"/>
    <w:basedOn w:val="Normln"/>
    <w:rPr>
      <w:b/>
      <w:bCs/>
    </w:rPr>
  </w:style>
  <w:style w:type="paragraph" w:styleId="Zkladntext2">
    <w:name w:val="Body Text 2"/>
    <w:basedOn w:val="Normln"/>
    <w:rPr>
      <w:b/>
      <w:bCs/>
      <w:u w:val="singl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Level1">
    <w:name w:val="Level 1"/>
    <w:basedOn w:val="Normln"/>
    <w:pPr>
      <w:widowControl w:val="0"/>
      <w:numPr>
        <w:numId w:val="3"/>
      </w:numPr>
      <w:autoSpaceDE w:val="0"/>
      <w:autoSpaceDN w:val="0"/>
      <w:adjustRightInd w:val="0"/>
      <w:ind w:left="148" w:hanging="148"/>
      <w:jc w:val="left"/>
      <w:outlineLvl w:val="0"/>
    </w:pPr>
    <w:rPr>
      <w:rFonts w:ascii="Times New Roman TUR" w:hAnsi="Times New Roman TUR"/>
      <w:szCs w:val="24"/>
    </w:rPr>
  </w:style>
  <w:style w:type="character" w:styleId="Siln">
    <w:name w:val="Strong"/>
    <w:qFormat/>
    <w:rPr>
      <w:b/>
    </w:rPr>
  </w:style>
  <w:style w:type="paragraph" w:styleId="Zkladntextodsazen">
    <w:name w:val="Body Text Indent"/>
    <w:basedOn w:val="Normln"/>
    <w:pPr>
      <w:ind w:left="426" w:hanging="278"/>
    </w:pPr>
  </w:style>
  <w:style w:type="paragraph" w:styleId="Zkladntextodsazen2">
    <w:name w:val="Body Text Indent 2"/>
    <w:basedOn w:val="Normln"/>
    <w:rsid w:val="004403A9"/>
    <w:pPr>
      <w:spacing w:after="120" w:line="480" w:lineRule="auto"/>
      <w:ind w:left="283"/>
    </w:pPr>
  </w:style>
  <w:style w:type="character" w:styleId="Hypertextovodkaz">
    <w:name w:val="Hyperlink"/>
    <w:rsid w:val="004403A9"/>
    <w:rPr>
      <w:color w:val="0000FF"/>
      <w:u w:val="single"/>
    </w:rPr>
  </w:style>
  <w:style w:type="paragraph" w:styleId="Textbubliny">
    <w:name w:val="Balloon Text"/>
    <w:basedOn w:val="Normln"/>
    <w:semiHidden/>
    <w:rsid w:val="00CE0D4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qFormat/>
    <w:rsid w:val="00DD2000"/>
    <w:pPr>
      <w:tabs>
        <w:tab w:val="left" w:pos="0"/>
      </w:tabs>
      <w:ind w:left="567" w:hanging="567"/>
      <w:jc w:val="left"/>
    </w:pPr>
    <w:rPr>
      <w:b/>
      <w:sz w:val="22"/>
      <w:szCs w:val="22"/>
      <w:lang w:val="cs-CZ" w:eastAsia="en-US"/>
    </w:rPr>
  </w:style>
  <w:style w:type="paragraph" w:styleId="Revize">
    <w:name w:val="Revision"/>
    <w:hidden/>
    <w:uiPriority w:val="99"/>
    <w:semiHidden/>
    <w:rsid w:val="00807132"/>
    <w:rPr>
      <w:sz w:val="24"/>
      <w:lang w:val="en-US" w:eastAsia="fr-FR"/>
    </w:rPr>
  </w:style>
  <w:style w:type="character" w:customStyle="1" w:styleId="rynqvb">
    <w:name w:val="rynqvb"/>
    <w:basedOn w:val="Standardnpsmoodstavce"/>
    <w:rsid w:val="00304210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A5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kvbl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E6C19FE0F7F848AF3EF01C796F4799" ma:contentTypeVersion="18" ma:contentTypeDescription="Create a new document." ma:contentTypeScope="" ma:versionID="8e5d7993d92a303c6e13a26c75795761">
  <xsd:schema xmlns:xsd="http://www.w3.org/2001/XMLSchema" xmlns:xs="http://www.w3.org/2001/XMLSchema" xmlns:p="http://schemas.microsoft.com/office/2006/metadata/properties" xmlns:ns2="475dbe14-e6e6-4e48-9d0c-f2238cd72264" xmlns:ns3="0fa7ed56-613c-4591-82d0-5d1e7e244400" xmlns:ns4="e47812bf-c8f0-415c-9dc6-756594725798" targetNamespace="http://schemas.microsoft.com/office/2006/metadata/properties" ma:root="true" ma:fieldsID="c02cca512385a7dca18f499b01166a9e" ns2:_="" ns3:_="" ns4:_="">
    <xsd:import namespace="475dbe14-e6e6-4e48-9d0c-f2238cd72264"/>
    <xsd:import namespace="0fa7ed56-613c-4591-82d0-5d1e7e24440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5dbe14-e6e6-4e48-9d0c-f2238cd7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4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7ed56-613c-4591-82d0-5d1e7e2444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8ceb77d-c86c-46c8-bb1a-ef1fe6f7e9c9}" ma:internalName="TaxCatchAll" ma:showField="CatchAllData" ma:web="0fa7ed56-613c-4591-82d0-5d1e7e2444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475dbe14-e6e6-4e48-9d0c-f2238cd72264" xsi:nil="true"/>
    <lcf76f155ced4ddcb4097134ff3c332f xmlns="475dbe14-e6e6-4e48-9d0c-f2238cd72264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Props1.xml><?xml version="1.0" encoding="utf-8"?>
<ds:datastoreItem xmlns:ds="http://schemas.openxmlformats.org/officeDocument/2006/customXml" ds:itemID="{2706FA52-9A0D-4099-A37C-AAF220CBB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6F583A-D2D2-4A0A-A979-4680760C6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5dbe14-e6e6-4e48-9d0c-f2238cd72264"/>
    <ds:schemaRef ds:uri="0fa7ed56-613c-4591-82d0-5d1e7e24440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8B084-77C7-458E-B361-CE24F566B3D4}">
  <ds:schemaRefs>
    <ds:schemaRef ds:uri="http://schemas.microsoft.com/office/2006/metadata/properties"/>
    <ds:schemaRef ds:uri="http://schemas.microsoft.com/office/infopath/2007/PartnerControls"/>
    <ds:schemaRef ds:uri="475dbe14-e6e6-4e48-9d0c-f2238cd72264"/>
    <ds:schemaRef ds:uri="e47812bf-c8f0-415c-9dc6-756594725798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5</Pages>
  <Words>1200</Words>
  <Characters>7080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SmPC</vt:lpstr>
      <vt:lpstr>SmPC</vt:lpstr>
    </vt:vector>
  </TitlesOfParts>
  <Manager>phm</Manager>
  <Company>MERIAL</Company>
  <LinksUpToDate>false</LinksUpToDate>
  <CharactersWithSpaces>8264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SmPC</dc:title>
  <dc:subject>Gallimune 407</dc:subject>
  <dc:creator>Ivana</dc:creator>
  <cp:keywords/>
  <cp:lastModifiedBy>Nepejchalová Leona</cp:lastModifiedBy>
  <cp:revision>28</cp:revision>
  <cp:lastPrinted>2020-08-30T16:19:00Z</cp:lastPrinted>
  <dcterms:created xsi:type="dcterms:W3CDTF">2023-11-07T09:54:00Z</dcterms:created>
  <dcterms:modified xsi:type="dcterms:W3CDTF">2024-04-17T15:49:00Z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0x010100D0E6C19FE0F7F848AF3EF01C796F4799</vt:lpwstr>
  </property>
  <property fmtid="{D5CDD505-2E9C-101B-9397-08002B2CF9AE}" pid="3" name="MediaServiceImageTags">
    <vt:lpwstr/>
  </property>
</Properties>
</file>