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231A7B52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F9B16F" w14:textId="77777777" w:rsidR="00A45F93" w:rsidRPr="0090043C" w:rsidRDefault="00A45F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90043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0043C">
        <w:rPr>
          <w:b/>
          <w:szCs w:val="22"/>
        </w:rPr>
        <w:t>PŘÍLOHA I</w:t>
      </w:r>
    </w:p>
    <w:p w14:paraId="14C30FC9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90043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0043C">
        <w:rPr>
          <w:b/>
          <w:szCs w:val="22"/>
        </w:rPr>
        <w:t>SOUHRN ÚDAJŮ O PŘÍPRAVKU</w:t>
      </w:r>
    </w:p>
    <w:p w14:paraId="14C30FCB" w14:textId="77777777" w:rsidR="00C114FF" w:rsidRPr="0090043C" w:rsidRDefault="006C6ABC" w:rsidP="00B13B6D">
      <w:pPr>
        <w:pStyle w:val="Style1"/>
      </w:pPr>
      <w:r w:rsidRPr="0090043C">
        <w:br w:type="page"/>
      </w:r>
      <w:r w:rsidRPr="0090043C">
        <w:lastRenderedPageBreak/>
        <w:t>1.</w:t>
      </w:r>
      <w:r w:rsidRPr="0090043C">
        <w:tab/>
        <w:t>NÁZEV VETERINÁRNÍHO LÉČIVÉHO PŘÍPRAVKU</w:t>
      </w:r>
    </w:p>
    <w:p w14:paraId="14C30FCC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3B56F" w14:textId="26E30406" w:rsidR="008351F3" w:rsidRPr="0090043C" w:rsidRDefault="008351F3" w:rsidP="008351F3">
      <w:pPr>
        <w:rPr>
          <w:bCs/>
          <w:snapToGrid w:val="0"/>
          <w:szCs w:val="22"/>
        </w:rPr>
      </w:pPr>
      <w:r w:rsidRPr="0090043C">
        <w:rPr>
          <w:bCs/>
          <w:snapToGrid w:val="0"/>
          <w:szCs w:val="22"/>
        </w:rPr>
        <w:t xml:space="preserve">Nobilis CAV P4 </w:t>
      </w:r>
      <w:r w:rsidR="00CA609B" w:rsidRPr="0090043C">
        <w:rPr>
          <w:bCs/>
          <w:snapToGrid w:val="0"/>
          <w:szCs w:val="22"/>
        </w:rPr>
        <w:t xml:space="preserve">lyofilizát a rozpouštědlo pro </w:t>
      </w:r>
      <w:r w:rsidR="00162F2A" w:rsidRPr="0090043C">
        <w:rPr>
          <w:bCs/>
          <w:snapToGrid w:val="0"/>
          <w:szCs w:val="22"/>
        </w:rPr>
        <w:t xml:space="preserve">injekční </w:t>
      </w:r>
      <w:r w:rsidR="00CA609B" w:rsidRPr="0090043C">
        <w:rPr>
          <w:bCs/>
          <w:snapToGrid w:val="0"/>
          <w:szCs w:val="22"/>
        </w:rPr>
        <w:t xml:space="preserve">suspenzi </w:t>
      </w:r>
    </w:p>
    <w:p w14:paraId="78A3EDF5" w14:textId="77777777" w:rsidR="005C6C67" w:rsidRPr="0090043C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90043C" w:rsidRDefault="006C6ABC" w:rsidP="00B13B6D">
      <w:pPr>
        <w:pStyle w:val="Style1"/>
      </w:pPr>
      <w:r w:rsidRPr="0090043C">
        <w:t>2.</w:t>
      </w:r>
      <w:r w:rsidRPr="0090043C">
        <w:tab/>
        <w:t>KVALITATIVNÍ A KVANTITATIVNÍ SLOŽENÍ</w:t>
      </w:r>
    </w:p>
    <w:p w14:paraId="14C30FD1" w14:textId="61BDD185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1BD706" w14:textId="77777777" w:rsidR="004D4F9E" w:rsidRPr="0090043C" w:rsidRDefault="004D4F9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5425AE" w14:textId="1B4A18F0" w:rsidR="00CA609B" w:rsidRPr="0090043C" w:rsidRDefault="00CA609B" w:rsidP="00A9226B">
      <w:pPr>
        <w:tabs>
          <w:tab w:val="clear" w:pos="567"/>
        </w:tabs>
        <w:spacing w:line="240" w:lineRule="auto"/>
        <w:rPr>
          <w:szCs w:val="22"/>
        </w:rPr>
      </w:pPr>
      <w:r w:rsidRPr="0090043C">
        <w:rPr>
          <w:szCs w:val="22"/>
        </w:rPr>
        <w:t>Každá dávka rekonstituované vakcíny obsahuje:</w:t>
      </w:r>
    </w:p>
    <w:p w14:paraId="04AB6357" w14:textId="77777777" w:rsidR="00CA609B" w:rsidRPr="0090043C" w:rsidRDefault="00CA609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B88AFD" w14:textId="06CE9050" w:rsidR="008351F3" w:rsidRPr="0090043C" w:rsidRDefault="008351F3" w:rsidP="008351F3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90043C">
        <w:rPr>
          <w:b/>
          <w:iCs/>
          <w:szCs w:val="22"/>
        </w:rPr>
        <w:t>Léčivá látka</w:t>
      </w:r>
      <w:r w:rsidR="00B97FAC" w:rsidRPr="0090043C">
        <w:rPr>
          <w:b/>
          <w:iCs/>
          <w:szCs w:val="22"/>
        </w:rPr>
        <w:t>:</w:t>
      </w:r>
    </w:p>
    <w:p w14:paraId="67B8F2B6" w14:textId="3E714B6E" w:rsidR="008351F3" w:rsidRPr="0090043C" w:rsidRDefault="008351F3" w:rsidP="008351F3">
      <w:pPr>
        <w:tabs>
          <w:tab w:val="clear" w:pos="567"/>
        </w:tabs>
        <w:spacing w:line="240" w:lineRule="auto"/>
        <w:rPr>
          <w:bCs/>
          <w:szCs w:val="22"/>
        </w:rPr>
      </w:pPr>
      <w:r w:rsidRPr="0090043C">
        <w:rPr>
          <w:bCs/>
          <w:iCs/>
          <w:szCs w:val="22"/>
        </w:rPr>
        <w:t xml:space="preserve">Virus anemiae infectiosae gallinarum (26P4) </w:t>
      </w:r>
      <w:bookmarkStart w:id="0" w:name="_Hlk158881003"/>
      <w:r w:rsidRPr="0090043C">
        <w:rPr>
          <w:bCs/>
          <w:iCs/>
          <w:szCs w:val="22"/>
        </w:rPr>
        <w:t>≥ 10</w:t>
      </w:r>
      <w:r w:rsidRPr="0090043C">
        <w:rPr>
          <w:bCs/>
          <w:iCs/>
          <w:szCs w:val="22"/>
          <w:vertAlign w:val="superscript"/>
        </w:rPr>
        <w:t>3,0</w:t>
      </w:r>
      <w:r w:rsidRPr="0090043C">
        <w:rPr>
          <w:bCs/>
          <w:iCs/>
          <w:szCs w:val="22"/>
        </w:rPr>
        <w:t xml:space="preserve"> a ≤ 10</w:t>
      </w:r>
      <w:r w:rsidRPr="0090043C">
        <w:rPr>
          <w:bCs/>
          <w:iCs/>
          <w:szCs w:val="22"/>
          <w:vertAlign w:val="superscript"/>
        </w:rPr>
        <w:t xml:space="preserve">5,4 </w:t>
      </w:r>
      <w:r w:rsidRPr="0090043C">
        <w:rPr>
          <w:bCs/>
          <w:iCs/>
          <w:szCs w:val="22"/>
        </w:rPr>
        <w:t>TCID</w:t>
      </w:r>
      <w:r w:rsidRPr="0090043C">
        <w:rPr>
          <w:bCs/>
          <w:iCs/>
          <w:szCs w:val="22"/>
          <w:vertAlign w:val="subscript"/>
        </w:rPr>
        <w:t>50</w:t>
      </w:r>
      <w:r w:rsidRPr="0090043C">
        <w:rPr>
          <w:bCs/>
          <w:iCs/>
          <w:szCs w:val="22"/>
        </w:rPr>
        <w:t>.</w:t>
      </w:r>
      <w:bookmarkEnd w:id="0"/>
    </w:p>
    <w:p w14:paraId="14C30FD5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90043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90043C">
        <w:rPr>
          <w:b/>
          <w:szCs w:val="22"/>
        </w:rPr>
        <w:t>Pomocné látky:</w:t>
      </w:r>
    </w:p>
    <w:p w14:paraId="14C30FD7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5"/>
      </w:tblGrid>
      <w:tr w:rsidR="0090043C" w:rsidRPr="0090043C" w14:paraId="14C30FDA" w14:textId="77777777" w:rsidTr="00BE359A">
        <w:tc>
          <w:tcPr>
            <w:tcW w:w="7285" w:type="dxa"/>
            <w:shd w:val="clear" w:color="auto" w:fill="auto"/>
            <w:vAlign w:val="center"/>
          </w:tcPr>
          <w:p w14:paraId="14C30FD8" w14:textId="3528D38A" w:rsidR="00BE359A" w:rsidRPr="0090043C" w:rsidRDefault="00BE359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0043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90043C" w:rsidRPr="0090043C" w14:paraId="44FE5F70" w14:textId="77777777" w:rsidTr="00BE359A">
        <w:tc>
          <w:tcPr>
            <w:tcW w:w="7285" w:type="dxa"/>
            <w:shd w:val="clear" w:color="auto" w:fill="auto"/>
            <w:vAlign w:val="center"/>
          </w:tcPr>
          <w:p w14:paraId="718187DC" w14:textId="23F359FC" w:rsidR="00BE359A" w:rsidRPr="0090043C" w:rsidDel="008351F3" w:rsidRDefault="00BE359A" w:rsidP="0054296E">
            <w:pPr>
              <w:spacing w:line="360" w:lineRule="auto"/>
              <w:rPr>
                <w:b/>
                <w:bCs/>
                <w:i/>
                <w:iCs/>
                <w:spacing w:val="-2"/>
              </w:rPr>
            </w:pPr>
            <w:r w:rsidRPr="0090043C">
              <w:rPr>
                <w:b/>
                <w:bCs/>
                <w:i/>
                <w:iCs/>
                <w:spacing w:val="-2"/>
              </w:rPr>
              <w:t>Lyofilizát:</w:t>
            </w:r>
          </w:p>
        </w:tc>
      </w:tr>
      <w:tr w:rsidR="0090043C" w:rsidRPr="0090043C" w14:paraId="16B8ECE8" w14:textId="77777777" w:rsidTr="00BE359A">
        <w:tc>
          <w:tcPr>
            <w:tcW w:w="7285" w:type="dxa"/>
            <w:shd w:val="clear" w:color="auto" w:fill="auto"/>
            <w:vAlign w:val="center"/>
          </w:tcPr>
          <w:p w14:paraId="5073F508" w14:textId="4DABC8B4" w:rsidR="00BE359A" w:rsidRPr="0090043C" w:rsidDel="008351F3" w:rsidRDefault="00BE359A" w:rsidP="0054296E">
            <w:pPr>
              <w:spacing w:line="360" w:lineRule="auto"/>
              <w:rPr>
                <w:spacing w:val="-2"/>
              </w:rPr>
            </w:pPr>
            <w:r w:rsidRPr="0090043C">
              <w:rPr>
                <w:spacing w:val="-2"/>
              </w:rPr>
              <w:t>Pankreatinem lyzovaný kasein</w:t>
            </w:r>
          </w:p>
        </w:tc>
      </w:tr>
      <w:tr w:rsidR="0090043C" w:rsidRPr="0090043C" w14:paraId="77500907" w14:textId="77777777" w:rsidTr="00BE359A">
        <w:tc>
          <w:tcPr>
            <w:tcW w:w="7285" w:type="dxa"/>
            <w:shd w:val="clear" w:color="auto" w:fill="auto"/>
            <w:vAlign w:val="center"/>
          </w:tcPr>
          <w:p w14:paraId="69D46D96" w14:textId="29B9068A" w:rsidR="00BE359A" w:rsidRPr="0090043C" w:rsidDel="008351F3" w:rsidRDefault="00BE359A" w:rsidP="0054296E">
            <w:pPr>
              <w:spacing w:line="360" w:lineRule="auto"/>
              <w:rPr>
                <w:spacing w:val="-2"/>
              </w:rPr>
            </w:pPr>
            <w:r w:rsidRPr="0090043C">
              <w:rPr>
                <w:spacing w:val="-2"/>
              </w:rPr>
              <w:t>Dextran</w:t>
            </w:r>
            <w:r w:rsidR="0054296E" w:rsidRPr="0090043C">
              <w:rPr>
                <w:spacing w:val="-2"/>
              </w:rPr>
              <w:t xml:space="preserve"> 70</w:t>
            </w:r>
          </w:p>
        </w:tc>
      </w:tr>
      <w:tr w:rsidR="0090043C" w:rsidRPr="0090043C" w14:paraId="12C472D6" w14:textId="77777777" w:rsidTr="00BE359A">
        <w:tc>
          <w:tcPr>
            <w:tcW w:w="7285" w:type="dxa"/>
            <w:shd w:val="clear" w:color="auto" w:fill="auto"/>
            <w:vAlign w:val="center"/>
          </w:tcPr>
          <w:p w14:paraId="14A64CF8" w14:textId="75E9143B" w:rsidR="00BE359A" w:rsidRPr="0090043C" w:rsidDel="008351F3" w:rsidRDefault="00BE359A" w:rsidP="0054296E">
            <w:pPr>
              <w:spacing w:line="360" w:lineRule="auto"/>
              <w:rPr>
                <w:spacing w:val="-2"/>
              </w:rPr>
            </w:pPr>
            <w:r w:rsidRPr="0090043C">
              <w:rPr>
                <w:spacing w:val="-2"/>
              </w:rPr>
              <w:t>Sorbitol</w:t>
            </w:r>
          </w:p>
        </w:tc>
      </w:tr>
      <w:tr w:rsidR="0090043C" w:rsidRPr="0090043C" w14:paraId="1B2FDE60" w14:textId="77777777" w:rsidTr="00BE359A">
        <w:tc>
          <w:tcPr>
            <w:tcW w:w="7285" w:type="dxa"/>
            <w:shd w:val="clear" w:color="auto" w:fill="auto"/>
            <w:vAlign w:val="center"/>
          </w:tcPr>
          <w:p w14:paraId="2BA0FF55" w14:textId="12DE1CFD" w:rsidR="00BE359A" w:rsidRPr="0090043C" w:rsidDel="008351F3" w:rsidRDefault="00BE359A" w:rsidP="0054296E">
            <w:pPr>
              <w:spacing w:line="360" w:lineRule="auto"/>
              <w:rPr>
                <w:spacing w:val="-2"/>
              </w:rPr>
            </w:pPr>
            <w:r w:rsidRPr="0090043C">
              <w:rPr>
                <w:spacing w:val="-2"/>
              </w:rPr>
              <w:t>S</w:t>
            </w:r>
            <w:r w:rsidR="008A38B4" w:rsidRPr="0090043C">
              <w:rPr>
                <w:spacing w:val="-2"/>
              </w:rPr>
              <w:t>acharosa</w:t>
            </w:r>
          </w:p>
        </w:tc>
      </w:tr>
      <w:tr w:rsidR="0090043C" w:rsidRPr="0090043C" w14:paraId="34AEF28D" w14:textId="77777777" w:rsidTr="00BE359A">
        <w:tc>
          <w:tcPr>
            <w:tcW w:w="7285" w:type="dxa"/>
            <w:shd w:val="clear" w:color="auto" w:fill="auto"/>
            <w:vAlign w:val="center"/>
          </w:tcPr>
          <w:p w14:paraId="0324F3AB" w14:textId="1412B5ED" w:rsidR="00BE359A" w:rsidRPr="0090043C" w:rsidDel="008351F3" w:rsidRDefault="00BE359A" w:rsidP="0054296E">
            <w:pPr>
              <w:spacing w:line="360" w:lineRule="auto"/>
              <w:rPr>
                <w:spacing w:val="-2"/>
              </w:rPr>
            </w:pPr>
            <w:r w:rsidRPr="0090043C">
              <w:rPr>
                <w:spacing w:val="-2"/>
              </w:rPr>
              <w:t>Želatina</w:t>
            </w:r>
          </w:p>
        </w:tc>
      </w:tr>
      <w:tr w:rsidR="0090043C" w:rsidRPr="0090043C" w14:paraId="4FEE3192" w14:textId="77777777" w:rsidTr="00BE359A">
        <w:tc>
          <w:tcPr>
            <w:tcW w:w="7285" w:type="dxa"/>
            <w:shd w:val="clear" w:color="auto" w:fill="auto"/>
            <w:vAlign w:val="center"/>
          </w:tcPr>
          <w:p w14:paraId="48231765" w14:textId="34E53E1D" w:rsidR="0054296E" w:rsidRPr="0090043C" w:rsidDel="008351F3" w:rsidRDefault="00775844" w:rsidP="0054296E">
            <w:pPr>
              <w:spacing w:line="360" w:lineRule="auto"/>
              <w:rPr>
                <w:iCs/>
                <w:szCs w:val="22"/>
              </w:rPr>
            </w:pPr>
            <w:r w:rsidRPr="0090043C">
              <w:rPr>
                <w:spacing w:val="-2"/>
              </w:rPr>
              <w:t>Hydrogenfosforečnan draselný</w:t>
            </w:r>
          </w:p>
        </w:tc>
      </w:tr>
      <w:tr w:rsidR="0090043C" w:rsidRPr="0090043C" w14:paraId="43B83C34" w14:textId="77777777" w:rsidTr="00BE359A">
        <w:tc>
          <w:tcPr>
            <w:tcW w:w="7285" w:type="dxa"/>
            <w:shd w:val="clear" w:color="auto" w:fill="auto"/>
            <w:vAlign w:val="center"/>
          </w:tcPr>
          <w:p w14:paraId="78D60C19" w14:textId="3D471A87" w:rsidR="00BE359A" w:rsidRPr="0090043C" w:rsidDel="008351F3" w:rsidRDefault="00BE359A" w:rsidP="0054296E">
            <w:pPr>
              <w:spacing w:line="360" w:lineRule="auto"/>
              <w:rPr>
                <w:b/>
                <w:bCs/>
                <w:i/>
                <w:iCs/>
                <w:spacing w:val="-2"/>
              </w:rPr>
            </w:pPr>
            <w:r w:rsidRPr="0090043C">
              <w:rPr>
                <w:spacing w:val="-2"/>
              </w:rPr>
              <w:t>Dihydrogenfosforečnan draselný</w:t>
            </w:r>
          </w:p>
        </w:tc>
      </w:tr>
      <w:tr w:rsidR="0090043C" w:rsidRPr="0090043C" w14:paraId="607077BF" w14:textId="77777777" w:rsidTr="00CE64FC">
        <w:trPr>
          <w:trHeight w:val="350"/>
        </w:trPr>
        <w:tc>
          <w:tcPr>
            <w:tcW w:w="7285" w:type="dxa"/>
            <w:shd w:val="clear" w:color="auto" w:fill="auto"/>
            <w:vAlign w:val="center"/>
          </w:tcPr>
          <w:p w14:paraId="5C79AA22" w14:textId="6FCFEE9F" w:rsidR="00BE359A" w:rsidRPr="0090043C" w:rsidDel="008351F3" w:rsidRDefault="00BE359A" w:rsidP="0054296E">
            <w:pPr>
              <w:spacing w:line="360" w:lineRule="auto"/>
              <w:rPr>
                <w:b/>
                <w:bCs/>
                <w:i/>
                <w:iCs/>
                <w:spacing w:val="-2"/>
              </w:rPr>
            </w:pPr>
            <w:r w:rsidRPr="0090043C">
              <w:rPr>
                <w:iCs/>
                <w:szCs w:val="22"/>
              </w:rPr>
              <w:t>Gentamicin sulfát</w:t>
            </w:r>
          </w:p>
        </w:tc>
      </w:tr>
      <w:tr w:rsidR="0090043C" w:rsidRPr="0090043C" w14:paraId="029B7600" w14:textId="77777777" w:rsidTr="00CE64FC">
        <w:trPr>
          <w:trHeight w:val="350"/>
        </w:trPr>
        <w:tc>
          <w:tcPr>
            <w:tcW w:w="7285" w:type="dxa"/>
            <w:shd w:val="clear" w:color="auto" w:fill="auto"/>
            <w:vAlign w:val="center"/>
          </w:tcPr>
          <w:p w14:paraId="1259CA0C" w14:textId="663B4A63" w:rsidR="00BE359A" w:rsidRPr="0090043C" w:rsidDel="008351F3" w:rsidRDefault="00BE359A" w:rsidP="0054296E">
            <w:pPr>
              <w:spacing w:line="360" w:lineRule="auto"/>
              <w:rPr>
                <w:b/>
                <w:bCs/>
                <w:i/>
                <w:iCs/>
                <w:spacing w:val="-2"/>
              </w:rPr>
            </w:pPr>
            <w:r w:rsidRPr="0090043C">
              <w:rPr>
                <w:iCs/>
                <w:szCs w:val="22"/>
              </w:rPr>
              <w:t>Voda pro injekci</w:t>
            </w:r>
          </w:p>
        </w:tc>
      </w:tr>
      <w:tr w:rsidR="0090043C" w:rsidRPr="0090043C" w14:paraId="14C30FDD" w14:textId="77777777" w:rsidTr="00CE64FC">
        <w:trPr>
          <w:trHeight w:val="440"/>
        </w:trPr>
        <w:tc>
          <w:tcPr>
            <w:tcW w:w="7285" w:type="dxa"/>
            <w:shd w:val="clear" w:color="auto" w:fill="auto"/>
            <w:vAlign w:val="center"/>
          </w:tcPr>
          <w:p w14:paraId="14C30FDB" w14:textId="6E0AC257" w:rsidR="00BE359A" w:rsidRPr="0090043C" w:rsidRDefault="00BE359A" w:rsidP="00BE359A">
            <w:pPr>
              <w:rPr>
                <w:b/>
                <w:bCs/>
                <w:i/>
                <w:iCs/>
                <w:spacing w:val="-2"/>
              </w:rPr>
            </w:pPr>
            <w:r w:rsidRPr="0090043C">
              <w:rPr>
                <w:b/>
                <w:bCs/>
                <w:i/>
                <w:iCs/>
                <w:spacing w:val="-2"/>
              </w:rPr>
              <w:t>Rozpouštědlo Dilavia</w:t>
            </w:r>
          </w:p>
        </w:tc>
      </w:tr>
      <w:tr w:rsidR="0090043C" w:rsidRPr="0090043C" w14:paraId="14C30FE0" w14:textId="77777777" w:rsidTr="00BE359A">
        <w:tc>
          <w:tcPr>
            <w:tcW w:w="7285" w:type="dxa"/>
            <w:shd w:val="clear" w:color="auto" w:fill="auto"/>
            <w:vAlign w:val="center"/>
          </w:tcPr>
          <w:p w14:paraId="14C30FDE" w14:textId="544C0F79" w:rsidR="00BE359A" w:rsidRPr="0090043C" w:rsidRDefault="00BE359A" w:rsidP="00BE359A">
            <w:pPr>
              <w:spacing w:before="60" w:after="60"/>
              <w:rPr>
                <w:iCs/>
                <w:szCs w:val="22"/>
              </w:rPr>
            </w:pPr>
            <w:r w:rsidRPr="0090043C">
              <w:rPr>
                <w:spacing w:val="-2"/>
              </w:rPr>
              <w:t>Tokoferol-alfa-acetát</w:t>
            </w:r>
          </w:p>
        </w:tc>
      </w:tr>
      <w:tr w:rsidR="0090043C" w:rsidRPr="0090043C" w14:paraId="14C30FE3" w14:textId="77777777" w:rsidTr="00BE359A">
        <w:tc>
          <w:tcPr>
            <w:tcW w:w="7285" w:type="dxa"/>
            <w:shd w:val="clear" w:color="auto" w:fill="auto"/>
            <w:vAlign w:val="center"/>
          </w:tcPr>
          <w:p w14:paraId="14C30FE1" w14:textId="7ED05187" w:rsidR="00BE359A" w:rsidRPr="0090043C" w:rsidRDefault="00BE359A" w:rsidP="00BE359A">
            <w:pPr>
              <w:spacing w:before="60" w:after="60"/>
              <w:rPr>
                <w:iCs/>
                <w:szCs w:val="22"/>
              </w:rPr>
            </w:pPr>
            <w:r w:rsidRPr="0090043C">
              <w:rPr>
                <w:spacing w:val="-2"/>
              </w:rPr>
              <w:t>Polysorbát 80</w:t>
            </w:r>
          </w:p>
        </w:tc>
      </w:tr>
      <w:tr w:rsidR="0090043C" w:rsidRPr="0090043C" w14:paraId="14C30FE6" w14:textId="77777777" w:rsidTr="00BE359A">
        <w:tc>
          <w:tcPr>
            <w:tcW w:w="7285" w:type="dxa"/>
            <w:shd w:val="clear" w:color="auto" w:fill="auto"/>
            <w:vAlign w:val="center"/>
          </w:tcPr>
          <w:p w14:paraId="14C30FE4" w14:textId="617FA72D" w:rsidR="00BE359A" w:rsidRPr="0090043C" w:rsidRDefault="00BE359A" w:rsidP="00BE359A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90043C">
              <w:rPr>
                <w:spacing w:val="-2"/>
              </w:rPr>
              <w:t>Chlorid sodný</w:t>
            </w:r>
          </w:p>
        </w:tc>
      </w:tr>
      <w:tr w:rsidR="0090043C" w:rsidRPr="0090043C" w14:paraId="14C30FE9" w14:textId="77777777" w:rsidTr="00BE359A">
        <w:tc>
          <w:tcPr>
            <w:tcW w:w="7285" w:type="dxa"/>
            <w:shd w:val="clear" w:color="auto" w:fill="auto"/>
            <w:vAlign w:val="center"/>
          </w:tcPr>
          <w:p w14:paraId="14C30FE7" w14:textId="43394E9B" w:rsidR="00BE359A" w:rsidRPr="0090043C" w:rsidRDefault="00BE359A" w:rsidP="00BE359A">
            <w:pPr>
              <w:spacing w:before="60" w:after="60"/>
              <w:rPr>
                <w:iCs/>
                <w:szCs w:val="22"/>
              </w:rPr>
            </w:pPr>
            <w:r w:rsidRPr="0090043C">
              <w:rPr>
                <w:spacing w:val="-2"/>
              </w:rPr>
              <w:t>Dihydrogenfosforečnan draselný</w:t>
            </w:r>
          </w:p>
        </w:tc>
      </w:tr>
      <w:tr w:rsidR="0090043C" w:rsidRPr="0090043C" w14:paraId="5EEA4EB3" w14:textId="77777777" w:rsidTr="00BE359A">
        <w:tc>
          <w:tcPr>
            <w:tcW w:w="7285" w:type="dxa"/>
            <w:shd w:val="clear" w:color="auto" w:fill="auto"/>
            <w:vAlign w:val="center"/>
          </w:tcPr>
          <w:p w14:paraId="0AD5F487" w14:textId="561A4E8A" w:rsidR="00BE359A" w:rsidRPr="0090043C" w:rsidRDefault="00BE359A" w:rsidP="00BE359A">
            <w:pPr>
              <w:spacing w:before="60" w:after="60"/>
              <w:rPr>
                <w:iCs/>
                <w:szCs w:val="22"/>
              </w:rPr>
            </w:pPr>
            <w:r w:rsidRPr="0090043C">
              <w:rPr>
                <w:spacing w:val="-2"/>
              </w:rPr>
              <w:t>Dihydrát hydrogenfosforečnanu sodného</w:t>
            </w:r>
          </w:p>
        </w:tc>
      </w:tr>
      <w:tr w:rsidR="0090043C" w:rsidRPr="0090043C" w14:paraId="0722F324" w14:textId="77777777" w:rsidTr="00BE359A">
        <w:tc>
          <w:tcPr>
            <w:tcW w:w="7285" w:type="dxa"/>
            <w:shd w:val="clear" w:color="auto" w:fill="auto"/>
            <w:vAlign w:val="center"/>
          </w:tcPr>
          <w:p w14:paraId="5DDA0F3A" w14:textId="7B77A7BB" w:rsidR="00BE359A" w:rsidRPr="0090043C" w:rsidRDefault="00BE359A" w:rsidP="00BE359A">
            <w:pPr>
              <w:spacing w:before="60" w:after="60"/>
              <w:rPr>
                <w:iCs/>
                <w:szCs w:val="22"/>
              </w:rPr>
            </w:pPr>
            <w:r w:rsidRPr="0090043C">
              <w:rPr>
                <w:spacing w:val="-2"/>
              </w:rPr>
              <w:t>Simetikon</w:t>
            </w:r>
          </w:p>
        </w:tc>
      </w:tr>
      <w:tr w:rsidR="0090043C" w:rsidRPr="0090043C" w14:paraId="5518C417" w14:textId="77777777" w:rsidTr="00BE359A">
        <w:tc>
          <w:tcPr>
            <w:tcW w:w="7285" w:type="dxa"/>
            <w:shd w:val="clear" w:color="auto" w:fill="auto"/>
            <w:vAlign w:val="center"/>
          </w:tcPr>
          <w:p w14:paraId="62D66B64" w14:textId="04FA78D7" w:rsidR="00BE359A" w:rsidRPr="0090043C" w:rsidRDefault="00BE359A" w:rsidP="00BE359A">
            <w:pPr>
              <w:spacing w:before="60" w:after="60"/>
              <w:rPr>
                <w:iCs/>
                <w:szCs w:val="22"/>
              </w:rPr>
            </w:pPr>
            <w:r w:rsidRPr="0090043C">
              <w:rPr>
                <w:spacing w:val="-2"/>
              </w:rPr>
              <w:t>Voda pro injekci</w:t>
            </w:r>
          </w:p>
        </w:tc>
      </w:tr>
      <w:tr w:rsidR="0090043C" w:rsidRPr="0090043C" w14:paraId="7B9FFEAE" w14:textId="77777777" w:rsidTr="004D4F9E">
        <w:trPr>
          <w:trHeight w:val="413"/>
        </w:trPr>
        <w:tc>
          <w:tcPr>
            <w:tcW w:w="7285" w:type="dxa"/>
            <w:shd w:val="clear" w:color="auto" w:fill="auto"/>
            <w:vAlign w:val="center"/>
          </w:tcPr>
          <w:p w14:paraId="32278969" w14:textId="73577E6B" w:rsidR="00BE359A" w:rsidRPr="0090043C" w:rsidRDefault="00BE359A" w:rsidP="00BE359A">
            <w:pPr>
              <w:rPr>
                <w:iCs/>
                <w:szCs w:val="22"/>
              </w:rPr>
            </w:pPr>
            <w:r w:rsidRPr="0090043C">
              <w:rPr>
                <w:b/>
                <w:bCs/>
                <w:i/>
                <w:iCs/>
                <w:spacing w:val="-2"/>
              </w:rPr>
              <w:t>Rozpouštědlo Diluent FD Poultry Vaccines:</w:t>
            </w:r>
          </w:p>
        </w:tc>
      </w:tr>
      <w:tr w:rsidR="0090043C" w:rsidRPr="0090043C" w14:paraId="56974511" w14:textId="77777777" w:rsidTr="00BE359A">
        <w:tc>
          <w:tcPr>
            <w:tcW w:w="7285" w:type="dxa"/>
            <w:shd w:val="clear" w:color="auto" w:fill="auto"/>
            <w:vAlign w:val="center"/>
          </w:tcPr>
          <w:p w14:paraId="6B3360A7" w14:textId="17FA8874" w:rsidR="00BE359A" w:rsidRPr="0090043C" w:rsidRDefault="00BE359A" w:rsidP="00BE359A">
            <w:pPr>
              <w:spacing w:before="60" w:after="60"/>
              <w:rPr>
                <w:iCs/>
                <w:szCs w:val="22"/>
              </w:rPr>
            </w:pPr>
            <w:r w:rsidRPr="0090043C">
              <w:rPr>
                <w:spacing w:val="-2"/>
              </w:rPr>
              <w:t>Sacha</w:t>
            </w:r>
            <w:r w:rsidR="0093770A" w:rsidRPr="0090043C">
              <w:rPr>
                <w:spacing w:val="-2"/>
              </w:rPr>
              <w:t>rosa</w:t>
            </w:r>
          </w:p>
        </w:tc>
      </w:tr>
      <w:tr w:rsidR="0090043C" w:rsidRPr="0090043C" w14:paraId="2A84D832" w14:textId="77777777" w:rsidTr="00BE359A">
        <w:tc>
          <w:tcPr>
            <w:tcW w:w="7285" w:type="dxa"/>
            <w:shd w:val="clear" w:color="auto" w:fill="auto"/>
            <w:vAlign w:val="center"/>
          </w:tcPr>
          <w:p w14:paraId="04418807" w14:textId="4C85542E" w:rsidR="00BE359A" w:rsidRPr="0090043C" w:rsidRDefault="00BE359A" w:rsidP="00BE359A">
            <w:pPr>
              <w:spacing w:before="60" w:after="60"/>
              <w:rPr>
                <w:iCs/>
                <w:szCs w:val="22"/>
              </w:rPr>
            </w:pPr>
            <w:r w:rsidRPr="0090043C">
              <w:rPr>
                <w:spacing w:val="-2"/>
              </w:rPr>
              <w:t>Chlorid sodný</w:t>
            </w:r>
          </w:p>
        </w:tc>
      </w:tr>
      <w:tr w:rsidR="0090043C" w:rsidRPr="0090043C" w14:paraId="7CC36777" w14:textId="77777777" w:rsidTr="00BE359A">
        <w:tc>
          <w:tcPr>
            <w:tcW w:w="7285" w:type="dxa"/>
            <w:shd w:val="clear" w:color="auto" w:fill="auto"/>
            <w:vAlign w:val="center"/>
          </w:tcPr>
          <w:p w14:paraId="4566CCB5" w14:textId="01B6C6F4" w:rsidR="00BE359A" w:rsidRPr="0090043C" w:rsidRDefault="00BE359A" w:rsidP="00BE359A">
            <w:pPr>
              <w:spacing w:before="60" w:after="60"/>
              <w:rPr>
                <w:iCs/>
                <w:szCs w:val="22"/>
              </w:rPr>
            </w:pPr>
            <w:r w:rsidRPr="0090043C">
              <w:rPr>
                <w:spacing w:val="-2"/>
              </w:rPr>
              <w:t>Dihydrát hydrogenfosforečnanu sodného</w:t>
            </w:r>
          </w:p>
        </w:tc>
      </w:tr>
      <w:tr w:rsidR="0090043C" w:rsidRPr="0090043C" w14:paraId="4E65C21F" w14:textId="77777777" w:rsidTr="00BE359A">
        <w:tc>
          <w:tcPr>
            <w:tcW w:w="7285" w:type="dxa"/>
            <w:shd w:val="clear" w:color="auto" w:fill="auto"/>
            <w:vAlign w:val="center"/>
          </w:tcPr>
          <w:p w14:paraId="6F654AB2" w14:textId="5DAC341E" w:rsidR="00BE359A" w:rsidRPr="0090043C" w:rsidRDefault="00BE359A" w:rsidP="00BE359A">
            <w:pPr>
              <w:spacing w:before="60" w:after="60"/>
              <w:rPr>
                <w:iCs/>
                <w:szCs w:val="22"/>
              </w:rPr>
            </w:pPr>
            <w:r w:rsidRPr="0090043C">
              <w:rPr>
                <w:spacing w:val="-2"/>
              </w:rPr>
              <w:t>Dihydrogenfosforečnan draselný</w:t>
            </w:r>
          </w:p>
        </w:tc>
      </w:tr>
      <w:tr w:rsidR="0090043C" w:rsidRPr="0090043C" w14:paraId="2E6A84E2" w14:textId="77777777" w:rsidTr="00BE359A">
        <w:tc>
          <w:tcPr>
            <w:tcW w:w="7285" w:type="dxa"/>
            <w:shd w:val="clear" w:color="auto" w:fill="auto"/>
            <w:vAlign w:val="center"/>
          </w:tcPr>
          <w:p w14:paraId="15E23E28" w14:textId="59BB2139" w:rsidR="00BE359A" w:rsidRPr="0090043C" w:rsidRDefault="00BE359A" w:rsidP="00BE359A">
            <w:pPr>
              <w:spacing w:before="60" w:after="60"/>
              <w:rPr>
                <w:iCs/>
                <w:szCs w:val="22"/>
              </w:rPr>
            </w:pPr>
            <w:r w:rsidRPr="0090043C">
              <w:rPr>
                <w:spacing w:val="-2"/>
              </w:rPr>
              <w:t>Fenolsulfonftalein</w:t>
            </w:r>
          </w:p>
        </w:tc>
      </w:tr>
      <w:tr w:rsidR="00BE359A" w:rsidRPr="0090043C" w14:paraId="57139D01" w14:textId="77777777" w:rsidTr="004D4F9E">
        <w:trPr>
          <w:trHeight w:val="377"/>
        </w:trPr>
        <w:tc>
          <w:tcPr>
            <w:tcW w:w="7285" w:type="dxa"/>
            <w:shd w:val="clear" w:color="auto" w:fill="auto"/>
            <w:vAlign w:val="center"/>
          </w:tcPr>
          <w:p w14:paraId="4778ACB1" w14:textId="01519466" w:rsidR="00BE359A" w:rsidRPr="0090043C" w:rsidRDefault="00BE359A" w:rsidP="00BE359A">
            <w:r w:rsidRPr="0090043C">
              <w:rPr>
                <w:spacing w:val="-2"/>
              </w:rPr>
              <w:t>Voda pro injekci</w:t>
            </w:r>
          </w:p>
        </w:tc>
      </w:tr>
    </w:tbl>
    <w:p w14:paraId="14C30FEA" w14:textId="77777777" w:rsidR="00872C48" w:rsidRPr="0090043C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16A985" w14:textId="77777777" w:rsidR="00DF6C97" w:rsidRPr="0090043C" w:rsidRDefault="00DF6C97" w:rsidP="00DF6C97">
      <w:pPr>
        <w:tabs>
          <w:tab w:val="clear" w:pos="567"/>
        </w:tabs>
        <w:spacing w:line="240" w:lineRule="auto"/>
        <w:rPr>
          <w:szCs w:val="22"/>
        </w:rPr>
      </w:pPr>
      <w:r w:rsidRPr="0090043C">
        <w:rPr>
          <w:szCs w:val="22"/>
        </w:rPr>
        <w:t>Lyofilizát: bělavá nebo krémově zbarvená peleta.</w:t>
      </w:r>
    </w:p>
    <w:p w14:paraId="14C30FEB" w14:textId="2A536FCA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F46E40" w14:textId="77777777" w:rsidR="00DF6C97" w:rsidRPr="0090043C" w:rsidRDefault="00DF6C9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90043C" w:rsidRDefault="006C6ABC" w:rsidP="00B13B6D">
      <w:pPr>
        <w:pStyle w:val="Style1"/>
      </w:pPr>
      <w:r w:rsidRPr="0090043C">
        <w:t>3.</w:t>
      </w:r>
      <w:r w:rsidRPr="0090043C">
        <w:tab/>
        <w:t>KLINICKÉ INFORMACE</w:t>
      </w:r>
    </w:p>
    <w:p w14:paraId="14C30FED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90043C" w:rsidRDefault="006C6ABC" w:rsidP="00B13B6D">
      <w:pPr>
        <w:pStyle w:val="Style1"/>
      </w:pPr>
      <w:r w:rsidRPr="0090043C">
        <w:t>3.1</w:t>
      </w:r>
      <w:r w:rsidRPr="0090043C">
        <w:tab/>
        <w:t>Cílové druhy zvířat</w:t>
      </w:r>
    </w:p>
    <w:p w14:paraId="14C30FEF" w14:textId="679FA2EC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B6F7BB" w14:textId="01AC0E83" w:rsidR="00C352F7" w:rsidRPr="0090043C" w:rsidRDefault="00C352F7" w:rsidP="00A9226B">
      <w:pPr>
        <w:tabs>
          <w:tab w:val="clear" w:pos="567"/>
        </w:tabs>
        <w:spacing w:line="240" w:lineRule="auto"/>
        <w:rPr>
          <w:szCs w:val="22"/>
        </w:rPr>
      </w:pPr>
      <w:r w:rsidRPr="0090043C">
        <w:rPr>
          <w:szCs w:val="22"/>
        </w:rPr>
        <w:t>Kur domácí.</w:t>
      </w:r>
    </w:p>
    <w:p w14:paraId="40B55962" w14:textId="0832DB60" w:rsidR="00C352F7" w:rsidRPr="0090043C" w:rsidRDefault="00C352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90043C" w:rsidRDefault="006C6ABC" w:rsidP="00B13B6D">
      <w:pPr>
        <w:pStyle w:val="Style1"/>
      </w:pPr>
      <w:r w:rsidRPr="0090043C">
        <w:t>3.2</w:t>
      </w:r>
      <w:r w:rsidRPr="0090043C">
        <w:tab/>
        <w:t xml:space="preserve">Indikace pro použití pro každý cílový druh </w:t>
      </w:r>
      <w:r w:rsidR="0043586F" w:rsidRPr="0090043C">
        <w:t>zvířat</w:t>
      </w:r>
    </w:p>
    <w:p w14:paraId="14C30FF1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310C41" w14:textId="31B6C0C2" w:rsidR="008351F3" w:rsidRPr="0090043C" w:rsidRDefault="008351F3" w:rsidP="008351F3">
      <w:pPr>
        <w:rPr>
          <w:szCs w:val="22"/>
        </w:rPr>
      </w:pPr>
      <w:r w:rsidRPr="0090043C">
        <w:rPr>
          <w:szCs w:val="22"/>
        </w:rPr>
        <w:t>Imunizace zdravých kuřat proti infekční anemii drůbeže od stáří 6 týdnů až do 6 týdnů před nástupem snášky</w:t>
      </w:r>
      <w:r w:rsidR="00B97FAC" w:rsidRPr="0090043C">
        <w:rPr>
          <w:szCs w:val="22"/>
        </w:rPr>
        <w:t xml:space="preserve"> za účelem ochrany jejich potomstva před vertikálním přenosem a klinickým nebo subklinickým onemocněním</w:t>
      </w:r>
      <w:r w:rsidRPr="0090043C">
        <w:rPr>
          <w:szCs w:val="22"/>
        </w:rPr>
        <w:t>.</w:t>
      </w:r>
    </w:p>
    <w:p w14:paraId="14C30FF5" w14:textId="77777777" w:rsidR="00E86CEE" w:rsidRPr="0090043C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90043C" w:rsidRDefault="006C6ABC" w:rsidP="00B13B6D">
      <w:pPr>
        <w:pStyle w:val="Style1"/>
      </w:pPr>
      <w:r w:rsidRPr="0090043C">
        <w:t>3.3</w:t>
      </w:r>
      <w:r w:rsidRPr="0090043C">
        <w:tab/>
        <w:t>Kontraindikace</w:t>
      </w:r>
    </w:p>
    <w:p w14:paraId="14C30FF7" w14:textId="77777777" w:rsidR="00C114FF" w:rsidRPr="0090043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CF2F930" w14:textId="4B0D92B1" w:rsidR="00B6196F" w:rsidRPr="0090043C" w:rsidRDefault="00DF6C97" w:rsidP="00B6196F">
      <w:pPr>
        <w:tabs>
          <w:tab w:val="clear" w:pos="567"/>
        </w:tabs>
        <w:spacing w:line="240" w:lineRule="auto"/>
      </w:pPr>
      <w:r w:rsidRPr="0090043C">
        <w:t>Nejsou.</w:t>
      </w:r>
    </w:p>
    <w:p w14:paraId="14C30FFB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0D3C6BC3" w:rsidR="00C114FF" w:rsidRPr="0090043C" w:rsidRDefault="006C6ABC" w:rsidP="00B13B6D">
      <w:pPr>
        <w:pStyle w:val="Style1"/>
      </w:pPr>
      <w:r w:rsidRPr="0090043C">
        <w:t>3.4</w:t>
      </w:r>
      <w:r w:rsidRPr="0090043C">
        <w:tab/>
        <w:t>Zvláštní upozornění</w:t>
      </w:r>
    </w:p>
    <w:p w14:paraId="61FEDF05" w14:textId="77777777" w:rsidR="004D4F9E" w:rsidRPr="0090043C" w:rsidRDefault="004D4F9E" w:rsidP="00B13B6D">
      <w:pPr>
        <w:pStyle w:val="Style1"/>
      </w:pPr>
    </w:p>
    <w:p w14:paraId="286073F3" w14:textId="77777777" w:rsidR="00B97FAC" w:rsidRPr="0090043C" w:rsidRDefault="00B97FAC" w:rsidP="00B97FAC">
      <w:pPr>
        <w:tabs>
          <w:tab w:val="clear" w:pos="567"/>
        </w:tabs>
        <w:spacing w:line="240" w:lineRule="auto"/>
        <w:rPr>
          <w:szCs w:val="22"/>
        </w:rPr>
      </w:pPr>
      <w:r w:rsidRPr="0090043C">
        <w:t>Vakcinovat pouze zdravá zvířata.</w:t>
      </w:r>
    </w:p>
    <w:p w14:paraId="14C31001" w14:textId="77777777" w:rsidR="00E86CEE" w:rsidRPr="0090043C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90043C" w:rsidRDefault="006C6ABC" w:rsidP="00B13B6D">
      <w:pPr>
        <w:pStyle w:val="Style1"/>
      </w:pPr>
      <w:r w:rsidRPr="0090043C">
        <w:t>3.5</w:t>
      </w:r>
      <w:r w:rsidRPr="0090043C">
        <w:tab/>
        <w:t>Zvláštní opatření pro použití</w:t>
      </w:r>
    </w:p>
    <w:p w14:paraId="14C31003" w14:textId="77777777" w:rsidR="00C114FF" w:rsidRPr="0090043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90043C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0043C">
        <w:rPr>
          <w:szCs w:val="22"/>
          <w:u w:val="single"/>
        </w:rPr>
        <w:t>Zvláštní opatření pro bezpečné použití u cílových druhů zvířat:</w:t>
      </w:r>
    </w:p>
    <w:p w14:paraId="425A1B71" w14:textId="77777777" w:rsidR="00B97FAC" w:rsidRPr="0090043C" w:rsidRDefault="00B97FAC" w:rsidP="00B97FAC">
      <w:pPr>
        <w:tabs>
          <w:tab w:val="clear" w:pos="567"/>
        </w:tabs>
        <w:spacing w:line="240" w:lineRule="auto"/>
        <w:rPr>
          <w:szCs w:val="22"/>
        </w:rPr>
      </w:pPr>
    </w:p>
    <w:p w14:paraId="15DB8589" w14:textId="245210B6" w:rsidR="00B97FAC" w:rsidRPr="0090043C" w:rsidRDefault="00DF6C97" w:rsidP="00B97FAC">
      <w:pPr>
        <w:tabs>
          <w:tab w:val="clear" w:pos="567"/>
        </w:tabs>
        <w:spacing w:line="240" w:lineRule="auto"/>
      </w:pPr>
      <w:r w:rsidRPr="0090043C">
        <w:t>Neuplatňuje se.</w:t>
      </w:r>
    </w:p>
    <w:p w14:paraId="5C007631" w14:textId="77777777" w:rsidR="00B6196F" w:rsidRPr="0090043C" w:rsidRDefault="00B619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90043C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0043C">
        <w:rPr>
          <w:szCs w:val="22"/>
          <w:u w:val="single"/>
        </w:rPr>
        <w:t>Zvláštní opatření pro osobu, která podává veterinární léčivý přípravek zvířatům:</w:t>
      </w:r>
    </w:p>
    <w:p w14:paraId="0147B589" w14:textId="77777777" w:rsidR="00B97FAC" w:rsidRPr="0090043C" w:rsidRDefault="00B97FAC" w:rsidP="00D868FB">
      <w:pPr>
        <w:pStyle w:val="Retrait1cm"/>
      </w:pPr>
    </w:p>
    <w:p w14:paraId="72594A1A" w14:textId="222BB190" w:rsidR="00B97FAC" w:rsidRPr="0090043C" w:rsidRDefault="00B97FAC" w:rsidP="00D868FB">
      <w:pPr>
        <w:pStyle w:val="Retrait1cm"/>
      </w:pPr>
      <w:r w:rsidRPr="0090043C">
        <w:t xml:space="preserve">Po aplikaci omyjte a dezinfikujte ruce a použité vybavení. </w:t>
      </w:r>
    </w:p>
    <w:p w14:paraId="1C9D360F" w14:textId="77777777" w:rsidR="00DF6C97" w:rsidRPr="0090043C" w:rsidRDefault="00DF6C97" w:rsidP="00DF6C97">
      <w:pPr>
        <w:jc w:val="both"/>
        <w:rPr>
          <w:szCs w:val="22"/>
        </w:rPr>
      </w:pPr>
      <w:r w:rsidRPr="0090043C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1AB9F1E9" w14:textId="77777777" w:rsidR="00B6196F" w:rsidRPr="0090043C" w:rsidRDefault="00B619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90043C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0043C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90043C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90043C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90043C">
        <w:t>Neuplatňuje se.</w:t>
      </w:r>
    </w:p>
    <w:p w14:paraId="14C3102D" w14:textId="77777777" w:rsidR="00295140" w:rsidRPr="0090043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90043C" w:rsidRDefault="006C6ABC" w:rsidP="00B13B6D">
      <w:pPr>
        <w:pStyle w:val="Style1"/>
      </w:pPr>
      <w:r w:rsidRPr="0090043C">
        <w:t>3.6</w:t>
      </w:r>
      <w:r w:rsidRPr="0090043C">
        <w:tab/>
        <w:t>Nežádoucí účinky</w:t>
      </w:r>
    </w:p>
    <w:p w14:paraId="14C31031" w14:textId="77777777" w:rsidR="00295140" w:rsidRPr="0090043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48" w14:textId="00F5ABE5" w:rsidR="00295140" w:rsidRPr="0090043C" w:rsidRDefault="00A45F93" w:rsidP="00AD0710">
      <w:pPr>
        <w:tabs>
          <w:tab w:val="clear" w:pos="567"/>
        </w:tabs>
        <w:spacing w:line="240" w:lineRule="auto"/>
        <w:rPr>
          <w:spacing w:val="-3"/>
        </w:rPr>
      </w:pPr>
      <w:r w:rsidRPr="0090043C">
        <w:rPr>
          <w:spacing w:val="-3"/>
        </w:rPr>
        <w:t>Nejsou</w:t>
      </w:r>
      <w:r w:rsidR="0093145E" w:rsidRPr="0090043C">
        <w:rPr>
          <w:spacing w:val="-3"/>
        </w:rPr>
        <w:t>.</w:t>
      </w:r>
    </w:p>
    <w:p w14:paraId="6B042B1A" w14:textId="77777777" w:rsidR="00B6196F" w:rsidRPr="0090043C" w:rsidRDefault="00B6196F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67448D18" w:rsidR="00F23025" w:rsidRPr="0090043C" w:rsidRDefault="00D774A4" w:rsidP="00F23025">
      <w:pPr>
        <w:rPr>
          <w:szCs w:val="22"/>
        </w:rPr>
      </w:pPr>
      <w:bookmarkStart w:id="1" w:name="_Hlk66891708"/>
      <w:r w:rsidRPr="0090043C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1"/>
      <w:r w:rsidR="00F23025" w:rsidRPr="0090043C">
        <w:t xml:space="preserve">Podrobné kontaktní údaje naleznete v  </w:t>
      </w:r>
      <w:r w:rsidR="000A3303" w:rsidRPr="0090043C">
        <w:t>p</w:t>
      </w:r>
      <w:r w:rsidR="00F23025" w:rsidRPr="0090043C">
        <w:t>říbalové informac</w:t>
      </w:r>
      <w:r w:rsidR="000A3303" w:rsidRPr="0090043C">
        <w:t>i</w:t>
      </w:r>
      <w:r w:rsidR="00F23025" w:rsidRPr="0090043C">
        <w:t>.</w:t>
      </w:r>
    </w:p>
    <w:p w14:paraId="269C3639" w14:textId="77777777" w:rsidR="00B160C8" w:rsidRPr="0090043C" w:rsidRDefault="00B160C8" w:rsidP="00F23025">
      <w:pPr>
        <w:rPr>
          <w:szCs w:val="22"/>
        </w:rPr>
      </w:pPr>
    </w:p>
    <w:p w14:paraId="14C3104B" w14:textId="77777777" w:rsidR="00C114FF" w:rsidRPr="0090043C" w:rsidRDefault="006C6ABC" w:rsidP="00B13B6D">
      <w:pPr>
        <w:pStyle w:val="Style1"/>
      </w:pPr>
      <w:r w:rsidRPr="0090043C">
        <w:t>3.7</w:t>
      </w:r>
      <w:r w:rsidRPr="0090043C">
        <w:tab/>
        <w:t>Použití v průběhu březosti, laktace nebo snášky</w:t>
      </w:r>
    </w:p>
    <w:p w14:paraId="14C3104C" w14:textId="77777777" w:rsidR="00C114FF" w:rsidRPr="0090043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5C" w14:textId="245EE8C2" w:rsidR="00C114FF" w:rsidRPr="0090043C" w:rsidRDefault="006C6ABC" w:rsidP="00E74050">
      <w:pPr>
        <w:tabs>
          <w:tab w:val="clear" w:pos="567"/>
        </w:tabs>
        <w:spacing w:line="240" w:lineRule="auto"/>
        <w:rPr>
          <w:szCs w:val="22"/>
        </w:rPr>
      </w:pPr>
      <w:r w:rsidRPr="0090043C">
        <w:rPr>
          <w:szCs w:val="22"/>
          <w:u w:val="single"/>
        </w:rPr>
        <w:t>Nosnice</w:t>
      </w:r>
      <w:r w:rsidRPr="0090043C">
        <w:t>:</w:t>
      </w:r>
    </w:p>
    <w:p w14:paraId="625B4AD7" w14:textId="77777777" w:rsidR="00B6196F" w:rsidRPr="0090043C" w:rsidRDefault="00B6196F" w:rsidP="00B6196F">
      <w:pPr>
        <w:pStyle w:val="spc2Char"/>
        <w:ind w:left="0"/>
        <w:rPr>
          <w:lang w:val="cs-CZ"/>
        </w:rPr>
      </w:pPr>
      <w:r w:rsidRPr="0090043C">
        <w:rPr>
          <w:lang w:val="cs-CZ"/>
        </w:rPr>
        <w:t>Nepoužívat během snášky.</w:t>
      </w:r>
    </w:p>
    <w:p w14:paraId="14C31061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90043C" w:rsidRDefault="006C6ABC" w:rsidP="00B13B6D">
      <w:pPr>
        <w:pStyle w:val="Style1"/>
      </w:pPr>
      <w:r w:rsidRPr="0090043C">
        <w:t>3.8</w:t>
      </w:r>
      <w:r w:rsidRPr="0090043C">
        <w:tab/>
        <w:t>Interakce s jinými léčivými přípravky a další formy interakce</w:t>
      </w:r>
    </w:p>
    <w:p w14:paraId="14C31063" w14:textId="77777777" w:rsidR="00C114FF" w:rsidRPr="0090043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758A48" w14:textId="77952C86" w:rsidR="00DF6C97" w:rsidRPr="0090043C" w:rsidRDefault="00DF6C97" w:rsidP="00DF6C97">
      <w:pPr>
        <w:pStyle w:val="spc2"/>
        <w:ind w:left="0"/>
        <w:jc w:val="both"/>
        <w:rPr>
          <w:szCs w:val="22"/>
          <w:lang w:val="cs-CZ"/>
        </w:rPr>
      </w:pPr>
      <w:r w:rsidRPr="0090043C">
        <w:rPr>
          <w:szCs w:val="22"/>
          <w:lang w:val="cs-CZ"/>
        </w:rPr>
        <w:t>Nejsou dostupné informace o bezpečnosti a účinnosti této vakcíny, pokud se používá zároveň s jiným veterinárním léčivým přípravkem</w:t>
      </w:r>
      <w:r w:rsidR="000E3D1F" w:rsidRPr="0090043C">
        <w:rPr>
          <w:szCs w:val="22"/>
          <w:lang w:val="cs-CZ"/>
        </w:rPr>
        <w:t>,</w:t>
      </w:r>
      <w:r w:rsidR="001D163D" w:rsidRPr="0090043C">
        <w:rPr>
          <w:lang w:val="cs-CZ"/>
        </w:rPr>
        <w:t xml:space="preserve"> </w:t>
      </w:r>
      <w:r w:rsidR="000E3D1F" w:rsidRPr="0090043C">
        <w:rPr>
          <w:lang w:val="cs-CZ"/>
        </w:rPr>
        <w:t>vyjma inaktivovaných vakcín s olejovým adjuvans řady Nobilis</w:t>
      </w:r>
      <w:r w:rsidRPr="0090043C">
        <w:rPr>
          <w:szCs w:val="22"/>
          <w:lang w:val="cs-CZ"/>
        </w:rPr>
        <w:t>. Rozhodnutí o použití této vakcíny před nebo po jakémkoliv jiném veterinárním léčivém přípravku musí být provedeno na základě zvážení jednotlivých případů.</w:t>
      </w:r>
    </w:p>
    <w:p w14:paraId="14C31072" w14:textId="77777777" w:rsidR="00C90EDA" w:rsidRPr="0090043C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90043C" w:rsidRDefault="006C6ABC" w:rsidP="00B13B6D">
      <w:pPr>
        <w:pStyle w:val="Style1"/>
      </w:pPr>
      <w:bookmarkStart w:id="2" w:name="_Hlk158878412"/>
      <w:r w:rsidRPr="0090043C">
        <w:t>3.9</w:t>
      </w:r>
      <w:r w:rsidRPr="0090043C">
        <w:tab/>
        <w:t>Cesty podání a dávkování</w:t>
      </w:r>
    </w:p>
    <w:p w14:paraId="14C31074" w14:textId="77777777" w:rsidR="00145D34" w:rsidRPr="0090043C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39C3FE" w14:textId="59547D1F" w:rsidR="00B6196F" w:rsidRPr="0090043C" w:rsidRDefault="00B6196F" w:rsidP="00B6196F">
      <w:pPr>
        <w:tabs>
          <w:tab w:val="clear" w:pos="567"/>
        </w:tabs>
        <w:spacing w:line="240" w:lineRule="auto"/>
      </w:pPr>
      <w:r w:rsidRPr="0090043C">
        <w:t>Aplikuje se nejméně 10</w:t>
      </w:r>
      <w:r w:rsidRPr="0090043C">
        <w:rPr>
          <w:vertAlign w:val="superscript"/>
        </w:rPr>
        <w:t>3</w:t>
      </w:r>
      <w:r w:rsidRPr="0090043C">
        <w:t xml:space="preserve"> TCID</w:t>
      </w:r>
      <w:r w:rsidRPr="0090043C">
        <w:rPr>
          <w:vertAlign w:val="subscript"/>
        </w:rPr>
        <w:t>50</w:t>
      </w:r>
      <w:r w:rsidRPr="0090043C">
        <w:t>, tj. 1 dávka na kus intramuskulárně, subkutánně nebo metodou "</w:t>
      </w:r>
      <w:r w:rsidRPr="0090043C">
        <w:rPr>
          <w:i/>
        </w:rPr>
        <w:t>wing-web</w:t>
      </w:r>
      <w:r w:rsidRPr="0090043C">
        <w:t>" (</w:t>
      </w:r>
      <w:r w:rsidR="005C744B" w:rsidRPr="0090043C">
        <w:t>podání do křídlové řasy</w:t>
      </w:r>
      <w:r w:rsidRPr="0090043C">
        <w:t>).</w:t>
      </w:r>
    </w:p>
    <w:bookmarkEnd w:id="2"/>
    <w:p w14:paraId="7A20B3D9" w14:textId="77777777" w:rsidR="00B6196F" w:rsidRPr="0090043C" w:rsidRDefault="00B6196F" w:rsidP="00B6196F">
      <w:pPr>
        <w:tabs>
          <w:tab w:val="clear" w:pos="567"/>
        </w:tabs>
        <w:spacing w:line="240" w:lineRule="auto"/>
      </w:pPr>
    </w:p>
    <w:p w14:paraId="53A07E19" w14:textId="77777777" w:rsidR="00B6196F" w:rsidRPr="0090043C" w:rsidRDefault="00B6196F" w:rsidP="00B6196F">
      <w:pPr>
        <w:tabs>
          <w:tab w:val="clear" w:pos="567"/>
        </w:tabs>
        <w:spacing w:line="240" w:lineRule="auto"/>
      </w:pPr>
      <w:r w:rsidRPr="0090043C">
        <w:t>Vakcinační program:</w:t>
      </w:r>
    </w:p>
    <w:p w14:paraId="4F125F12" w14:textId="736D048F" w:rsidR="00B6196F" w:rsidRPr="0090043C" w:rsidRDefault="00B6196F" w:rsidP="00B6196F">
      <w:pPr>
        <w:tabs>
          <w:tab w:val="clear" w:pos="567"/>
        </w:tabs>
        <w:spacing w:line="240" w:lineRule="auto"/>
      </w:pPr>
      <w:r w:rsidRPr="0090043C">
        <w:t>Drůbež se vakcinuje mezi 6 týdnem stáří a nejpozději 6 týdnů před nástupem snášky.</w:t>
      </w:r>
    </w:p>
    <w:p w14:paraId="14C3107E" w14:textId="438EE147" w:rsidR="00247A48" w:rsidRPr="0090043C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9BA849" w14:textId="77777777" w:rsidR="00D318A8" w:rsidRPr="0090043C" w:rsidRDefault="00D318A8" w:rsidP="00D318A8">
      <w:pPr>
        <w:pStyle w:val="Zkladntext"/>
        <w:rPr>
          <w:b/>
          <w:i/>
          <w:szCs w:val="22"/>
          <w:lang w:eastAsia="cs-CZ"/>
        </w:rPr>
      </w:pPr>
      <w:bookmarkStart w:id="3" w:name="_Hlk158880464"/>
      <w:r w:rsidRPr="0090043C">
        <w:rPr>
          <w:b/>
          <w:i/>
          <w:szCs w:val="22"/>
          <w:lang w:eastAsia="cs-CZ"/>
        </w:rPr>
        <w:t>Příprava vakcíny a dávka pro intramuskulární nebo subkutánní aplikaci</w:t>
      </w:r>
    </w:p>
    <w:p w14:paraId="1393E2D9" w14:textId="57C7BCD2" w:rsidR="00D318A8" w:rsidRPr="0090043C" w:rsidRDefault="00D318A8" w:rsidP="00D318A8">
      <w:pPr>
        <w:pStyle w:val="Zkladntext"/>
        <w:rPr>
          <w:szCs w:val="22"/>
          <w:lang w:eastAsia="cs-CZ"/>
        </w:rPr>
      </w:pPr>
      <w:r w:rsidRPr="0090043C">
        <w:rPr>
          <w:szCs w:val="22"/>
          <w:lang w:eastAsia="cs-CZ"/>
        </w:rPr>
        <w:t xml:space="preserve">Lyofilizovaná vakcína se </w:t>
      </w:r>
      <w:r w:rsidR="00325B5D" w:rsidRPr="0090043C">
        <w:rPr>
          <w:szCs w:val="22"/>
          <w:lang w:eastAsia="cs-CZ"/>
        </w:rPr>
        <w:t>rekonstituuje</w:t>
      </w:r>
      <w:r w:rsidRPr="0090043C">
        <w:rPr>
          <w:szCs w:val="22"/>
          <w:lang w:eastAsia="cs-CZ"/>
        </w:rPr>
        <w:t xml:space="preserve"> </w:t>
      </w:r>
      <w:r w:rsidR="00325B5D" w:rsidRPr="0090043C">
        <w:rPr>
          <w:szCs w:val="22"/>
          <w:lang w:eastAsia="cs-CZ"/>
        </w:rPr>
        <w:t xml:space="preserve">rozpouštědlem </w:t>
      </w:r>
      <w:r w:rsidRPr="0090043C">
        <w:rPr>
          <w:szCs w:val="22"/>
          <w:lang w:eastAsia="cs-CZ"/>
        </w:rPr>
        <w:t xml:space="preserve">Dilavia nebo Diluent FD Poultry Vaccines </w:t>
      </w:r>
      <w:r w:rsidR="00325B5D" w:rsidRPr="0090043C">
        <w:rPr>
          <w:szCs w:val="22"/>
          <w:lang w:eastAsia="cs-CZ"/>
        </w:rPr>
        <w:t xml:space="preserve">od </w:t>
      </w:r>
      <w:r w:rsidRPr="0090043C">
        <w:rPr>
          <w:szCs w:val="22"/>
          <w:lang w:eastAsia="cs-CZ"/>
        </w:rPr>
        <w:t xml:space="preserve">firmy Intervet, které se dodávají na vyžádání, bezprostředně před použitím tak, že na 1000 dávek lyofilizátu připadne 200 ml </w:t>
      </w:r>
      <w:r w:rsidR="00325B5D" w:rsidRPr="0090043C">
        <w:rPr>
          <w:szCs w:val="22"/>
          <w:lang w:eastAsia="cs-CZ"/>
        </w:rPr>
        <w:t>rozpouštědla</w:t>
      </w:r>
      <w:r w:rsidRPr="0090043C">
        <w:rPr>
          <w:szCs w:val="22"/>
          <w:lang w:eastAsia="cs-CZ"/>
        </w:rPr>
        <w:t>, takže výsledná dávka je 0,2 ml na kus.</w:t>
      </w:r>
    </w:p>
    <w:p w14:paraId="2B7248A5" w14:textId="77777777" w:rsidR="00D318A8" w:rsidRPr="0090043C" w:rsidRDefault="00D318A8" w:rsidP="00D318A8">
      <w:pPr>
        <w:pStyle w:val="Zkladntext"/>
        <w:rPr>
          <w:szCs w:val="22"/>
          <w:lang w:eastAsia="cs-CZ"/>
        </w:rPr>
      </w:pPr>
    </w:p>
    <w:p w14:paraId="5A59A30E" w14:textId="6E5FE6C2" w:rsidR="00D318A8" w:rsidRPr="0090043C" w:rsidRDefault="00D318A8" w:rsidP="00D318A8">
      <w:pPr>
        <w:pStyle w:val="Zkladntext"/>
        <w:rPr>
          <w:b/>
          <w:i/>
          <w:szCs w:val="22"/>
          <w:lang w:eastAsia="cs-CZ"/>
        </w:rPr>
      </w:pPr>
      <w:r w:rsidRPr="0090043C">
        <w:rPr>
          <w:b/>
          <w:i/>
          <w:szCs w:val="22"/>
          <w:lang w:eastAsia="cs-CZ"/>
        </w:rPr>
        <w:t xml:space="preserve">Příprava vakcíny a dávka pro metodu </w:t>
      </w:r>
      <w:r w:rsidR="005C744B" w:rsidRPr="0090043C">
        <w:rPr>
          <w:b/>
          <w:i/>
          <w:szCs w:val="22"/>
          <w:lang w:eastAsia="cs-CZ"/>
        </w:rPr>
        <w:t>„</w:t>
      </w:r>
      <w:r w:rsidRPr="0090043C">
        <w:rPr>
          <w:b/>
          <w:i/>
          <w:szCs w:val="22"/>
          <w:lang w:eastAsia="cs-CZ"/>
        </w:rPr>
        <w:t xml:space="preserve"> wing-web</w:t>
      </w:r>
      <w:r w:rsidR="005C744B" w:rsidRPr="0090043C">
        <w:rPr>
          <w:b/>
          <w:i/>
          <w:szCs w:val="22"/>
          <w:lang w:eastAsia="cs-CZ"/>
        </w:rPr>
        <w:t>“</w:t>
      </w:r>
      <w:r w:rsidRPr="0090043C">
        <w:rPr>
          <w:b/>
          <w:i/>
          <w:szCs w:val="22"/>
          <w:lang w:eastAsia="cs-CZ"/>
        </w:rPr>
        <w:t xml:space="preserve"> </w:t>
      </w:r>
      <w:r w:rsidR="009770BD" w:rsidRPr="0090043C">
        <w:rPr>
          <w:b/>
          <w:i/>
          <w:szCs w:val="22"/>
          <w:lang w:eastAsia="cs-CZ"/>
        </w:rPr>
        <w:t>(</w:t>
      </w:r>
      <w:r w:rsidR="005C744B" w:rsidRPr="0090043C">
        <w:rPr>
          <w:b/>
          <w:i/>
          <w:szCs w:val="22"/>
          <w:lang w:eastAsia="cs-CZ"/>
        </w:rPr>
        <w:t>podání</w:t>
      </w:r>
      <w:r w:rsidRPr="0090043C">
        <w:rPr>
          <w:b/>
          <w:i/>
          <w:szCs w:val="22"/>
          <w:lang w:eastAsia="cs-CZ"/>
        </w:rPr>
        <w:t xml:space="preserve"> do křídl</w:t>
      </w:r>
      <w:r w:rsidR="005C744B" w:rsidRPr="0090043C">
        <w:rPr>
          <w:b/>
          <w:i/>
          <w:szCs w:val="22"/>
          <w:lang w:eastAsia="cs-CZ"/>
        </w:rPr>
        <w:t>ové</w:t>
      </w:r>
      <w:r w:rsidRPr="0090043C">
        <w:rPr>
          <w:b/>
          <w:i/>
          <w:szCs w:val="22"/>
          <w:lang w:eastAsia="cs-CZ"/>
        </w:rPr>
        <w:t xml:space="preserve"> řasy)</w:t>
      </w:r>
    </w:p>
    <w:p w14:paraId="3BD12402" w14:textId="679872AD" w:rsidR="00D318A8" w:rsidRPr="0090043C" w:rsidRDefault="00D318A8" w:rsidP="00D318A8">
      <w:pPr>
        <w:pStyle w:val="Zkladntext"/>
        <w:rPr>
          <w:szCs w:val="22"/>
          <w:lang w:eastAsia="cs-CZ"/>
        </w:rPr>
      </w:pPr>
      <w:r w:rsidRPr="0090043C">
        <w:rPr>
          <w:szCs w:val="22"/>
          <w:lang w:eastAsia="cs-CZ"/>
        </w:rPr>
        <w:t xml:space="preserve">Lyofilizovaná vakcína se </w:t>
      </w:r>
      <w:r w:rsidR="00325B5D" w:rsidRPr="0090043C">
        <w:rPr>
          <w:szCs w:val="22"/>
          <w:lang w:eastAsia="cs-CZ"/>
        </w:rPr>
        <w:t xml:space="preserve">rekonstituuje rozpouštědlem </w:t>
      </w:r>
      <w:r w:rsidRPr="0090043C">
        <w:rPr>
          <w:szCs w:val="22"/>
          <w:lang w:eastAsia="cs-CZ"/>
        </w:rPr>
        <w:t xml:space="preserve">Unisol firmy Intervet, který se dodává na vyžádání, bezprostředně před použitím tak, že na 1000 dávek lyofilizátu připadne 13 ml </w:t>
      </w:r>
      <w:r w:rsidR="00325B5D" w:rsidRPr="0090043C">
        <w:rPr>
          <w:szCs w:val="22"/>
          <w:lang w:eastAsia="cs-CZ"/>
        </w:rPr>
        <w:t>rozpouštědla</w:t>
      </w:r>
      <w:r w:rsidRPr="0090043C">
        <w:rPr>
          <w:szCs w:val="22"/>
          <w:lang w:eastAsia="cs-CZ"/>
        </w:rPr>
        <w:t xml:space="preserve"> Dávkou je obsah obou dírek dvojjehly. Dvojjehla se ponoří do r</w:t>
      </w:r>
      <w:r w:rsidR="00325B5D" w:rsidRPr="0090043C">
        <w:rPr>
          <w:szCs w:val="22"/>
          <w:lang w:eastAsia="cs-CZ"/>
        </w:rPr>
        <w:t xml:space="preserve">ekonstituované </w:t>
      </w:r>
      <w:r w:rsidRPr="0090043C">
        <w:rPr>
          <w:szCs w:val="22"/>
          <w:lang w:eastAsia="cs-CZ"/>
        </w:rPr>
        <w:t>vakcíny a bodne zespoda do křídla.</w:t>
      </w:r>
    </w:p>
    <w:p w14:paraId="615F24FC" w14:textId="77777777" w:rsidR="00D318A8" w:rsidRPr="0090043C" w:rsidRDefault="00D318A8" w:rsidP="00D318A8">
      <w:pPr>
        <w:pStyle w:val="Zkladntext"/>
        <w:rPr>
          <w:szCs w:val="22"/>
          <w:lang w:eastAsia="cs-CZ"/>
        </w:rPr>
      </w:pPr>
    </w:p>
    <w:p w14:paraId="1A1AC399" w14:textId="77777777" w:rsidR="00D318A8" w:rsidRPr="0090043C" w:rsidRDefault="00D318A8" w:rsidP="00D318A8">
      <w:pPr>
        <w:pStyle w:val="Zkladntext"/>
        <w:rPr>
          <w:i/>
          <w:szCs w:val="22"/>
          <w:lang w:eastAsia="cs-CZ"/>
        </w:rPr>
      </w:pPr>
      <w:r w:rsidRPr="0090043C">
        <w:rPr>
          <w:i/>
          <w:szCs w:val="22"/>
          <w:lang w:eastAsia="cs-CZ"/>
        </w:rPr>
        <w:t>Poznámka - možnosti současné aplikace s jinými vakcínami</w:t>
      </w:r>
    </w:p>
    <w:p w14:paraId="0FCE7537" w14:textId="77777777" w:rsidR="00D318A8" w:rsidRPr="0090043C" w:rsidRDefault="00D318A8" w:rsidP="00D318A8">
      <w:pPr>
        <w:pStyle w:val="Zkladntext"/>
        <w:rPr>
          <w:szCs w:val="22"/>
          <w:lang w:eastAsia="cs-CZ"/>
        </w:rPr>
      </w:pPr>
      <w:r w:rsidRPr="0090043C">
        <w:rPr>
          <w:szCs w:val="22"/>
          <w:lang w:eastAsia="cs-CZ"/>
        </w:rPr>
        <w:t>Současná aplikace vakcíny Nobilis CAV P4 v inaktivovaných vakcínách s olejovým adjuvans řady Nobilis</w:t>
      </w:r>
    </w:p>
    <w:p w14:paraId="7E736E08" w14:textId="0556C721" w:rsidR="00D318A8" w:rsidRPr="0090043C" w:rsidRDefault="00325B5D" w:rsidP="00D318A8">
      <w:pPr>
        <w:pStyle w:val="Zkladntext"/>
        <w:numPr>
          <w:ilvl w:val="0"/>
          <w:numId w:val="44"/>
        </w:numPr>
        <w:tabs>
          <w:tab w:val="clear" w:pos="360"/>
          <w:tab w:val="num" w:pos="720"/>
        </w:tabs>
        <w:ind w:left="720"/>
        <w:rPr>
          <w:szCs w:val="22"/>
          <w:lang w:eastAsia="cs-CZ"/>
        </w:rPr>
      </w:pPr>
      <w:r w:rsidRPr="0090043C">
        <w:rPr>
          <w:szCs w:val="22"/>
          <w:lang w:eastAsia="cs-CZ"/>
        </w:rPr>
        <w:t>Rekonstituujte</w:t>
      </w:r>
      <w:r w:rsidR="00D318A8" w:rsidRPr="0090043C">
        <w:rPr>
          <w:szCs w:val="22"/>
          <w:lang w:eastAsia="cs-CZ"/>
        </w:rPr>
        <w:t xml:space="preserve"> jednu l</w:t>
      </w:r>
      <w:r w:rsidR="003E3DBA" w:rsidRPr="0090043C">
        <w:rPr>
          <w:szCs w:val="22"/>
          <w:lang w:eastAsia="cs-CZ"/>
        </w:rPr>
        <w:t>ahvičku</w:t>
      </w:r>
      <w:r w:rsidR="00D318A8" w:rsidRPr="0090043C">
        <w:rPr>
          <w:szCs w:val="22"/>
          <w:lang w:eastAsia="cs-CZ"/>
        </w:rPr>
        <w:t xml:space="preserve"> vakcíny Nobilis CAV P4, 1000 dávek</w:t>
      </w:r>
      <w:r w:rsidR="003E3DBA" w:rsidRPr="0090043C">
        <w:rPr>
          <w:szCs w:val="22"/>
          <w:lang w:eastAsia="cs-CZ"/>
        </w:rPr>
        <w:t>,</w:t>
      </w:r>
      <w:r w:rsidR="00D318A8" w:rsidRPr="0090043C">
        <w:rPr>
          <w:szCs w:val="22"/>
          <w:lang w:eastAsia="cs-CZ"/>
        </w:rPr>
        <w:t xml:space="preserve"> přidáním 1 – 2 ml sterilního </w:t>
      </w:r>
      <w:r w:rsidR="003E3DBA" w:rsidRPr="0090043C">
        <w:rPr>
          <w:szCs w:val="22"/>
          <w:lang w:eastAsia="cs-CZ"/>
        </w:rPr>
        <w:t>rozpouštědla</w:t>
      </w:r>
      <w:r w:rsidR="00D318A8" w:rsidRPr="0090043C">
        <w:rPr>
          <w:szCs w:val="22"/>
          <w:lang w:eastAsia="cs-CZ"/>
        </w:rPr>
        <w:t xml:space="preserve"> (destilovaná voda, </w:t>
      </w:r>
      <w:r w:rsidR="003E3DBA" w:rsidRPr="0090043C">
        <w:rPr>
          <w:szCs w:val="22"/>
          <w:lang w:eastAsia="cs-CZ"/>
        </w:rPr>
        <w:t xml:space="preserve">rozpouštědlo </w:t>
      </w:r>
      <w:r w:rsidR="00D318A8" w:rsidRPr="0090043C">
        <w:rPr>
          <w:szCs w:val="22"/>
          <w:lang w:eastAsia="cs-CZ"/>
        </w:rPr>
        <w:t xml:space="preserve">Dilavia nebo </w:t>
      </w:r>
      <w:r w:rsidR="003E3DBA" w:rsidRPr="0090043C">
        <w:rPr>
          <w:szCs w:val="22"/>
          <w:lang w:eastAsia="cs-CZ"/>
        </w:rPr>
        <w:t xml:space="preserve">rozpouštědlo </w:t>
      </w:r>
      <w:r w:rsidR="00D318A8" w:rsidRPr="0090043C">
        <w:rPr>
          <w:szCs w:val="22"/>
          <w:lang w:eastAsia="cs-CZ"/>
        </w:rPr>
        <w:t>Diluent FD Poultry Vaccines) do l</w:t>
      </w:r>
      <w:r w:rsidR="003E3DBA" w:rsidRPr="0090043C">
        <w:rPr>
          <w:szCs w:val="22"/>
          <w:lang w:eastAsia="cs-CZ"/>
        </w:rPr>
        <w:t>ahvičky</w:t>
      </w:r>
      <w:r w:rsidR="00D318A8" w:rsidRPr="0090043C">
        <w:rPr>
          <w:szCs w:val="22"/>
          <w:lang w:eastAsia="cs-CZ"/>
        </w:rPr>
        <w:t xml:space="preserve"> s lyofilizátem vakcíny. Použijte sterilní jehlu a stříkačku.</w:t>
      </w:r>
    </w:p>
    <w:p w14:paraId="2D512BCF" w14:textId="46C96911" w:rsidR="00D318A8" w:rsidRPr="0090043C" w:rsidRDefault="00D318A8" w:rsidP="00D318A8">
      <w:pPr>
        <w:pStyle w:val="Zkladntext"/>
        <w:numPr>
          <w:ilvl w:val="0"/>
          <w:numId w:val="44"/>
        </w:numPr>
        <w:tabs>
          <w:tab w:val="clear" w:pos="360"/>
          <w:tab w:val="num" w:pos="720"/>
        </w:tabs>
        <w:ind w:left="720"/>
        <w:rPr>
          <w:szCs w:val="22"/>
          <w:lang w:eastAsia="cs-CZ"/>
        </w:rPr>
      </w:pPr>
      <w:r w:rsidRPr="0090043C">
        <w:rPr>
          <w:szCs w:val="22"/>
          <w:lang w:eastAsia="cs-CZ"/>
        </w:rPr>
        <w:t xml:space="preserve">Odsajte sterilní stříkačkou obsah </w:t>
      </w:r>
      <w:r w:rsidR="003E3DBA" w:rsidRPr="0090043C">
        <w:rPr>
          <w:szCs w:val="22"/>
          <w:lang w:eastAsia="cs-CZ"/>
        </w:rPr>
        <w:t xml:space="preserve">rekonstituované </w:t>
      </w:r>
      <w:r w:rsidRPr="0090043C">
        <w:rPr>
          <w:szCs w:val="22"/>
          <w:lang w:eastAsia="cs-CZ"/>
        </w:rPr>
        <w:t>vakcíny z</w:t>
      </w:r>
      <w:r w:rsidR="003E3DBA" w:rsidRPr="0090043C">
        <w:rPr>
          <w:szCs w:val="22"/>
          <w:lang w:eastAsia="cs-CZ"/>
        </w:rPr>
        <w:t> </w:t>
      </w:r>
      <w:r w:rsidRPr="0090043C">
        <w:rPr>
          <w:szCs w:val="22"/>
          <w:lang w:eastAsia="cs-CZ"/>
        </w:rPr>
        <w:t>l</w:t>
      </w:r>
      <w:r w:rsidR="003E3DBA" w:rsidRPr="0090043C">
        <w:rPr>
          <w:szCs w:val="22"/>
          <w:lang w:eastAsia="cs-CZ"/>
        </w:rPr>
        <w:t xml:space="preserve">ahvičky </w:t>
      </w:r>
      <w:r w:rsidRPr="0090043C">
        <w:rPr>
          <w:szCs w:val="22"/>
          <w:lang w:eastAsia="cs-CZ"/>
        </w:rPr>
        <w:t>a aplikujte přes uzávěr do l</w:t>
      </w:r>
      <w:r w:rsidR="003E3DBA" w:rsidRPr="0090043C">
        <w:rPr>
          <w:szCs w:val="22"/>
          <w:lang w:eastAsia="cs-CZ"/>
        </w:rPr>
        <w:t>a</w:t>
      </w:r>
      <w:r w:rsidRPr="0090043C">
        <w:rPr>
          <w:szCs w:val="22"/>
          <w:lang w:eastAsia="cs-CZ"/>
        </w:rPr>
        <w:t>hve s inaktivovanou vakcínou řady Nobilis o obsahu 500</w:t>
      </w:r>
      <w:r w:rsidR="003E3DBA" w:rsidRPr="0090043C">
        <w:rPr>
          <w:szCs w:val="22"/>
          <w:lang w:eastAsia="cs-CZ"/>
        </w:rPr>
        <w:t xml:space="preserve"> </w:t>
      </w:r>
      <w:r w:rsidRPr="0090043C">
        <w:rPr>
          <w:szCs w:val="22"/>
          <w:lang w:eastAsia="cs-CZ"/>
        </w:rPr>
        <w:t>ml (1000 dávek).</w:t>
      </w:r>
    </w:p>
    <w:p w14:paraId="1E0A6444" w14:textId="37D08240" w:rsidR="00D318A8" w:rsidRPr="0090043C" w:rsidRDefault="00D318A8" w:rsidP="00D318A8">
      <w:pPr>
        <w:pStyle w:val="Zkladntext"/>
        <w:numPr>
          <w:ilvl w:val="0"/>
          <w:numId w:val="44"/>
        </w:numPr>
        <w:tabs>
          <w:tab w:val="clear" w:pos="360"/>
          <w:tab w:val="num" w:pos="720"/>
        </w:tabs>
        <w:ind w:left="720"/>
        <w:rPr>
          <w:szCs w:val="22"/>
          <w:lang w:eastAsia="cs-CZ"/>
        </w:rPr>
      </w:pPr>
      <w:r w:rsidRPr="0090043C">
        <w:rPr>
          <w:szCs w:val="22"/>
          <w:lang w:eastAsia="cs-CZ"/>
        </w:rPr>
        <w:t>L</w:t>
      </w:r>
      <w:r w:rsidR="003E3DBA" w:rsidRPr="0090043C">
        <w:rPr>
          <w:szCs w:val="22"/>
          <w:lang w:eastAsia="cs-CZ"/>
        </w:rPr>
        <w:t>a</w:t>
      </w:r>
      <w:r w:rsidRPr="0090043C">
        <w:rPr>
          <w:szCs w:val="22"/>
          <w:lang w:eastAsia="cs-CZ"/>
        </w:rPr>
        <w:t>hev s inaktivovanou vakcínou obsahující již i živou vakcínu Nobilis CAV P4 jemně protřepejte, aby se komponenty promísily.</w:t>
      </w:r>
    </w:p>
    <w:p w14:paraId="0FB543CC" w14:textId="478E4C75" w:rsidR="00D318A8" w:rsidRPr="0090043C" w:rsidRDefault="00D318A8" w:rsidP="00D318A8">
      <w:pPr>
        <w:pStyle w:val="Zkladntext"/>
        <w:numPr>
          <w:ilvl w:val="0"/>
          <w:numId w:val="44"/>
        </w:numPr>
        <w:tabs>
          <w:tab w:val="clear" w:pos="360"/>
          <w:tab w:val="num" w:pos="720"/>
        </w:tabs>
        <w:ind w:left="720"/>
        <w:rPr>
          <w:szCs w:val="22"/>
          <w:lang w:eastAsia="cs-CZ"/>
        </w:rPr>
      </w:pPr>
      <w:r w:rsidRPr="0090043C">
        <w:rPr>
          <w:szCs w:val="22"/>
          <w:lang w:eastAsia="cs-CZ"/>
        </w:rPr>
        <w:t xml:space="preserve">Takto připravenou kombinovanou vakcínu je možné aplikovat do svalu nebo pod kůži, kdykoli mezi 6. – 18. týdnem </w:t>
      </w:r>
      <w:r w:rsidR="009770BD" w:rsidRPr="0090043C">
        <w:rPr>
          <w:szCs w:val="22"/>
          <w:lang w:eastAsia="cs-CZ"/>
        </w:rPr>
        <w:t>věku. Aplikuje</w:t>
      </w:r>
      <w:r w:rsidRPr="0090043C">
        <w:rPr>
          <w:szCs w:val="22"/>
          <w:lang w:eastAsia="cs-CZ"/>
        </w:rPr>
        <w:t xml:space="preserve"> se dávka 0,5</w:t>
      </w:r>
      <w:r w:rsidR="003E3DBA" w:rsidRPr="0090043C">
        <w:rPr>
          <w:szCs w:val="22"/>
          <w:lang w:eastAsia="cs-CZ"/>
        </w:rPr>
        <w:t xml:space="preserve"> </w:t>
      </w:r>
      <w:r w:rsidRPr="0090043C">
        <w:rPr>
          <w:szCs w:val="22"/>
          <w:lang w:eastAsia="cs-CZ"/>
        </w:rPr>
        <w:t>ml na kus.</w:t>
      </w:r>
    </w:p>
    <w:p w14:paraId="37F69A57" w14:textId="050141D0" w:rsidR="00D318A8" w:rsidRPr="0090043C" w:rsidRDefault="00D318A8" w:rsidP="00D318A8">
      <w:pPr>
        <w:pStyle w:val="Zkladntext"/>
        <w:numPr>
          <w:ilvl w:val="0"/>
          <w:numId w:val="44"/>
        </w:numPr>
        <w:tabs>
          <w:tab w:val="clear" w:pos="360"/>
          <w:tab w:val="num" w:pos="720"/>
        </w:tabs>
        <w:ind w:left="720"/>
        <w:rPr>
          <w:szCs w:val="22"/>
          <w:lang w:eastAsia="cs-CZ"/>
        </w:rPr>
      </w:pPr>
      <w:r w:rsidRPr="0090043C">
        <w:rPr>
          <w:szCs w:val="22"/>
          <w:lang w:eastAsia="cs-CZ"/>
        </w:rPr>
        <w:t>Během vakcinace obsah l</w:t>
      </w:r>
      <w:r w:rsidR="003E3DBA" w:rsidRPr="0090043C">
        <w:rPr>
          <w:szCs w:val="22"/>
          <w:lang w:eastAsia="cs-CZ"/>
        </w:rPr>
        <w:t>a</w:t>
      </w:r>
      <w:r w:rsidRPr="0090043C">
        <w:rPr>
          <w:szCs w:val="22"/>
          <w:lang w:eastAsia="cs-CZ"/>
        </w:rPr>
        <w:t>hve občas promíchejte.</w:t>
      </w:r>
    </w:p>
    <w:bookmarkEnd w:id="3"/>
    <w:p w14:paraId="5B6526A0" w14:textId="74DD0632" w:rsidR="00D318A8" w:rsidRPr="0090043C" w:rsidRDefault="00D318A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90043C" w:rsidRDefault="006C6ABC" w:rsidP="00B13B6D">
      <w:pPr>
        <w:pStyle w:val="Style1"/>
      </w:pPr>
      <w:r w:rsidRPr="0090043C">
        <w:t>3.10</w:t>
      </w:r>
      <w:r w:rsidRPr="0090043C">
        <w:tab/>
        <w:t xml:space="preserve">Příznaky předávkování </w:t>
      </w:r>
      <w:r w:rsidR="00EC5045" w:rsidRPr="0090043C">
        <w:t>(</w:t>
      </w:r>
      <w:r w:rsidRPr="0090043C">
        <w:t xml:space="preserve">a </w:t>
      </w:r>
      <w:r w:rsidR="00202A85" w:rsidRPr="0090043C">
        <w:t>kde</w:t>
      </w:r>
      <w:r w:rsidR="005E66FC" w:rsidRPr="0090043C">
        <w:t xml:space="preserve"> </w:t>
      </w:r>
      <w:r w:rsidR="00202A85" w:rsidRPr="0090043C">
        <w:t>je</w:t>
      </w:r>
      <w:r w:rsidR="005E66FC" w:rsidRPr="0090043C">
        <w:t xml:space="preserve"> </w:t>
      </w:r>
      <w:r w:rsidR="00FB6F2F" w:rsidRPr="0090043C">
        <w:t>relevantní</w:t>
      </w:r>
      <w:r w:rsidR="00202A85" w:rsidRPr="0090043C">
        <w:t>, první pomoc</w:t>
      </w:r>
      <w:r w:rsidRPr="0090043C">
        <w:t xml:space="preserve"> a antidota</w:t>
      </w:r>
      <w:r w:rsidR="00202A85" w:rsidRPr="0090043C">
        <w:t>)</w:t>
      </w:r>
      <w:r w:rsidRPr="0090043C">
        <w:t xml:space="preserve"> </w:t>
      </w:r>
    </w:p>
    <w:p w14:paraId="14C31080" w14:textId="433E48FC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7F757" w14:textId="2B6C8B98" w:rsidR="000C5DFF" w:rsidRPr="0090043C" w:rsidRDefault="000C5DFF" w:rsidP="000C5DFF">
      <w:r w:rsidRPr="0090043C">
        <w:t xml:space="preserve">Bez zvláštních příznaků po aplikaci </w:t>
      </w:r>
      <w:bookmarkStart w:id="4" w:name="_GoBack"/>
      <w:r w:rsidR="005B5A08" w:rsidRPr="0090043C">
        <w:t>1</w:t>
      </w:r>
      <w:r w:rsidRPr="0090043C">
        <w:t>0</w:t>
      </w:r>
      <w:bookmarkEnd w:id="4"/>
      <w:r w:rsidRPr="0090043C">
        <w:t>násobné dávky cílovým zvířatům.</w:t>
      </w:r>
    </w:p>
    <w:p w14:paraId="4782C623" w14:textId="77777777" w:rsidR="000C5DFF" w:rsidRPr="0090043C" w:rsidRDefault="000C5D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90043C" w:rsidRDefault="006C6ABC" w:rsidP="00B13B6D">
      <w:pPr>
        <w:pStyle w:val="Style1"/>
      </w:pPr>
      <w:r w:rsidRPr="0090043C">
        <w:t>3.11</w:t>
      </w:r>
      <w:r w:rsidRPr="0090043C">
        <w:tab/>
        <w:t>Zvláštní omezení pro použití a zvláštní podmínky pro použití, včetně omezení používání antimikrob</w:t>
      </w:r>
      <w:r w:rsidR="00202A85" w:rsidRPr="0090043C">
        <w:t>ních</w:t>
      </w:r>
      <w:r w:rsidRPr="0090043C">
        <w:t xml:space="preserve"> a antiparazitárních veterinárních léčivých přípravků, za účelem snížení rizika rozvoje rezistence</w:t>
      </w:r>
    </w:p>
    <w:p w14:paraId="14C31082" w14:textId="77777777" w:rsidR="009A6509" w:rsidRPr="0090043C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90043C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90043C">
        <w:t>Neuplatňuje se.</w:t>
      </w:r>
    </w:p>
    <w:p w14:paraId="14C3108C" w14:textId="77777777" w:rsidR="009A6509" w:rsidRPr="0090043C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90043C" w:rsidRDefault="006C6ABC" w:rsidP="00B13B6D">
      <w:pPr>
        <w:pStyle w:val="Style1"/>
      </w:pPr>
      <w:r w:rsidRPr="0090043C">
        <w:t>3.12</w:t>
      </w:r>
      <w:r w:rsidRPr="0090043C">
        <w:tab/>
        <w:t>Ochranné lhůty</w:t>
      </w:r>
    </w:p>
    <w:p w14:paraId="14C3108E" w14:textId="77777777" w:rsidR="00C114FF" w:rsidRPr="0090043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0" w14:textId="2AA3896C" w:rsidR="00C114FF" w:rsidRPr="0090043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90043C">
        <w:t>Bez ochranných lhůt.</w:t>
      </w:r>
    </w:p>
    <w:p w14:paraId="14C3109A" w14:textId="7FA6EBEA" w:rsidR="00FC02F3" w:rsidRPr="0090043C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B5736F" w14:textId="77777777" w:rsidR="000C5DFF" w:rsidRPr="0090043C" w:rsidRDefault="000C5D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1C4A7D2B" w:rsidR="00C114FF" w:rsidRPr="0090043C" w:rsidRDefault="006C6ABC" w:rsidP="00B13B6D">
      <w:pPr>
        <w:pStyle w:val="Style1"/>
      </w:pPr>
      <w:r w:rsidRPr="0090043C">
        <w:t>4.</w:t>
      </w:r>
      <w:r w:rsidRPr="0090043C">
        <w:tab/>
      </w:r>
      <w:r w:rsidR="009770BD" w:rsidRPr="0090043C">
        <w:t>IMUNOLOGICKÉ INFORMACE</w:t>
      </w:r>
    </w:p>
    <w:p w14:paraId="14C3109C" w14:textId="77777777" w:rsidR="00C114FF" w:rsidRPr="0090043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AA4EF" w14:textId="5DDA507F" w:rsidR="003859CC" w:rsidRPr="0090043C" w:rsidRDefault="006C6ABC" w:rsidP="003859CC">
      <w:pPr>
        <w:pStyle w:val="Style1"/>
        <w:rPr>
          <w:b w:val="0"/>
          <w:bCs/>
        </w:rPr>
      </w:pPr>
      <w:r w:rsidRPr="0090043C">
        <w:t>4.1</w:t>
      </w:r>
      <w:r w:rsidRPr="0090043C">
        <w:tab/>
        <w:t>ATCvet kód:</w:t>
      </w:r>
      <w:r w:rsidR="003859CC" w:rsidRPr="0090043C">
        <w:t xml:space="preserve"> </w:t>
      </w:r>
      <w:r w:rsidR="005B5A08" w:rsidRPr="0090043C">
        <w:rPr>
          <w:b w:val="0"/>
        </w:rPr>
        <w:t>QI01AD04.</w:t>
      </w:r>
    </w:p>
    <w:p w14:paraId="14C3109D" w14:textId="2316469C" w:rsidR="005B04A8" w:rsidRPr="0090043C" w:rsidRDefault="005B04A8" w:rsidP="00B13B6D">
      <w:pPr>
        <w:pStyle w:val="Style1"/>
      </w:pPr>
    </w:p>
    <w:p w14:paraId="02970300" w14:textId="51C48CCF" w:rsidR="000C5DFF" w:rsidRPr="0090043C" w:rsidRDefault="000C5DFF" w:rsidP="000C5DFF">
      <w:pPr>
        <w:tabs>
          <w:tab w:val="clear" w:pos="567"/>
        </w:tabs>
        <w:spacing w:line="240" w:lineRule="auto"/>
      </w:pPr>
      <w:r w:rsidRPr="0090043C">
        <w:t>Živá, lyofilizovaná vakcína pro navození aktivní specifické imunity proti infekční an</w:t>
      </w:r>
      <w:r w:rsidR="003E3DBA" w:rsidRPr="0090043C">
        <w:t>é</w:t>
      </w:r>
      <w:r w:rsidRPr="0090043C">
        <w:t>mii drůbeže. Vakcína obsahuje atenuovaný kmen 26P4 viru infekční an</w:t>
      </w:r>
      <w:r w:rsidR="003E3DBA" w:rsidRPr="0090043C">
        <w:t>é</w:t>
      </w:r>
      <w:r w:rsidRPr="0090043C">
        <w:t xml:space="preserve">mie pomnožený na SPF kuřecích embryích. </w:t>
      </w:r>
    </w:p>
    <w:p w14:paraId="765ABD49" w14:textId="3F7E638A" w:rsidR="000C5DFF" w:rsidRPr="0090043C" w:rsidRDefault="000C5DFF" w:rsidP="000C5DFF">
      <w:pPr>
        <w:tabs>
          <w:tab w:val="clear" w:pos="567"/>
        </w:tabs>
        <w:spacing w:line="240" w:lineRule="auto"/>
      </w:pPr>
      <w:r w:rsidRPr="0090043C">
        <w:lastRenderedPageBreak/>
        <w:t xml:space="preserve">Po aplikaci do těla vakcinovaného jedince se aktivuje celá řada </w:t>
      </w:r>
      <w:r w:rsidR="003E3DBA" w:rsidRPr="0090043C">
        <w:t xml:space="preserve">imunitních </w:t>
      </w:r>
      <w:r w:rsidRPr="0090043C">
        <w:t xml:space="preserve">mechanismů organismu zabraňujících následnému rozvinutí onemocnění po nakažení terénní infekcí. </w:t>
      </w:r>
    </w:p>
    <w:p w14:paraId="121C92C2" w14:textId="6B960F5A" w:rsidR="000C5DFF" w:rsidRPr="0090043C" w:rsidRDefault="000C5DFF" w:rsidP="000C5DFF">
      <w:pPr>
        <w:tabs>
          <w:tab w:val="clear" w:pos="567"/>
        </w:tabs>
        <w:spacing w:line="240" w:lineRule="auto"/>
      </w:pPr>
      <w:r w:rsidRPr="0090043C">
        <w:t xml:space="preserve">Po správně provedené vakcinaci nastupují protektivní hladiny specifických protilátek u </w:t>
      </w:r>
      <w:r w:rsidR="003E3DBA" w:rsidRPr="0090043C">
        <w:t xml:space="preserve">vakcinované </w:t>
      </w:r>
      <w:r w:rsidRPr="0090043C">
        <w:t xml:space="preserve">drůbeže během 3-4 týdnů a přetrvávají nejméně po dobu jednoho snáškového období. Potomstvo vakcinovaných rodičů, </w:t>
      </w:r>
      <w:r w:rsidR="00951ACF" w:rsidRPr="0090043C">
        <w:t>vylíhnuté</w:t>
      </w:r>
      <w:r w:rsidRPr="0090043C">
        <w:t xml:space="preserve"> kdykoliv během snášky, má za běžných terénních podmínek dostatek mateřských protilátek, aby bylo chráněno proti vertikálnímu přenosu a klinick</w:t>
      </w:r>
      <w:r w:rsidR="003E3DBA" w:rsidRPr="0090043C">
        <w:t>ému</w:t>
      </w:r>
      <w:r w:rsidRPr="0090043C">
        <w:t xml:space="preserve"> nebo subklinick</w:t>
      </w:r>
      <w:r w:rsidR="003E3DBA" w:rsidRPr="0090043C">
        <w:t>ému</w:t>
      </w:r>
      <w:r w:rsidRPr="0090043C">
        <w:t xml:space="preserve"> onemocnění.</w:t>
      </w:r>
    </w:p>
    <w:p w14:paraId="14C3109F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90043C" w:rsidRDefault="006C6ABC" w:rsidP="00B13B6D">
      <w:pPr>
        <w:pStyle w:val="Style1"/>
      </w:pPr>
      <w:r w:rsidRPr="0090043C">
        <w:t>5.</w:t>
      </w:r>
      <w:r w:rsidRPr="0090043C">
        <w:tab/>
        <w:t>FARMACEUTICKÉ ÚDAJE</w:t>
      </w:r>
    </w:p>
    <w:p w14:paraId="14C310A8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90043C" w:rsidRDefault="006C6ABC" w:rsidP="00B13B6D">
      <w:pPr>
        <w:pStyle w:val="Style1"/>
      </w:pPr>
      <w:r w:rsidRPr="0090043C">
        <w:t>5.1</w:t>
      </w:r>
      <w:r w:rsidRPr="0090043C">
        <w:tab/>
        <w:t>Hlavní inkompatibility</w:t>
      </w:r>
    </w:p>
    <w:p w14:paraId="14C310AA" w14:textId="77777777" w:rsidR="00C114FF" w:rsidRPr="0090043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AA9255" w14:textId="1F0A557F" w:rsidR="005B5A08" w:rsidRPr="0090043C" w:rsidRDefault="005B5A08" w:rsidP="005B5A08">
      <w:pPr>
        <w:tabs>
          <w:tab w:val="clear" w:pos="567"/>
        </w:tabs>
        <w:spacing w:line="240" w:lineRule="auto"/>
        <w:rPr>
          <w:szCs w:val="22"/>
        </w:rPr>
      </w:pPr>
      <w:r w:rsidRPr="0090043C">
        <w:t>Nemísit s jiným veterinárním léčivým přípravkem, vyjma rozpouštědla dodaného pro použití s veterinárním léčivým přípravkem</w:t>
      </w:r>
      <w:r w:rsidR="00175D3E" w:rsidRPr="0090043C">
        <w:t xml:space="preserve"> </w:t>
      </w:r>
      <w:bookmarkStart w:id="5" w:name="_Hlk158880237"/>
      <w:r w:rsidR="00175D3E" w:rsidRPr="0090043C">
        <w:t>a inaktivovaných vakcín s olejovým adjuvans řady Nobilis.</w:t>
      </w:r>
      <w:bookmarkEnd w:id="5"/>
    </w:p>
    <w:p w14:paraId="14C310B0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90043C" w:rsidRDefault="006C6ABC" w:rsidP="00B13B6D">
      <w:pPr>
        <w:pStyle w:val="Style1"/>
      </w:pPr>
      <w:r w:rsidRPr="0090043C">
        <w:t>5.2</w:t>
      </w:r>
      <w:r w:rsidRPr="0090043C">
        <w:tab/>
        <w:t>Doba použitelnosti</w:t>
      </w:r>
    </w:p>
    <w:p w14:paraId="14C310B2" w14:textId="77777777" w:rsidR="00C114FF" w:rsidRPr="0090043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F919A2" w14:textId="77777777" w:rsidR="00C575B5" w:rsidRPr="0090043C" w:rsidRDefault="00C575B5" w:rsidP="00C575B5">
      <w:pPr>
        <w:tabs>
          <w:tab w:val="clear" w:pos="567"/>
        </w:tabs>
        <w:spacing w:line="240" w:lineRule="auto"/>
      </w:pPr>
      <w:r w:rsidRPr="0090043C">
        <w:t>Lyofilizát:</w:t>
      </w:r>
    </w:p>
    <w:p w14:paraId="5C5937CA" w14:textId="77777777" w:rsidR="00C575B5" w:rsidRPr="0090043C" w:rsidRDefault="00C575B5" w:rsidP="00C575B5">
      <w:pPr>
        <w:tabs>
          <w:tab w:val="clear" w:pos="567"/>
        </w:tabs>
        <w:spacing w:line="240" w:lineRule="auto"/>
        <w:rPr>
          <w:szCs w:val="22"/>
        </w:rPr>
      </w:pPr>
      <w:r w:rsidRPr="0090043C">
        <w:t>Doba použitelnosti veterinárního léčivého přípravku v neporušeném obalu: 18 měsíců.</w:t>
      </w:r>
    </w:p>
    <w:p w14:paraId="65BE1559" w14:textId="77777777" w:rsidR="00C575B5" w:rsidRPr="0090043C" w:rsidRDefault="00C575B5" w:rsidP="00C575B5">
      <w:pPr>
        <w:tabs>
          <w:tab w:val="clear" w:pos="567"/>
        </w:tabs>
        <w:spacing w:line="240" w:lineRule="auto"/>
        <w:rPr>
          <w:szCs w:val="22"/>
        </w:rPr>
      </w:pPr>
      <w:r w:rsidRPr="0090043C">
        <w:t>Doba použitelnosti po rekonstituci podle návodu: 4 hodiny.</w:t>
      </w:r>
    </w:p>
    <w:p w14:paraId="527AC284" w14:textId="77777777" w:rsidR="005B5A08" w:rsidRPr="0090043C" w:rsidRDefault="005B5A08" w:rsidP="00C575B5">
      <w:pPr>
        <w:tabs>
          <w:tab w:val="clear" w:pos="567"/>
        </w:tabs>
        <w:spacing w:line="240" w:lineRule="auto"/>
      </w:pPr>
    </w:p>
    <w:p w14:paraId="3C46BCD8" w14:textId="77777777" w:rsidR="005B5A08" w:rsidRPr="0090043C" w:rsidRDefault="00C575B5" w:rsidP="00C575B5">
      <w:pPr>
        <w:tabs>
          <w:tab w:val="clear" w:pos="567"/>
        </w:tabs>
        <w:spacing w:line="240" w:lineRule="auto"/>
      </w:pPr>
      <w:r w:rsidRPr="0090043C">
        <w:t xml:space="preserve">Doba použitelnosti </w:t>
      </w:r>
      <w:r w:rsidR="005B5A08" w:rsidRPr="0090043C">
        <w:t>rozpouštědla</w:t>
      </w:r>
      <w:r w:rsidRPr="0090043C">
        <w:t xml:space="preserve"> v neporušeném obalu: </w:t>
      </w:r>
    </w:p>
    <w:p w14:paraId="3F1955BC" w14:textId="7DAA4828" w:rsidR="00C575B5" w:rsidRPr="0090043C" w:rsidRDefault="005B5A08" w:rsidP="00C575B5">
      <w:pPr>
        <w:tabs>
          <w:tab w:val="clear" w:pos="567"/>
        </w:tabs>
        <w:spacing w:line="240" w:lineRule="auto"/>
        <w:rPr>
          <w:szCs w:val="22"/>
        </w:rPr>
      </w:pPr>
      <w:r w:rsidRPr="0090043C">
        <w:t xml:space="preserve">Rozpouštědlo Dilavia: </w:t>
      </w:r>
      <w:r w:rsidR="00C575B5" w:rsidRPr="0090043C">
        <w:t>sklo 36 měsíců, PET 21 měsíců.</w:t>
      </w:r>
    </w:p>
    <w:p w14:paraId="7BFD5989" w14:textId="0683EEEF" w:rsidR="00C575B5" w:rsidRPr="0090043C" w:rsidRDefault="00C575B5" w:rsidP="00C575B5">
      <w:pPr>
        <w:tabs>
          <w:tab w:val="clear" w:pos="567"/>
        </w:tabs>
        <w:spacing w:line="240" w:lineRule="auto"/>
        <w:rPr>
          <w:szCs w:val="22"/>
        </w:rPr>
      </w:pPr>
      <w:r w:rsidRPr="0090043C">
        <w:t>Rozpouštědlo Diluent FD Poultry vaccines:</w:t>
      </w:r>
      <w:r w:rsidR="005B5A08" w:rsidRPr="0090043C">
        <w:t xml:space="preserve"> </w:t>
      </w:r>
      <w:r w:rsidRPr="0090043C">
        <w:t xml:space="preserve">36 měsíců. </w:t>
      </w:r>
    </w:p>
    <w:p w14:paraId="14C310B9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90043C" w:rsidRDefault="006C6ABC" w:rsidP="00B13B6D">
      <w:pPr>
        <w:pStyle w:val="Style1"/>
      </w:pPr>
      <w:r w:rsidRPr="0090043C">
        <w:t>5.3</w:t>
      </w:r>
      <w:r w:rsidRPr="0090043C">
        <w:tab/>
        <w:t>Zvláštní opatření pro uchovávání</w:t>
      </w:r>
    </w:p>
    <w:p w14:paraId="3DB9BB28" w14:textId="77777777" w:rsidR="000C5DFF" w:rsidRPr="0090043C" w:rsidRDefault="000C5DFF" w:rsidP="009E66FE">
      <w:pPr>
        <w:pStyle w:val="Style5"/>
      </w:pPr>
    </w:p>
    <w:p w14:paraId="5EC9B2F2" w14:textId="77777777" w:rsidR="000C5DFF" w:rsidRPr="0090043C" w:rsidRDefault="000C5DFF" w:rsidP="000C5DFF">
      <w:pPr>
        <w:pStyle w:val="Style5"/>
      </w:pPr>
      <w:r w:rsidRPr="0090043C">
        <w:t xml:space="preserve">Lyofilizát: </w:t>
      </w:r>
    </w:p>
    <w:p w14:paraId="7AE2E7D2" w14:textId="77777777" w:rsidR="000C5DFF" w:rsidRPr="0090043C" w:rsidRDefault="000C5DFF" w:rsidP="000C5DFF">
      <w:pPr>
        <w:pStyle w:val="Style5"/>
      </w:pPr>
      <w:r w:rsidRPr="0090043C">
        <w:t>Uchovávejte v chladničce (2 °C – 8 °C).</w:t>
      </w:r>
    </w:p>
    <w:p w14:paraId="6DE4516E" w14:textId="77777777" w:rsidR="000C5DFF" w:rsidRPr="0090043C" w:rsidRDefault="000C5DFF" w:rsidP="000C5DFF">
      <w:pPr>
        <w:tabs>
          <w:tab w:val="clear" w:pos="567"/>
        </w:tabs>
        <w:spacing w:line="240" w:lineRule="auto"/>
      </w:pPr>
      <w:r w:rsidRPr="0090043C">
        <w:t>Chraňte před světlem.</w:t>
      </w:r>
    </w:p>
    <w:p w14:paraId="6B14E9C3" w14:textId="77777777" w:rsidR="000C5DFF" w:rsidRPr="0090043C" w:rsidRDefault="000C5DFF" w:rsidP="000C5DFF">
      <w:pPr>
        <w:tabs>
          <w:tab w:val="clear" w:pos="567"/>
        </w:tabs>
        <w:spacing w:line="240" w:lineRule="auto"/>
      </w:pPr>
    </w:p>
    <w:p w14:paraId="1C58C0F9" w14:textId="77777777" w:rsidR="000C5DFF" w:rsidRPr="0090043C" w:rsidRDefault="000C5DFF" w:rsidP="000C5DFF">
      <w:pPr>
        <w:pStyle w:val="Style5"/>
      </w:pPr>
      <w:r w:rsidRPr="0090043C">
        <w:t xml:space="preserve">Rozpouštědlo: </w:t>
      </w:r>
    </w:p>
    <w:p w14:paraId="13EFCFED" w14:textId="77777777" w:rsidR="000C5DFF" w:rsidRPr="0090043C" w:rsidRDefault="000C5DFF" w:rsidP="000C5DFF">
      <w:pPr>
        <w:pStyle w:val="Style5"/>
      </w:pPr>
      <w:r w:rsidRPr="0090043C">
        <w:t xml:space="preserve">Uchovávejte při teplotě 15 °C - 25 °C. </w:t>
      </w:r>
    </w:p>
    <w:p w14:paraId="14C310D0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90043C" w:rsidRDefault="006C6ABC" w:rsidP="00B13B6D">
      <w:pPr>
        <w:pStyle w:val="Style1"/>
      </w:pPr>
      <w:r w:rsidRPr="0090043C">
        <w:t>5.4</w:t>
      </w:r>
      <w:r w:rsidRPr="0090043C">
        <w:tab/>
        <w:t>Druh a složení vnitřního obalu</w:t>
      </w:r>
    </w:p>
    <w:p w14:paraId="14C310D8" w14:textId="4F70075D" w:rsidR="00C114FF" w:rsidRPr="0090043C" w:rsidRDefault="00C114FF" w:rsidP="005E66FC">
      <w:pPr>
        <w:pStyle w:val="Style1"/>
      </w:pPr>
    </w:p>
    <w:p w14:paraId="6BA94180" w14:textId="5CA4FF3E" w:rsidR="00C575B5" w:rsidRPr="0090043C" w:rsidRDefault="00C575B5" w:rsidP="000C5DFF">
      <w:pPr>
        <w:pStyle w:val="Style1"/>
        <w:rPr>
          <w:b w:val="0"/>
          <w:bCs/>
        </w:rPr>
      </w:pPr>
      <w:r w:rsidRPr="0090043C">
        <w:rPr>
          <w:b w:val="0"/>
          <w:bCs/>
        </w:rPr>
        <w:t>Lyofilizát</w:t>
      </w:r>
      <w:r w:rsidR="000C5DFF" w:rsidRPr="0090043C">
        <w:rPr>
          <w:b w:val="0"/>
          <w:bCs/>
        </w:rPr>
        <w:t xml:space="preserve">: </w:t>
      </w:r>
      <w:r w:rsidR="00943D3D" w:rsidRPr="0090043C">
        <w:rPr>
          <w:b w:val="0"/>
          <w:bCs/>
        </w:rPr>
        <w:t xml:space="preserve">10ml </w:t>
      </w:r>
      <w:r w:rsidRPr="0090043C">
        <w:rPr>
          <w:b w:val="0"/>
          <w:bCs/>
        </w:rPr>
        <w:t xml:space="preserve">injekční lahvička </w:t>
      </w:r>
      <w:r w:rsidR="000C5DFF" w:rsidRPr="0090043C">
        <w:rPr>
          <w:b w:val="0"/>
          <w:bCs/>
        </w:rPr>
        <w:t xml:space="preserve">z hydrolytického skla typu I </w:t>
      </w:r>
    </w:p>
    <w:p w14:paraId="7E9F721A" w14:textId="64BAC9D2" w:rsidR="000C5DFF" w:rsidRPr="0090043C" w:rsidRDefault="000C5DFF" w:rsidP="009770BD">
      <w:pPr>
        <w:pStyle w:val="Style1"/>
        <w:ind w:left="0" w:firstLine="0"/>
        <w:rPr>
          <w:b w:val="0"/>
          <w:bCs/>
        </w:rPr>
      </w:pPr>
      <w:r w:rsidRPr="0090043C">
        <w:rPr>
          <w:b w:val="0"/>
          <w:bCs/>
        </w:rPr>
        <w:t>uzavřená halogenbutylovou gumovou zátkou zajištěnou kódovanou hliníkovou pertlí</w:t>
      </w:r>
      <w:r w:rsidR="00943D3D" w:rsidRPr="0090043C">
        <w:rPr>
          <w:b w:val="0"/>
          <w:bCs/>
        </w:rPr>
        <w:t>, obsahující 1000 dávek</w:t>
      </w:r>
      <w:r w:rsidRPr="0090043C">
        <w:rPr>
          <w:b w:val="0"/>
          <w:bCs/>
        </w:rPr>
        <w:t xml:space="preserve">. </w:t>
      </w:r>
    </w:p>
    <w:p w14:paraId="6CDD601E" w14:textId="77777777" w:rsidR="009310BA" w:rsidRPr="0090043C" w:rsidRDefault="009310BA" w:rsidP="000C5DFF">
      <w:pPr>
        <w:pStyle w:val="Style1"/>
        <w:rPr>
          <w:b w:val="0"/>
          <w:bCs/>
        </w:rPr>
      </w:pPr>
    </w:p>
    <w:p w14:paraId="45E95066" w14:textId="44FA7218" w:rsidR="000C5DFF" w:rsidRPr="0090043C" w:rsidRDefault="00C575B5" w:rsidP="009770BD">
      <w:pPr>
        <w:pStyle w:val="Style1"/>
        <w:ind w:left="0" w:firstLine="0"/>
        <w:rPr>
          <w:b w:val="0"/>
          <w:bCs/>
        </w:rPr>
      </w:pPr>
      <w:r w:rsidRPr="0090043C">
        <w:rPr>
          <w:b w:val="0"/>
          <w:bCs/>
        </w:rPr>
        <w:t>Rozpouštědlo</w:t>
      </w:r>
      <w:r w:rsidR="000C5DFF" w:rsidRPr="0090043C">
        <w:rPr>
          <w:b w:val="0"/>
          <w:bCs/>
        </w:rPr>
        <w:t xml:space="preserve">: </w:t>
      </w:r>
      <w:r w:rsidRPr="0090043C">
        <w:rPr>
          <w:b w:val="0"/>
          <w:bCs/>
        </w:rPr>
        <w:t xml:space="preserve">injekční lahvička </w:t>
      </w:r>
      <w:r w:rsidR="000C5DFF" w:rsidRPr="0090043C">
        <w:rPr>
          <w:b w:val="0"/>
          <w:bCs/>
        </w:rPr>
        <w:t>ze skla nebo polyethylentereftalátu (PET) uzavřená gumovou propichovací zátkou zajištěnou hliníkovou pertlí nebo polyethylenový vak.</w:t>
      </w:r>
    </w:p>
    <w:p w14:paraId="22BE23C3" w14:textId="77777777" w:rsidR="000C5DFF" w:rsidRPr="0090043C" w:rsidRDefault="000C5DFF" w:rsidP="000C5DFF">
      <w:pPr>
        <w:pStyle w:val="Style1"/>
        <w:rPr>
          <w:b w:val="0"/>
          <w:bCs/>
        </w:rPr>
      </w:pPr>
    </w:p>
    <w:p w14:paraId="736EA6FC" w14:textId="58A36844" w:rsidR="000C5DFF" w:rsidRPr="0090043C" w:rsidRDefault="000C5DFF" w:rsidP="00943D3D">
      <w:pPr>
        <w:pStyle w:val="Style1"/>
        <w:rPr>
          <w:b w:val="0"/>
          <w:bCs/>
        </w:rPr>
      </w:pPr>
      <w:r w:rsidRPr="0090043C">
        <w:rPr>
          <w:b w:val="0"/>
          <w:bCs/>
        </w:rPr>
        <w:t xml:space="preserve">Velikosti balení: </w:t>
      </w:r>
    </w:p>
    <w:p w14:paraId="4C5506D7" w14:textId="0242F205" w:rsidR="00943D3D" w:rsidRPr="0090043C" w:rsidRDefault="00943D3D" w:rsidP="009770BD">
      <w:pPr>
        <w:pStyle w:val="Style1"/>
        <w:ind w:left="0" w:firstLine="0"/>
        <w:rPr>
          <w:b w:val="0"/>
          <w:bCs/>
        </w:rPr>
      </w:pPr>
      <w:r w:rsidRPr="0090043C">
        <w:rPr>
          <w:b w:val="0"/>
          <w:bCs/>
        </w:rPr>
        <w:t>Kartonová krabička s 1 nebo 10 injekčními lahvičkami obsahujícími 1000 dávek vakcíny + rozpouštědlo.</w:t>
      </w:r>
    </w:p>
    <w:p w14:paraId="17D76BEE" w14:textId="77777777" w:rsidR="000C5DFF" w:rsidRPr="0090043C" w:rsidRDefault="000C5DFF" w:rsidP="009770BD">
      <w:pPr>
        <w:pStyle w:val="Style1"/>
        <w:ind w:left="0" w:firstLine="0"/>
      </w:pPr>
    </w:p>
    <w:p w14:paraId="14C310D9" w14:textId="47F43686" w:rsidR="00C114FF" w:rsidRPr="0090043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90043C">
        <w:t>Na trhu nemusí být všechny velikosti balení.</w:t>
      </w:r>
    </w:p>
    <w:p w14:paraId="14C310DA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90043C" w:rsidRDefault="006C6ABC" w:rsidP="00CC1EF7">
      <w:pPr>
        <w:pStyle w:val="Style1"/>
      </w:pPr>
      <w:r w:rsidRPr="0090043C">
        <w:t>5.5</w:t>
      </w:r>
      <w:r w:rsidRPr="0090043C">
        <w:tab/>
      </w:r>
      <w:bookmarkStart w:id="6" w:name="_Hlk121724767"/>
      <w:r w:rsidR="00CC1EF7" w:rsidRPr="0090043C">
        <w:t>Zvláštní opatření pro likvidaci nepoužitých veterinárních léčivých přípravků nebo odpadů, které pochází z těchto přípravků</w:t>
      </w:r>
    </w:p>
    <w:bookmarkEnd w:id="6"/>
    <w:p w14:paraId="14C310DC" w14:textId="367F9D57" w:rsidR="00C114FF" w:rsidRPr="0090043C" w:rsidRDefault="00C114FF" w:rsidP="00CC1EF7">
      <w:pPr>
        <w:pStyle w:val="Style1"/>
      </w:pPr>
    </w:p>
    <w:p w14:paraId="2996D51C" w14:textId="77777777" w:rsidR="00D774A4" w:rsidRPr="0090043C" w:rsidRDefault="00D774A4" w:rsidP="00D774A4">
      <w:pPr>
        <w:rPr>
          <w:szCs w:val="22"/>
        </w:rPr>
      </w:pPr>
      <w:bookmarkStart w:id="7" w:name="_Hlk112846963"/>
      <w:r w:rsidRPr="0090043C">
        <w:t>Léčivé přípravky se nesmí likvidovat prostřednictvím odpadní vody či domovního odpadu.</w:t>
      </w:r>
    </w:p>
    <w:p w14:paraId="1A7A6EF6" w14:textId="77777777" w:rsidR="00D774A4" w:rsidRPr="0090043C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90043C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90043C"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7"/>
    <w:p w14:paraId="14C310E2" w14:textId="77777777" w:rsidR="0078538F" w:rsidRPr="0090043C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90043C" w:rsidRDefault="006C6ABC" w:rsidP="00B13B6D">
      <w:pPr>
        <w:pStyle w:val="Style1"/>
      </w:pPr>
      <w:r w:rsidRPr="0090043C">
        <w:t>6.</w:t>
      </w:r>
      <w:r w:rsidRPr="0090043C">
        <w:tab/>
        <w:t>JMÉNO DRŽITELE ROZHODNUTÍ O REGISTRACI</w:t>
      </w:r>
    </w:p>
    <w:p w14:paraId="14C310E7" w14:textId="77777777" w:rsidR="00C114FF" w:rsidRPr="0090043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90043C" w:rsidRDefault="00543C44" w:rsidP="00543C44">
      <w:pPr>
        <w:rPr>
          <w:szCs w:val="22"/>
        </w:rPr>
      </w:pPr>
      <w:r w:rsidRPr="0090043C">
        <w:rPr>
          <w:szCs w:val="22"/>
        </w:rPr>
        <w:t>Intervet International B.V.</w:t>
      </w:r>
    </w:p>
    <w:p w14:paraId="14C310EA" w14:textId="7BEB7FD8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90043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90043C" w:rsidRDefault="006C6ABC" w:rsidP="00B13B6D">
      <w:pPr>
        <w:pStyle w:val="Style1"/>
      </w:pPr>
      <w:r w:rsidRPr="0090043C">
        <w:t>7.</w:t>
      </w:r>
      <w:r w:rsidRPr="0090043C">
        <w:tab/>
        <w:t>REGISTRAČNÍ ČÍSLO(A)</w:t>
      </w:r>
    </w:p>
    <w:p w14:paraId="14C310EC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B0D37D" w14:textId="452E5036" w:rsidR="00C575B5" w:rsidRPr="0090043C" w:rsidRDefault="00C575B5" w:rsidP="00C575B5">
      <w:pPr>
        <w:rPr>
          <w:szCs w:val="22"/>
        </w:rPr>
      </w:pPr>
      <w:r w:rsidRPr="0090043C">
        <w:rPr>
          <w:szCs w:val="22"/>
        </w:rPr>
        <w:t>97/018/98-C</w:t>
      </w:r>
    </w:p>
    <w:p w14:paraId="1CC7F09A" w14:textId="3D65F446" w:rsidR="00C575B5" w:rsidRPr="0090043C" w:rsidRDefault="00C575B5" w:rsidP="00C575B5">
      <w:pPr>
        <w:rPr>
          <w:szCs w:val="22"/>
        </w:rPr>
      </w:pPr>
    </w:p>
    <w:p w14:paraId="0B590157" w14:textId="77777777" w:rsidR="00C575B5" w:rsidRPr="0090043C" w:rsidRDefault="00C575B5" w:rsidP="00C575B5">
      <w:pPr>
        <w:rPr>
          <w:szCs w:val="22"/>
        </w:rPr>
      </w:pPr>
    </w:p>
    <w:p w14:paraId="14C310EE" w14:textId="77777777" w:rsidR="00C114FF" w:rsidRPr="0090043C" w:rsidRDefault="006C6ABC" w:rsidP="00B13B6D">
      <w:pPr>
        <w:pStyle w:val="Style1"/>
      </w:pPr>
      <w:r w:rsidRPr="0090043C">
        <w:t>8.</w:t>
      </w:r>
      <w:r w:rsidRPr="0090043C">
        <w:tab/>
        <w:t>DATUM PRVNÍ REGISTRACE</w:t>
      </w:r>
    </w:p>
    <w:p w14:paraId="14C310EF" w14:textId="77777777" w:rsidR="00C114FF" w:rsidRPr="0090043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4810D287" w:rsidR="00D65777" w:rsidRPr="0090043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90043C">
        <w:t>Datum první registrace:</w:t>
      </w:r>
      <w:r w:rsidR="00EC0A72" w:rsidRPr="0090043C">
        <w:t xml:space="preserve"> </w:t>
      </w:r>
      <w:r w:rsidR="00C575B5" w:rsidRPr="0090043C">
        <w:t>04/1998</w:t>
      </w:r>
    </w:p>
    <w:p w14:paraId="14C310F3" w14:textId="208751ED" w:rsidR="00D65777" w:rsidRPr="0090043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90043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90043C" w:rsidRDefault="006C6ABC" w:rsidP="00B13B6D">
      <w:pPr>
        <w:pStyle w:val="Style1"/>
      </w:pPr>
      <w:r w:rsidRPr="0090043C">
        <w:t>9.</w:t>
      </w:r>
      <w:r w:rsidRPr="0090043C">
        <w:tab/>
        <w:t>DATUM POSLEDNÍ AKTUALIZACE SOUHRNU ÚDAJŮ O PŘÍPRAVKU</w:t>
      </w:r>
    </w:p>
    <w:p w14:paraId="14C310F5" w14:textId="77777777" w:rsidR="00C114FF" w:rsidRPr="0090043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0FE3EE1E" w:rsidR="00C114FF" w:rsidRPr="0090043C" w:rsidRDefault="009310BA" w:rsidP="00A9226B">
      <w:pPr>
        <w:tabs>
          <w:tab w:val="clear" w:pos="567"/>
        </w:tabs>
        <w:spacing w:line="240" w:lineRule="auto"/>
        <w:rPr>
          <w:szCs w:val="22"/>
        </w:rPr>
      </w:pPr>
      <w:r w:rsidRPr="0090043C">
        <w:t>02/2024</w:t>
      </w:r>
    </w:p>
    <w:p w14:paraId="14C31101" w14:textId="0599F908" w:rsidR="00B113B9" w:rsidRPr="0090043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90043C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90043C" w:rsidRDefault="006C6ABC" w:rsidP="00B13B6D">
      <w:pPr>
        <w:pStyle w:val="Style1"/>
      </w:pPr>
      <w:r w:rsidRPr="0090043C">
        <w:t>10.</w:t>
      </w:r>
      <w:r w:rsidRPr="0090043C">
        <w:tab/>
        <w:t>KLASIFIKACE VETERINÁRNÍCH LÉČIVÝCH PŘÍPRAVKŮ</w:t>
      </w:r>
    </w:p>
    <w:p w14:paraId="14C31103" w14:textId="77777777" w:rsidR="0078538F" w:rsidRPr="0090043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90043C" w:rsidRDefault="006C6ABC" w:rsidP="00543C44">
      <w:pPr>
        <w:numPr>
          <w:ilvl w:val="12"/>
          <w:numId w:val="0"/>
        </w:numPr>
      </w:pPr>
      <w:bookmarkStart w:id="8" w:name="_Hlk121724822"/>
      <w:r w:rsidRPr="0090043C">
        <w:t>Veterinární léčivý přípravek je vydáván pouze na předpis.</w:t>
      </w:r>
    </w:p>
    <w:p w14:paraId="318F2604" w14:textId="77777777" w:rsidR="002C450F" w:rsidRPr="0090043C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90043C" w:rsidRDefault="006C6ABC" w:rsidP="009770BD">
      <w:pPr>
        <w:ind w:right="-1"/>
        <w:rPr>
          <w:szCs w:val="22"/>
        </w:rPr>
      </w:pPr>
      <w:bookmarkStart w:id="9" w:name="_Hlk73467306"/>
      <w:r w:rsidRPr="0090043C">
        <w:t>Podrobné informace o tomto veterinárním léčivém přípravku jsou k dispozici v databázi přípravků Unie</w:t>
      </w:r>
      <w:r w:rsidR="00CC1EF7" w:rsidRPr="0090043C">
        <w:t xml:space="preserve"> </w:t>
      </w:r>
      <w:r w:rsidR="00CC1EF7" w:rsidRPr="0090043C">
        <w:rPr>
          <w:szCs w:val="22"/>
        </w:rPr>
        <w:t>(</w:t>
      </w:r>
      <w:hyperlink r:id="rId8" w:history="1">
        <w:r w:rsidR="00CC1EF7" w:rsidRPr="0090043C">
          <w:rPr>
            <w:rStyle w:val="Hypertextovodkaz"/>
            <w:color w:val="auto"/>
            <w:szCs w:val="22"/>
          </w:rPr>
          <w:t>https://medicines.health.europa.eu/veterinary</w:t>
        </w:r>
      </w:hyperlink>
      <w:r w:rsidR="00CC1EF7" w:rsidRPr="0090043C">
        <w:rPr>
          <w:szCs w:val="22"/>
        </w:rPr>
        <w:t>)</w:t>
      </w:r>
      <w:r w:rsidR="00CC1EF7" w:rsidRPr="0090043C">
        <w:rPr>
          <w:i/>
          <w:szCs w:val="22"/>
        </w:rPr>
        <w:t>.</w:t>
      </w:r>
    </w:p>
    <w:bookmarkEnd w:id="8"/>
    <w:bookmarkEnd w:id="9"/>
    <w:p w14:paraId="75403592" w14:textId="77777777" w:rsidR="00943D3D" w:rsidRPr="0090043C" w:rsidRDefault="00943D3D" w:rsidP="00A9226B">
      <w:pPr>
        <w:tabs>
          <w:tab w:val="clear" w:pos="567"/>
        </w:tabs>
        <w:spacing w:line="240" w:lineRule="auto"/>
      </w:pPr>
    </w:p>
    <w:p w14:paraId="6DB1296F" w14:textId="77777777" w:rsidR="00943D3D" w:rsidRPr="0090043C" w:rsidRDefault="00943D3D" w:rsidP="00943D3D">
      <w:pPr>
        <w:rPr>
          <w:rStyle w:val="markedcontent"/>
          <w:szCs w:val="22"/>
        </w:rPr>
      </w:pPr>
      <w:bookmarkStart w:id="10" w:name="_Hlk132285734"/>
      <w:r w:rsidRPr="0090043C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90043C">
          <w:rPr>
            <w:rStyle w:val="Hypertextovodkaz"/>
            <w:color w:val="auto"/>
            <w:szCs w:val="22"/>
          </w:rPr>
          <w:t>https://www.uskvbl.cz</w:t>
        </w:r>
      </w:hyperlink>
      <w:r w:rsidRPr="0090043C">
        <w:rPr>
          <w:rStyle w:val="markedcontent"/>
          <w:szCs w:val="22"/>
        </w:rPr>
        <w:t xml:space="preserve">). </w:t>
      </w:r>
      <w:bookmarkEnd w:id="10"/>
    </w:p>
    <w:sectPr w:rsidR="00943D3D" w:rsidRPr="0090043C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EC725" w14:textId="77777777" w:rsidR="00C96F8E" w:rsidRDefault="00C96F8E">
      <w:pPr>
        <w:spacing w:line="240" w:lineRule="auto"/>
      </w:pPr>
      <w:r>
        <w:separator/>
      </w:r>
    </w:p>
  </w:endnote>
  <w:endnote w:type="continuationSeparator" w:id="0">
    <w:p w14:paraId="16283C0E" w14:textId="77777777" w:rsidR="00C96F8E" w:rsidRDefault="00C96F8E">
      <w:pPr>
        <w:spacing w:line="240" w:lineRule="auto"/>
      </w:pPr>
      <w:r>
        <w:continuationSeparator/>
      </w:r>
    </w:p>
  </w:endnote>
  <w:endnote w:type="continuationNotice" w:id="1">
    <w:p w14:paraId="7F0125BE" w14:textId="77777777" w:rsidR="00C96F8E" w:rsidRDefault="00C96F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90043C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4C1AB" w14:textId="77777777" w:rsidR="00C96F8E" w:rsidRDefault="00C96F8E">
      <w:pPr>
        <w:spacing w:line="240" w:lineRule="auto"/>
      </w:pPr>
      <w:r>
        <w:separator/>
      </w:r>
    </w:p>
  </w:footnote>
  <w:footnote w:type="continuationSeparator" w:id="0">
    <w:p w14:paraId="13BE9D01" w14:textId="77777777" w:rsidR="00C96F8E" w:rsidRDefault="00C96F8E">
      <w:pPr>
        <w:spacing w:line="240" w:lineRule="auto"/>
      </w:pPr>
      <w:r>
        <w:continuationSeparator/>
      </w:r>
    </w:p>
  </w:footnote>
  <w:footnote w:type="continuationNotice" w:id="1">
    <w:p w14:paraId="3877378C" w14:textId="77777777" w:rsidR="00C96F8E" w:rsidRDefault="00C96F8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1862F2F"/>
    <w:multiLevelType w:val="singleLevel"/>
    <w:tmpl w:val="1E98183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2"/>
  </w:num>
  <w:num w:numId="8">
    <w:abstractNumId w:val="10"/>
  </w:num>
  <w:num w:numId="9">
    <w:abstractNumId w:val="34"/>
  </w:num>
  <w:num w:numId="10">
    <w:abstractNumId w:val="35"/>
  </w:num>
  <w:num w:numId="11">
    <w:abstractNumId w:val="17"/>
  </w:num>
  <w:num w:numId="12">
    <w:abstractNumId w:val="15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2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602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5DFF"/>
    <w:rsid w:val="000C687A"/>
    <w:rsid w:val="000C7AFE"/>
    <w:rsid w:val="000D67D0"/>
    <w:rsid w:val="000E115E"/>
    <w:rsid w:val="000E195C"/>
    <w:rsid w:val="000E3602"/>
    <w:rsid w:val="000E3D1F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2F2A"/>
    <w:rsid w:val="00164543"/>
    <w:rsid w:val="00164C48"/>
    <w:rsid w:val="00165A09"/>
    <w:rsid w:val="001674D3"/>
    <w:rsid w:val="00174721"/>
    <w:rsid w:val="00175264"/>
    <w:rsid w:val="00175D3E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163D"/>
    <w:rsid w:val="001D4CE4"/>
    <w:rsid w:val="001D64D0"/>
    <w:rsid w:val="001D6D96"/>
    <w:rsid w:val="001D7B42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13DD"/>
    <w:rsid w:val="00213890"/>
    <w:rsid w:val="00214AB2"/>
    <w:rsid w:val="00214E52"/>
    <w:rsid w:val="00217431"/>
    <w:rsid w:val="002207C0"/>
    <w:rsid w:val="0022380D"/>
    <w:rsid w:val="00224B93"/>
    <w:rsid w:val="00227631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5BBB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25B5D"/>
    <w:rsid w:val="00330CC1"/>
    <w:rsid w:val="0033129D"/>
    <w:rsid w:val="003320ED"/>
    <w:rsid w:val="0033480E"/>
    <w:rsid w:val="0033567D"/>
    <w:rsid w:val="00337123"/>
    <w:rsid w:val="00341866"/>
    <w:rsid w:val="00342C0C"/>
    <w:rsid w:val="003535E0"/>
    <w:rsid w:val="003543AC"/>
    <w:rsid w:val="0035507D"/>
    <w:rsid w:val="00355AB8"/>
    <w:rsid w:val="00355D02"/>
    <w:rsid w:val="00365C0D"/>
    <w:rsid w:val="00366F56"/>
    <w:rsid w:val="003737C8"/>
    <w:rsid w:val="00373828"/>
    <w:rsid w:val="0037589D"/>
    <w:rsid w:val="00376BB1"/>
    <w:rsid w:val="00377B32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115"/>
    <w:rsid w:val="003B5CD1"/>
    <w:rsid w:val="003B6E04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E3DBA"/>
    <w:rsid w:val="003F0BC8"/>
    <w:rsid w:val="003F0D6C"/>
    <w:rsid w:val="003F0F26"/>
    <w:rsid w:val="003F12D9"/>
    <w:rsid w:val="003F1B4C"/>
    <w:rsid w:val="003F3CE6"/>
    <w:rsid w:val="003F677F"/>
    <w:rsid w:val="004008F6"/>
    <w:rsid w:val="004032B1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05E9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4F9E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8DA"/>
    <w:rsid w:val="00507FCE"/>
    <w:rsid w:val="00515FDE"/>
    <w:rsid w:val="00516EE0"/>
    <w:rsid w:val="00517756"/>
    <w:rsid w:val="005202C6"/>
    <w:rsid w:val="00523C53"/>
    <w:rsid w:val="005272F4"/>
    <w:rsid w:val="00527B8F"/>
    <w:rsid w:val="00536031"/>
    <w:rsid w:val="0054134B"/>
    <w:rsid w:val="00542012"/>
    <w:rsid w:val="0054296E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339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B5A08"/>
    <w:rsid w:val="005C276A"/>
    <w:rsid w:val="005C6C67"/>
    <w:rsid w:val="005C744B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6F5C3F"/>
    <w:rsid w:val="00705EAF"/>
    <w:rsid w:val="0070773E"/>
    <w:rsid w:val="007101CC"/>
    <w:rsid w:val="00711081"/>
    <w:rsid w:val="00713052"/>
    <w:rsid w:val="00715C55"/>
    <w:rsid w:val="0072394F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5844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0A3F"/>
    <w:rsid w:val="007E2F2D"/>
    <w:rsid w:val="007F1433"/>
    <w:rsid w:val="007F1491"/>
    <w:rsid w:val="007F16DD"/>
    <w:rsid w:val="007F2F03"/>
    <w:rsid w:val="007F42CE"/>
    <w:rsid w:val="007F73D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51F3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38B4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043C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0BA"/>
    <w:rsid w:val="009311ED"/>
    <w:rsid w:val="0093145E"/>
    <w:rsid w:val="00931D41"/>
    <w:rsid w:val="00933D18"/>
    <w:rsid w:val="0093770A"/>
    <w:rsid w:val="00942221"/>
    <w:rsid w:val="00943D3D"/>
    <w:rsid w:val="00950FBB"/>
    <w:rsid w:val="00951118"/>
    <w:rsid w:val="0095122F"/>
    <w:rsid w:val="00951AC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770BD"/>
    <w:rsid w:val="009818E5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45F93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3E87"/>
    <w:rsid w:val="00AF406C"/>
    <w:rsid w:val="00AF45ED"/>
    <w:rsid w:val="00B00CA4"/>
    <w:rsid w:val="00B01BA6"/>
    <w:rsid w:val="00B075D6"/>
    <w:rsid w:val="00B113B9"/>
    <w:rsid w:val="00B119A2"/>
    <w:rsid w:val="00B13670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196F"/>
    <w:rsid w:val="00B660D6"/>
    <w:rsid w:val="00B67323"/>
    <w:rsid w:val="00B71162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FAC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359A"/>
    <w:rsid w:val="00BE569B"/>
    <w:rsid w:val="00BF00EF"/>
    <w:rsid w:val="00BF2CBA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5B5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6F8E"/>
    <w:rsid w:val="00CA13B1"/>
    <w:rsid w:val="00CA28D8"/>
    <w:rsid w:val="00CA5902"/>
    <w:rsid w:val="00CA609B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64FC"/>
    <w:rsid w:val="00CF0269"/>
    <w:rsid w:val="00CF069C"/>
    <w:rsid w:val="00CF0DFF"/>
    <w:rsid w:val="00CF3084"/>
    <w:rsid w:val="00CF77A2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18A8"/>
    <w:rsid w:val="00D32624"/>
    <w:rsid w:val="00D3691A"/>
    <w:rsid w:val="00D377E2"/>
    <w:rsid w:val="00D403E9"/>
    <w:rsid w:val="00D42DCB"/>
    <w:rsid w:val="00D44A37"/>
    <w:rsid w:val="00D45482"/>
    <w:rsid w:val="00D4570E"/>
    <w:rsid w:val="00D46DF2"/>
    <w:rsid w:val="00D47674"/>
    <w:rsid w:val="00D5338C"/>
    <w:rsid w:val="00D55C5B"/>
    <w:rsid w:val="00D56154"/>
    <w:rsid w:val="00D606B2"/>
    <w:rsid w:val="00D625A7"/>
    <w:rsid w:val="00D62C06"/>
    <w:rsid w:val="00D63575"/>
    <w:rsid w:val="00D64074"/>
    <w:rsid w:val="00D65777"/>
    <w:rsid w:val="00D728A0"/>
    <w:rsid w:val="00D73634"/>
    <w:rsid w:val="00D74018"/>
    <w:rsid w:val="00D774A4"/>
    <w:rsid w:val="00D83661"/>
    <w:rsid w:val="00D868FB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6C97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4198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407"/>
    <w:rsid w:val="00F307CE"/>
    <w:rsid w:val="00F343C8"/>
    <w:rsid w:val="00F345A8"/>
    <w:rsid w:val="00F354C5"/>
    <w:rsid w:val="00F37108"/>
    <w:rsid w:val="00F40449"/>
    <w:rsid w:val="00F4172C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1348"/>
    <w:rsid w:val="00F95A8C"/>
    <w:rsid w:val="00FA06FD"/>
    <w:rsid w:val="00FA515B"/>
    <w:rsid w:val="00FA6B90"/>
    <w:rsid w:val="00FA70F9"/>
    <w:rsid w:val="00FA74CB"/>
    <w:rsid w:val="00FB040F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5B940022-7FFE-408C-88D5-49785BC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spc2Char">
    <w:name w:val="spc2 Char"/>
    <w:basedOn w:val="Normln"/>
    <w:rsid w:val="00B6196F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paragraph" w:customStyle="1" w:styleId="Retrait1cm">
    <w:name w:val="Retrait1cm"/>
    <w:basedOn w:val="Normln"/>
    <w:autoRedefine/>
    <w:rsid w:val="00D868FB"/>
    <w:pPr>
      <w:tabs>
        <w:tab w:val="clear" w:pos="567"/>
        <w:tab w:val="left" w:leader="dot" w:pos="6804"/>
        <w:tab w:val="left" w:pos="7938"/>
      </w:tabs>
      <w:spacing w:line="240" w:lineRule="auto"/>
    </w:pPr>
    <w:rPr>
      <w:szCs w:val="22"/>
      <w:lang w:eastAsia="cs-CZ"/>
    </w:rPr>
  </w:style>
  <w:style w:type="character" w:customStyle="1" w:styleId="markedcontent">
    <w:name w:val="markedcontent"/>
    <w:basedOn w:val="Standardnpsmoodstavce"/>
    <w:rsid w:val="0094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B8B89-F9D3-41A1-BE96-3F29611B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6780</TotalTime>
  <Pages>6</Pages>
  <Words>1231</Words>
  <Characters>7269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dc:description/>
  <cp:lastModifiedBy>Nepejchalová Leona</cp:lastModifiedBy>
  <cp:revision>28</cp:revision>
  <cp:lastPrinted>2008-06-03T12:50:00Z</cp:lastPrinted>
  <dcterms:created xsi:type="dcterms:W3CDTF">2022-06-10T09:47:00Z</dcterms:created>
  <dcterms:modified xsi:type="dcterms:W3CDTF">2024-02-23T17:15:00Z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