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0FB2" w14:textId="77777777" w:rsidR="00C114FF" w:rsidRPr="009B62FB" w:rsidRDefault="00C114FF" w:rsidP="009B62FB">
      <w:pPr>
        <w:tabs>
          <w:tab w:val="clear" w:pos="567"/>
        </w:tabs>
        <w:spacing w:line="240" w:lineRule="auto"/>
        <w:rPr>
          <w:szCs w:val="22"/>
        </w:rPr>
      </w:pPr>
    </w:p>
    <w:p w14:paraId="14C30FB3" w14:textId="77777777" w:rsidR="00C114FF" w:rsidRPr="009B62FB" w:rsidRDefault="00C114FF" w:rsidP="009B62FB">
      <w:pPr>
        <w:tabs>
          <w:tab w:val="clear" w:pos="567"/>
        </w:tabs>
        <w:spacing w:line="240" w:lineRule="auto"/>
        <w:rPr>
          <w:szCs w:val="22"/>
        </w:rPr>
      </w:pPr>
    </w:p>
    <w:p w14:paraId="14C30FB5" w14:textId="77777777" w:rsidR="00C114FF" w:rsidRPr="009B62FB" w:rsidRDefault="00C114FF" w:rsidP="009B62FB">
      <w:pPr>
        <w:tabs>
          <w:tab w:val="clear" w:pos="567"/>
        </w:tabs>
        <w:spacing w:line="240" w:lineRule="auto"/>
        <w:rPr>
          <w:szCs w:val="22"/>
        </w:rPr>
      </w:pPr>
    </w:p>
    <w:p w14:paraId="14C30FB6" w14:textId="77777777" w:rsidR="00C114FF" w:rsidRPr="009B62FB" w:rsidRDefault="00C114FF" w:rsidP="009B62FB">
      <w:pPr>
        <w:tabs>
          <w:tab w:val="clear" w:pos="567"/>
        </w:tabs>
        <w:spacing w:line="240" w:lineRule="auto"/>
        <w:rPr>
          <w:szCs w:val="22"/>
        </w:rPr>
      </w:pPr>
    </w:p>
    <w:p w14:paraId="14C30FB7" w14:textId="77777777" w:rsidR="00C114FF" w:rsidRPr="009B62FB" w:rsidRDefault="00C114FF" w:rsidP="009B62FB">
      <w:pPr>
        <w:tabs>
          <w:tab w:val="clear" w:pos="567"/>
        </w:tabs>
        <w:spacing w:line="240" w:lineRule="auto"/>
        <w:rPr>
          <w:szCs w:val="22"/>
        </w:rPr>
      </w:pPr>
    </w:p>
    <w:p w14:paraId="14C30FB8" w14:textId="77777777" w:rsidR="00C114FF" w:rsidRPr="009B62FB" w:rsidRDefault="00C114FF" w:rsidP="009B62FB">
      <w:pPr>
        <w:tabs>
          <w:tab w:val="clear" w:pos="567"/>
        </w:tabs>
        <w:spacing w:line="240" w:lineRule="auto"/>
        <w:rPr>
          <w:szCs w:val="22"/>
        </w:rPr>
      </w:pPr>
    </w:p>
    <w:p w14:paraId="14C30FB9" w14:textId="77777777" w:rsidR="00C114FF" w:rsidRPr="009B62FB" w:rsidRDefault="00C114FF" w:rsidP="009B62FB">
      <w:pPr>
        <w:tabs>
          <w:tab w:val="clear" w:pos="567"/>
        </w:tabs>
        <w:spacing w:line="240" w:lineRule="auto"/>
        <w:rPr>
          <w:szCs w:val="22"/>
        </w:rPr>
      </w:pPr>
    </w:p>
    <w:p w14:paraId="14C30FBA" w14:textId="77777777" w:rsidR="00C114FF" w:rsidRPr="009B62FB" w:rsidRDefault="00C114FF" w:rsidP="009B62FB">
      <w:pPr>
        <w:tabs>
          <w:tab w:val="clear" w:pos="567"/>
        </w:tabs>
        <w:spacing w:line="240" w:lineRule="auto"/>
        <w:rPr>
          <w:szCs w:val="22"/>
        </w:rPr>
      </w:pPr>
    </w:p>
    <w:p w14:paraId="14C30FBB" w14:textId="77777777" w:rsidR="00C114FF" w:rsidRPr="009B62FB" w:rsidRDefault="00C114FF" w:rsidP="009B62FB">
      <w:pPr>
        <w:tabs>
          <w:tab w:val="clear" w:pos="567"/>
        </w:tabs>
        <w:spacing w:line="240" w:lineRule="auto"/>
        <w:rPr>
          <w:szCs w:val="22"/>
        </w:rPr>
      </w:pPr>
    </w:p>
    <w:p w14:paraId="14C30FBC" w14:textId="77777777" w:rsidR="00C114FF" w:rsidRPr="009B62FB" w:rsidRDefault="00C114FF" w:rsidP="009B62FB">
      <w:pPr>
        <w:tabs>
          <w:tab w:val="clear" w:pos="567"/>
        </w:tabs>
        <w:spacing w:line="240" w:lineRule="auto"/>
        <w:rPr>
          <w:szCs w:val="22"/>
        </w:rPr>
      </w:pPr>
    </w:p>
    <w:p w14:paraId="14C30FBD" w14:textId="77777777" w:rsidR="00C114FF" w:rsidRPr="009B62FB" w:rsidRDefault="00C114FF" w:rsidP="009B62FB">
      <w:pPr>
        <w:tabs>
          <w:tab w:val="clear" w:pos="567"/>
        </w:tabs>
        <w:spacing w:line="240" w:lineRule="auto"/>
        <w:rPr>
          <w:szCs w:val="22"/>
        </w:rPr>
      </w:pPr>
    </w:p>
    <w:p w14:paraId="14C30FBE" w14:textId="77777777" w:rsidR="00C114FF" w:rsidRPr="009B62FB" w:rsidRDefault="00C114FF" w:rsidP="009B62FB">
      <w:pPr>
        <w:tabs>
          <w:tab w:val="clear" w:pos="567"/>
        </w:tabs>
        <w:spacing w:line="240" w:lineRule="auto"/>
        <w:rPr>
          <w:szCs w:val="22"/>
        </w:rPr>
      </w:pPr>
    </w:p>
    <w:p w14:paraId="14C30FBF" w14:textId="77777777" w:rsidR="00C114FF" w:rsidRPr="009B62FB" w:rsidRDefault="00C114FF" w:rsidP="009B62FB">
      <w:pPr>
        <w:tabs>
          <w:tab w:val="clear" w:pos="567"/>
        </w:tabs>
        <w:spacing w:line="240" w:lineRule="auto"/>
        <w:rPr>
          <w:szCs w:val="22"/>
        </w:rPr>
      </w:pPr>
    </w:p>
    <w:p w14:paraId="14C30FC0" w14:textId="77777777" w:rsidR="00C114FF" w:rsidRPr="009B62FB" w:rsidRDefault="00C114FF" w:rsidP="009B62FB">
      <w:pPr>
        <w:tabs>
          <w:tab w:val="clear" w:pos="567"/>
        </w:tabs>
        <w:spacing w:line="240" w:lineRule="auto"/>
        <w:rPr>
          <w:szCs w:val="22"/>
        </w:rPr>
      </w:pPr>
    </w:p>
    <w:p w14:paraId="14C30FC1" w14:textId="77777777" w:rsidR="00C114FF" w:rsidRPr="009B62FB" w:rsidRDefault="00C114FF" w:rsidP="009B62FB">
      <w:pPr>
        <w:tabs>
          <w:tab w:val="clear" w:pos="567"/>
        </w:tabs>
        <w:spacing w:line="240" w:lineRule="auto"/>
        <w:rPr>
          <w:szCs w:val="22"/>
        </w:rPr>
      </w:pPr>
    </w:p>
    <w:p w14:paraId="14C30FC2" w14:textId="77777777" w:rsidR="00C114FF" w:rsidRPr="009B62FB" w:rsidRDefault="00C114FF" w:rsidP="009B62FB">
      <w:pPr>
        <w:tabs>
          <w:tab w:val="clear" w:pos="567"/>
        </w:tabs>
        <w:spacing w:line="240" w:lineRule="auto"/>
        <w:rPr>
          <w:szCs w:val="22"/>
        </w:rPr>
      </w:pPr>
    </w:p>
    <w:p w14:paraId="14C30FC3" w14:textId="77777777" w:rsidR="00C114FF" w:rsidRPr="009B62FB" w:rsidRDefault="00C114FF" w:rsidP="009B62FB">
      <w:pPr>
        <w:tabs>
          <w:tab w:val="clear" w:pos="567"/>
        </w:tabs>
        <w:spacing w:line="240" w:lineRule="auto"/>
        <w:rPr>
          <w:szCs w:val="22"/>
        </w:rPr>
      </w:pPr>
    </w:p>
    <w:p w14:paraId="14C30FC4" w14:textId="77777777" w:rsidR="00C114FF" w:rsidRPr="009B62FB" w:rsidRDefault="00C114FF" w:rsidP="009B62FB">
      <w:pPr>
        <w:tabs>
          <w:tab w:val="clear" w:pos="567"/>
        </w:tabs>
        <w:spacing w:line="240" w:lineRule="auto"/>
        <w:rPr>
          <w:szCs w:val="22"/>
        </w:rPr>
      </w:pPr>
    </w:p>
    <w:p w14:paraId="14C30FC5" w14:textId="77777777" w:rsidR="00C114FF" w:rsidRPr="009B62FB" w:rsidRDefault="00C114FF" w:rsidP="009B62FB">
      <w:pPr>
        <w:tabs>
          <w:tab w:val="clear" w:pos="567"/>
        </w:tabs>
        <w:spacing w:line="240" w:lineRule="auto"/>
        <w:rPr>
          <w:szCs w:val="22"/>
        </w:rPr>
      </w:pPr>
    </w:p>
    <w:p w14:paraId="14C30FC6" w14:textId="77777777" w:rsidR="00C114FF" w:rsidRPr="009B62FB" w:rsidRDefault="00C114FF" w:rsidP="009B62FB">
      <w:pPr>
        <w:tabs>
          <w:tab w:val="clear" w:pos="567"/>
        </w:tabs>
        <w:spacing w:line="240" w:lineRule="auto"/>
        <w:rPr>
          <w:szCs w:val="22"/>
        </w:rPr>
      </w:pPr>
    </w:p>
    <w:p w14:paraId="14C30FC7" w14:textId="77777777" w:rsidR="00C114FF" w:rsidRPr="009B62FB" w:rsidRDefault="00C114FF" w:rsidP="009B62FB">
      <w:pPr>
        <w:tabs>
          <w:tab w:val="clear" w:pos="567"/>
        </w:tabs>
        <w:spacing w:line="240" w:lineRule="auto"/>
        <w:rPr>
          <w:szCs w:val="22"/>
        </w:rPr>
      </w:pPr>
    </w:p>
    <w:p w14:paraId="14C30FC8" w14:textId="77777777" w:rsidR="00C114FF" w:rsidRPr="009B62FB" w:rsidRDefault="006C6ABC" w:rsidP="009B62FB">
      <w:pPr>
        <w:tabs>
          <w:tab w:val="clear" w:pos="567"/>
        </w:tabs>
        <w:spacing w:line="240" w:lineRule="auto"/>
        <w:jc w:val="center"/>
        <w:rPr>
          <w:b/>
          <w:szCs w:val="22"/>
        </w:rPr>
      </w:pPr>
      <w:r w:rsidRPr="009B62FB">
        <w:rPr>
          <w:b/>
          <w:szCs w:val="22"/>
        </w:rPr>
        <w:t>PŘÍLOHA I</w:t>
      </w:r>
    </w:p>
    <w:p w14:paraId="14C30FC9" w14:textId="77777777" w:rsidR="00C114FF" w:rsidRPr="009B62FB" w:rsidRDefault="00C114FF" w:rsidP="009B62FB">
      <w:pPr>
        <w:tabs>
          <w:tab w:val="clear" w:pos="567"/>
        </w:tabs>
        <w:spacing w:line="240" w:lineRule="auto"/>
        <w:rPr>
          <w:szCs w:val="22"/>
        </w:rPr>
      </w:pPr>
    </w:p>
    <w:p w14:paraId="14C30FCA" w14:textId="77777777" w:rsidR="00C114FF" w:rsidRPr="009B62FB" w:rsidRDefault="006C6ABC" w:rsidP="009B62FB">
      <w:pPr>
        <w:tabs>
          <w:tab w:val="clear" w:pos="567"/>
        </w:tabs>
        <w:spacing w:line="240" w:lineRule="auto"/>
        <w:jc w:val="center"/>
        <w:rPr>
          <w:b/>
          <w:szCs w:val="22"/>
        </w:rPr>
      </w:pPr>
      <w:r w:rsidRPr="009B62FB">
        <w:rPr>
          <w:b/>
          <w:szCs w:val="22"/>
        </w:rPr>
        <w:t>SOUHRN ÚDAJŮ O PŘÍPRAVKU</w:t>
      </w:r>
    </w:p>
    <w:p w14:paraId="14C30FCB" w14:textId="77777777" w:rsidR="00C114FF" w:rsidRPr="009B62FB" w:rsidRDefault="006C6ABC" w:rsidP="009B62FB">
      <w:pPr>
        <w:pStyle w:val="Style1"/>
      </w:pPr>
      <w:r w:rsidRPr="009B62FB">
        <w:br w:type="page"/>
      </w:r>
      <w:r w:rsidRPr="009B62FB">
        <w:lastRenderedPageBreak/>
        <w:t>1.</w:t>
      </w:r>
      <w:r w:rsidRPr="009B62FB">
        <w:tab/>
        <w:t>NÁZEV VETERINÁRNÍHO LÉČIVÉHO PŘÍPRAVKU</w:t>
      </w:r>
    </w:p>
    <w:p w14:paraId="14C30FCC" w14:textId="77777777" w:rsidR="00C114FF" w:rsidRPr="009B62FB" w:rsidRDefault="00C114FF" w:rsidP="009B62FB">
      <w:pPr>
        <w:tabs>
          <w:tab w:val="clear" w:pos="567"/>
        </w:tabs>
        <w:spacing w:line="240" w:lineRule="auto"/>
        <w:rPr>
          <w:szCs w:val="22"/>
        </w:rPr>
      </w:pPr>
    </w:p>
    <w:p w14:paraId="100BBDC0" w14:textId="77777777" w:rsidR="00A73495" w:rsidRPr="009B62FB" w:rsidRDefault="00A73495" w:rsidP="009B62FB">
      <w:pPr>
        <w:rPr>
          <w:bCs/>
          <w:szCs w:val="22"/>
        </w:rPr>
      </w:pPr>
      <w:r w:rsidRPr="009B62FB">
        <w:rPr>
          <w:bCs/>
          <w:szCs w:val="22"/>
        </w:rPr>
        <w:t>Nobilis IB Ma5 lyofilizát pro okulonazální suspenzi/podání v pitné vodě pro kura domácího</w:t>
      </w:r>
    </w:p>
    <w:p w14:paraId="14C30FCF" w14:textId="116F5F33" w:rsidR="00C114FF" w:rsidRPr="009B62FB" w:rsidRDefault="00C114FF" w:rsidP="009B62FB">
      <w:pPr>
        <w:tabs>
          <w:tab w:val="clear" w:pos="567"/>
        </w:tabs>
        <w:spacing w:line="240" w:lineRule="auto"/>
        <w:rPr>
          <w:szCs w:val="22"/>
        </w:rPr>
      </w:pPr>
    </w:p>
    <w:p w14:paraId="78A3EDF5" w14:textId="77777777" w:rsidR="005C6C67" w:rsidRPr="009B62FB" w:rsidRDefault="005C6C67" w:rsidP="009B62FB">
      <w:pPr>
        <w:tabs>
          <w:tab w:val="clear" w:pos="567"/>
        </w:tabs>
        <w:spacing w:line="240" w:lineRule="auto"/>
        <w:rPr>
          <w:szCs w:val="22"/>
        </w:rPr>
      </w:pPr>
    </w:p>
    <w:p w14:paraId="14C30FD0" w14:textId="77777777" w:rsidR="00C114FF" w:rsidRPr="009B62FB" w:rsidRDefault="006C6ABC" w:rsidP="009B62FB">
      <w:pPr>
        <w:pStyle w:val="Style1"/>
      </w:pPr>
      <w:r w:rsidRPr="009B62FB">
        <w:t>2.</w:t>
      </w:r>
      <w:r w:rsidRPr="009B62FB">
        <w:tab/>
        <w:t>KVALITATIVNÍ A KVANTITATIVNÍ SLOŽENÍ</w:t>
      </w:r>
    </w:p>
    <w:p w14:paraId="14C30FD1" w14:textId="77777777" w:rsidR="00C114FF" w:rsidRPr="009B62FB" w:rsidRDefault="00C114FF" w:rsidP="009B62FB">
      <w:pPr>
        <w:tabs>
          <w:tab w:val="clear" w:pos="567"/>
        </w:tabs>
        <w:spacing w:line="240" w:lineRule="auto"/>
        <w:rPr>
          <w:szCs w:val="22"/>
        </w:rPr>
      </w:pPr>
    </w:p>
    <w:p w14:paraId="5E4CC433" w14:textId="7ADB6228" w:rsidR="00A73495" w:rsidRPr="009B62FB" w:rsidRDefault="00A73495" w:rsidP="009B62FB">
      <w:pPr>
        <w:tabs>
          <w:tab w:val="clear" w:pos="567"/>
        </w:tabs>
        <w:spacing w:line="240" w:lineRule="auto"/>
        <w:rPr>
          <w:bCs/>
          <w:szCs w:val="22"/>
        </w:rPr>
      </w:pPr>
      <w:r w:rsidRPr="009B62FB">
        <w:rPr>
          <w:bCs/>
          <w:szCs w:val="22"/>
        </w:rPr>
        <w:t xml:space="preserve">Každá dávka </w:t>
      </w:r>
      <w:r w:rsidR="00BC1DF1" w:rsidRPr="009B62FB">
        <w:rPr>
          <w:bCs/>
          <w:szCs w:val="22"/>
        </w:rPr>
        <w:t xml:space="preserve">rekonstituované vakcíny </w:t>
      </w:r>
      <w:r w:rsidRPr="009B62FB">
        <w:rPr>
          <w:bCs/>
          <w:szCs w:val="22"/>
        </w:rPr>
        <w:t xml:space="preserve">obsahuje: </w:t>
      </w:r>
    </w:p>
    <w:p w14:paraId="4A37BA6C" w14:textId="77777777" w:rsidR="00A73495" w:rsidRPr="009B62FB" w:rsidRDefault="00A73495" w:rsidP="009B62FB">
      <w:pPr>
        <w:tabs>
          <w:tab w:val="clear" w:pos="567"/>
        </w:tabs>
        <w:spacing w:line="240" w:lineRule="auto"/>
        <w:rPr>
          <w:b/>
          <w:szCs w:val="22"/>
        </w:rPr>
      </w:pPr>
    </w:p>
    <w:p w14:paraId="420FCB8B" w14:textId="5DEF8E6C" w:rsidR="00A73495" w:rsidRPr="009B62FB" w:rsidRDefault="00A73495" w:rsidP="009B62FB">
      <w:pPr>
        <w:tabs>
          <w:tab w:val="clear" w:pos="567"/>
        </w:tabs>
        <w:spacing w:line="240" w:lineRule="auto"/>
        <w:rPr>
          <w:b/>
          <w:szCs w:val="22"/>
        </w:rPr>
      </w:pPr>
      <w:r w:rsidRPr="009B62FB">
        <w:rPr>
          <w:b/>
          <w:szCs w:val="22"/>
        </w:rPr>
        <w:t xml:space="preserve">Léčivá látka: </w:t>
      </w:r>
    </w:p>
    <w:p w14:paraId="7300665D" w14:textId="7BA1E850" w:rsidR="00A73495" w:rsidRPr="009B62FB" w:rsidRDefault="00A73495" w:rsidP="009B62FB">
      <w:pPr>
        <w:tabs>
          <w:tab w:val="clear" w:pos="567"/>
        </w:tabs>
        <w:spacing w:line="240" w:lineRule="auto"/>
        <w:rPr>
          <w:bCs/>
          <w:szCs w:val="22"/>
        </w:rPr>
      </w:pPr>
      <w:r w:rsidRPr="009B62FB">
        <w:rPr>
          <w:bCs/>
          <w:szCs w:val="22"/>
        </w:rPr>
        <w:t xml:space="preserve">Virus bronchitidis infectiosae avium </w:t>
      </w:r>
      <w:r w:rsidR="00BC1DF1" w:rsidRPr="009B62FB">
        <w:rPr>
          <w:bCs/>
          <w:szCs w:val="22"/>
        </w:rPr>
        <w:t xml:space="preserve">(IBV), kmen </w:t>
      </w:r>
      <w:r w:rsidRPr="009B62FB">
        <w:rPr>
          <w:bCs/>
          <w:szCs w:val="22"/>
        </w:rPr>
        <w:t>Ma5</w:t>
      </w:r>
      <w:r w:rsidR="00191640" w:rsidRPr="009B62FB">
        <w:rPr>
          <w:bCs/>
          <w:szCs w:val="22"/>
        </w:rPr>
        <w:t>, živý:</w:t>
      </w:r>
      <w:r w:rsidR="00BC1DF1" w:rsidRPr="009B62FB">
        <w:rPr>
          <w:bCs/>
          <w:szCs w:val="22"/>
        </w:rPr>
        <w:t xml:space="preserve">  </w:t>
      </w:r>
      <w:r w:rsidRPr="009B62FB">
        <w:rPr>
          <w:bCs/>
          <w:szCs w:val="22"/>
        </w:rPr>
        <w:t>3,0 log</w:t>
      </w:r>
      <w:r w:rsidRPr="009B62FB">
        <w:rPr>
          <w:bCs/>
          <w:szCs w:val="22"/>
          <w:vertAlign w:val="subscript"/>
        </w:rPr>
        <w:t>10</w:t>
      </w:r>
      <w:r w:rsidRPr="009B62FB">
        <w:rPr>
          <w:bCs/>
          <w:szCs w:val="22"/>
        </w:rPr>
        <w:t xml:space="preserve"> – 5,8 log</w:t>
      </w:r>
      <w:r w:rsidRPr="009B62FB">
        <w:rPr>
          <w:bCs/>
          <w:szCs w:val="22"/>
          <w:vertAlign w:val="subscript"/>
        </w:rPr>
        <w:t>10</w:t>
      </w:r>
      <w:r w:rsidRPr="009B62FB">
        <w:rPr>
          <w:bCs/>
          <w:szCs w:val="22"/>
        </w:rPr>
        <w:t xml:space="preserve"> EID</w:t>
      </w:r>
      <w:r w:rsidRPr="009B62FB">
        <w:rPr>
          <w:bCs/>
          <w:szCs w:val="22"/>
          <w:vertAlign w:val="subscript"/>
        </w:rPr>
        <w:t>50</w:t>
      </w:r>
      <w:r w:rsidRPr="009B62FB">
        <w:rPr>
          <w:bCs/>
          <w:szCs w:val="22"/>
        </w:rPr>
        <w:t xml:space="preserve"> *</w:t>
      </w:r>
    </w:p>
    <w:p w14:paraId="7163F9F0" w14:textId="77777777" w:rsidR="00A73495" w:rsidRPr="009B62FB" w:rsidRDefault="00A73495" w:rsidP="009B62FB">
      <w:pPr>
        <w:tabs>
          <w:tab w:val="clear" w:pos="567"/>
        </w:tabs>
        <w:spacing w:line="240" w:lineRule="auto"/>
        <w:rPr>
          <w:bCs/>
          <w:szCs w:val="22"/>
        </w:rPr>
      </w:pPr>
    </w:p>
    <w:p w14:paraId="23786BA5" w14:textId="27A41585" w:rsidR="00A73495" w:rsidRPr="009B62FB" w:rsidRDefault="00A73495" w:rsidP="009B62FB">
      <w:pPr>
        <w:tabs>
          <w:tab w:val="clear" w:pos="567"/>
        </w:tabs>
        <w:spacing w:line="240" w:lineRule="auto"/>
        <w:rPr>
          <w:bCs/>
          <w:szCs w:val="22"/>
        </w:rPr>
      </w:pPr>
      <w:r w:rsidRPr="009B62FB">
        <w:rPr>
          <w:bCs/>
          <w:szCs w:val="22"/>
        </w:rPr>
        <w:t xml:space="preserve">*EID50 = 50% infekční dávka pro embrya </w:t>
      </w:r>
    </w:p>
    <w:p w14:paraId="14C30FD5" w14:textId="77777777" w:rsidR="00C114FF" w:rsidRPr="009B62FB" w:rsidRDefault="00C114FF" w:rsidP="009B62FB">
      <w:pPr>
        <w:tabs>
          <w:tab w:val="clear" w:pos="567"/>
        </w:tabs>
        <w:spacing w:line="240" w:lineRule="auto"/>
        <w:rPr>
          <w:szCs w:val="22"/>
        </w:rPr>
      </w:pPr>
    </w:p>
    <w:p w14:paraId="14C30FD6" w14:textId="684E1B3B" w:rsidR="00C114FF" w:rsidRPr="009B62FB" w:rsidRDefault="006C6ABC" w:rsidP="009B62FB">
      <w:pPr>
        <w:tabs>
          <w:tab w:val="clear" w:pos="567"/>
        </w:tabs>
        <w:spacing w:line="240" w:lineRule="auto"/>
        <w:rPr>
          <w:szCs w:val="22"/>
        </w:rPr>
      </w:pPr>
      <w:r w:rsidRPr="009B62FB">
        <w:rPr>
          <w:b/>
          <w:szCs w:val="22"/>
        </w:rPr>
        <w:t>Pomocné látky:</w:t>
      </w:r>
    </w:p>
    <w:p w14:paraId="14C30FD7" w14:textId="77777777" w:rsidR="00C114FF" w:rsidRPr="009B62FB" w:rsidRDefault="00C114FF" w:rsidP="009B62FB">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5"/>
      </w:tblGrid>
      <w:tr w:rsidR="009B62FB" w:rsidRPr="009B62FB" w14:paraId="14C30FDA" w14:textId="77777777" w:rsidTr="003C72C6">
        <w:trPr>
          <w:trHeight w:val="520"/>
        </w:trPr>
        <w:tc>
          <w:tcPr>
            <w:tcW w:w="6295" w:type="dxa"/>
            <w:shd w:val="clear" w:color="auto" w:fill="auto"/>
            <w:vAlign w:val="center"/>
          </w:tcPr>
          <w:p w14:paraId="14C30FD8" w14:textId="3528D38A" w:rsidR="00BC1DF1" w:rsidRPr="009B62FB" w:rsidRDefault="00BC1DF1" w:rsidP="009B62FB">
            <w:pPr>
              <w:spacing w:before="60" w:after="60"/>
              <w:rPr>
                <w:b/>
                <w:bCs/>
                <w:iCs/>
                <w:szCs w:val="22"/>
              </w:rPr>
            </w:pPr>
            <w:r w:rsidRPr="009B62FB">
              <w:rPr>
                <w:b/>
                <w:bCs/>
                <w:iCs/>
                <w:szCs w:val="22"/>
              </w:rPr>
              <w:t>Kvalitativní složení pomocných látek a dalších složek</w:t>
            </w:r>
          </w:p>
        </w:tc>
      </w:tr>
      <w:tr w:rsidR="009B62FB" w:rsidRPr="009B62FB" w14:paraId="14C30FDD" w14:textId="77777777" w:rsidTr="003C72C6">
        <w:trPr>
          <w:trHeight w:val="287"/>
        </w:trPr>
        <w:tc>
          <w:tcPr>
            <w:tcW w:w="6295" w:type="dxa"/>
            <w:shd w:val="clear" w:color="auto" w:fill="auto"/>
            <w:vAlign w:val="center"/>
          </w:tcPr>
          <w:p w14:paraId="14C30FDB" w14:textId="7BB99418" w:rsidR="00BC1DF1" w:rsidRPr="009B62FB" w:rsidRDefault="00BC1DF1" w:rsidP="009B62FB">
            <w:pPr>
              <w:spacing w:before="60" w:after="60"/>
              <w:ind w:left="567" w:hanging="567"/>
              <w:rPr>
                <w:b/>
                <w:bCs/>
                <w:i/>
                <w:szCs w:val="22"/>
              </w:rPr>
            </w:pPr>
            <w:r w:rsidRPr="009B62FB">
              <w:rPr>
                <w:b/>
                <w:bCs/>
                <w:i/>
                <w:szCs w:val="22"/>
              </w:rPr>
              <w:t>Lyofilizát:</w:t>
            </w:r>
          </w:p>
        </w:tc>
      </w:tr>
      <w:tr w:rsidR="009B62FB" w:rsidRPr="009B62FB" w14:paraId="14C30FE0" w14:textId="77777777" w:rsidTr="003C72C6">
        <w:trPr>
          <w:trHeight w:val="308"/>
        </w:trPr>
        <w:tc>
          <w:tcPr>
            <w:tcW w:w="6295" w:type="dxa"/>
            <w:shd w:val="clear" w:color="auto" w:fill="auto"/>
            <w:vAlign w:val="center"/>
          </w:tcPr>
          <w:p w14:paraId="14C30FDE" w14:textId="55CA9BE4" w:rsidR="00BC1DF1" w:rsidRPr="009B62FB" w:rsidRDefault="00BC1DF1" w:rsidP="009B62FB">
            <w:pPr>
              <w:spacing w:before="60" w:after="60"/>
              <w:rPr>
                <w:iCs/>
                <w:szCs w:val="22"/>
              </w:rPr>
            </w:pPr>
            <w:r w:rsidRPr="009B62FB">
              <w:t>Sorbitol</w:t>
            </w:r>
          </w:p>
        </w:tc>
      </w:tr>
      <w:tr w:rsidR="009B62FB" w:rsidRPr="009B62FB" w14:paraId="14C30FE3" w14:textId="77777777" w:rsidTr="003C72C6">
        <w:trPr>
          <w:trHeight w:val="308"/>
        </w:trPr>
        <w:tc>
          <w:tcPr>
            <w:tcW w:w="6295" w:type="dxa"/>
            <w:shd w:val="clear" w:color="auto" w:fill="auto"/>
            <w:vAlign w:val="center"/>
          </w:tcPr>
          <w:p w14:paraId="14C30FE1" w14:textId="58CB6832" w:rsidR="00BC1DF1" w:rsidRPr="009B62FB" w:rsidRDefault="00BC1DF1" w:rsidP="009B62FB">
            <w:pPr>
              <w:spacing w:before="60" w:after="60"/>
              <w:rPr>
                <w:iCs/>
                <w:szCs w:val="22"/>
              </w:rPr>
            </w:pPr>
            <w:r w:rsidRPr="009B62FB">
              <w:t>Želatina</w:t>
            </w:r>
          </w:p>
        </w:tc>
      </w:tr>
      <w:tr w:rsidR="009B62FB" w:rsidRPr="009B62FB" w14:paraId="14C30FE6" w14:textId="77777777" w:rsidTr="003C72C6">
        <w:trPr>
          <w:trHeight w:val="308"/>
        </w:trPr>
        <w:tc>
          <w:tcPr>
            <w:tcW w:w="6295" w:type="dxa"/>
            <w:shd w:val="clear" w:color="auto" w:fill="auto"/>
            <w:vAlign w:val="center"/>
          </w:tcPr>
          <w:p w14:paraId="14C30FE4" w14:textId="0E69355C" w:rsidR="00BC1DF1" w:rsidRPr="009B62FB" w:rsidRDefault="00BC1DF1" w:rsidP="009B62FB">
            <w:pPr>
              <w:spacing w:before="60" w:after="60"/>
              <w:ind w:left="567" w:hanging="567"/>
              <w:rPr>
                <w:b/>
                <w:bCs/>
                <w:iCs/>
                <w:szCs w:val="22"/>
              </w:rPr>
            </w:pPr>
            <w:r w:rsidRPr="009B62FB">
              <w:t>Pankreatinem hydrolyzovaný kasein</w:t>
            </w:r>
          </w:p>
        </w:tc>
      </w:tr>
      <w:tr w:rsidR="009B62FB" w:rsidRPr="009B62FB" w14:paraId="14C30FE9" w14:textId="77777777" w:rsidTr="003C72C6">
        <w:trPr>
          <w:trHeight w:val="308"/>
        </w:trPr>
        <w:tc>
          <w:tcPr>
            <w:tcW w:w="6295" w:type="dxa"/>
            <w:shd w:val="clear" w:color="auto" w:fill="auto"/>
            <w:vAlign w:val="center"/>
          </w:tcPr>
          <w:p w14:paraId="14C30FE7" w14:textId="7530D32D" w:rsidR="00BC1DF1" w:rsidRPr="009B62FB" w:rsidRDefault="00BC1DF1" w:rsidP="009B62FB">
            <w:pPr>
              <w:spacing w:before="60" w:after="60"/>
              <w:rPr>
                <w:iCs/>
                <w:szCs w:val="22"/>
              </w:rPr>
            </w:pPr>
            <w:r w:rsidRPr="009B62FB">
              <w:t>Hydrogenfosforečnan sodný</w:t>
            </w:r>
          </w:p>
        </w:tc>
      </w:tr>
      <w:tr w:rsidR="009B62FB" w:rsidRPr="009B62FB" w14:paraId="6595EEA8" w14:textId="77777777" w:rsidTr="003C72C6">
        <w:trPr>
          <w:trHeight w:val="404"/>
        </w:trPr>
        <w:tc>
          <w:tcPr>
            <w:tcW w:w="6295" w:type="dxa"/>
            <w:shd w:val="clear" w:color="auto" w:fill="auto"/>
            <w:vAlign w:val="center"/>
          </w:tcPr>
          <w:p w14:paraId="29BD5A7F" w14:textId="082E1259" w:rsidR="00BC1DF1" w:rsidRPr="009B62FB" w:rsidRDefault="00BC1DF1" w:rsidP="009B62FB">
            <w:pPr>
              <w:jc w:val="both"/>
              <w:rPr>
                <w:szCs w:val="22"/>
              </w:rPr>
            </w:pPr>
            <w:r w:rsidRPr="009B62FB">
              <w:rPr>
                <w:szCs w:val="22"/>
              </w:rPr>
              <w:t>Gentamycin-sulfát</w:t>
            </w:r>
          </w:p>
        </w:tc>
      </w:tr>
      <w:tr w:rsidR="009B62FB" w:rsidRPr="009B62FB" w14:paraId="53023D0E" w14:textId="77777777" w:rsidTr="003C72C6">
        <w:trPr>
          <w:trHeight w:val="350"/>
        </w:trPr>
        <w:tc>
          <w:tcPr>
            <w:tcW w:w="6295" w:type="dxa"/>
            <w:shd w:val="clear" w:color="auto" w:fill="auto"/>
            <w:vAlign w:val="center"/>
          </w:tcPr>
          <w:p w14:paraId="79BCAB86" w14:textId="46B27C8A" w:rsidR="003C72C6" w:rsidRPr="009B62FB" w:rsidRDefault="00BC1DF1" w:rsidP="009B62FB">
            <w:pPr>
              <w:jc w:val="both"/>
              <w:rPr>
                <w:b/>
                <w:bCs/>
                <w:i/>
                <w:iCs/>
                <w:spacing w:val="-2"/>
                <w:szCs w:val="22"/>
              </w:rPr>
            </w:pPr>
            <w:r w:rsidRPr="009B62FB">
              <w:rPr>
                <w:b/>
                <w:bCs/>
                <w:i/>
                <w:iCs/>
                <w:spacing w:val="-2"/>
                <w:szCs w:val="22"/>
              </w:rPr>
              <w:t xml:space="preserve">Rozpouštědlo Solvens Oculo/Nasal: </w:t>
            </w:r>
          </w:p>
        </w:tc>
      </w:tr>
      <w:tr w:rsidR="009B62FB" w:rsidRPr="009B62FB" w14:paraId="0E31032E" w14:textId="77777777" w:rsidTr="003C72C6">
        <w:trPr>
          <w:trHeight w:val="350"/>
        </w:trPr>
        <w:tc>
          <w:tcPr>
            <w:tcW w:w="6295" w:type="dxa"/>
            <w:shd w:val="clear" w:color="auto" w:fill="auto"/>
            <w:vAlign w:val="center"/>
          </w:tcPr>
          <w:p w14:paraId="135F86B3" w14:textId="03C6F953" w:rsidR="00BC1DF1" w:rsidRPr="009B62FB" w:rsidRDefault="00BC1DF1" w:rsidP="009B62FB">
            <w:pPr>
              <w:jc w:val="both"/>
              <w:rPr>
                <w:spacing w:val="-2"/>
              </w:rPr>
            </w:pPr>
            <w:r w:rsidRPr="009B62FB">
              <w:rPr>
                <w:spacing w:val="-2"/>
              </w:rPr>
              <w:t xml:space="preserve">Dihydrogenfosforečnan draselný </w:t>
            </w:r>
          </w:p>
        </w:tc>
      </w:tr>
      <w:tr w:rsidR="009B62FB" w:rsidRPr="009B62FB" w14:paraId="300BE5F2" w14:textId="77777777" w:rsidTr="003C72C6">
        <w:trPr>
          <w:trHeight w:val="350"/>
        </w:trPr>
        <w:tc>
          <w:tcPr>
            <w:tcW w:w="6295" w:type="dxa"/>
            <w:shd w:val="clear" w:color="auto" w:fill="auto"/>
            <w:vAlign w:val="center"/>
          </w:tcPr>
          <w:p w14:paraId="52B6165C" w14:textId="447A6435" w:rsidR="00BC1DF1" w:rsidRPr="009B62FB" w:rsidRDefault="00BC1DF1" w:rsidP="009B62FB">
            <w:pPr>
              <w:jc w:val="both"/>
              <w:rPr>
                <w:spacing w:val="-2"/>
              </w:rPr>
            </w:pPr>
            <w:r w:rsidRPr="009B62FB">
              <w:rPr>
                <w:spacing w:val="-2"/>
              </w:rPr>
              <w:t xml:space="preserve">Dihydrát hydrogenfosforečnanu sodného </w:t>
            </w:r>
          </w:p>
        </w:tc>
      </w:tr>
      <w:tr w:rsidR="009B62FB" w:rsidRPr="009B62FB" w14:paraId="1181287F" w14:textId="77777777" w:rsidTr="003C72C6">
        <w:trPr>
          <w:trHeight w:val="350"/>
        </w:trPr>
        <w:tc>
          <w:tcPr>
            <w:tcW w:w="6295" w:type="dxa"/>
            <w:shd w:val="clear" w:color="auto" w:fill="auto"/>
            <w:vAlign w:val="center"/>
          </w:tcPr>
          <w:p w14:paraId="7289CA7F" w14:textId="2A112B8A" w:rsidR="00BC1DF1" w:rsidRPr="009B62FB" w:rsidRDefault="00BC1DF1" w:rsidP="009B62FB">
            <w:pPr>
              <w:jc w:val="both"/>
              <w:rPr>
                <w:spacing w:val="-2"/>
              </w:rPr>
            </w:pPr>
            <w:r w:rsidRPr="009B62FB">
              <w:rPr>
                <w:spacing w:val="-2"/>
              </w:rPr>
              <w:t>Chlorid sodný</w:t>
            </w:r>
          </w:p>
        </w:tc>
      </w:tr>
      <w:tr w:rsidR="009B62FB" w:rsidRPr="009B62FB" w14:paraId="635FAD32" w14:textId="77777777" w:rsidTr="003C72C6">
        <w:trPr>
          <w:trHeight w:val="350"/>
        </w:trPr>
        <w:tc>
          <w:tcPr>
            <w:tcW w:w="6295" w:type="dxa"/>
            <w:shd w:val="clear" w:color="auto" w:fill="auto"/>
            <w:vAlign w:val="center"/>
          </w:tcPr>
          <w:p w14:paraId="747E9B41" w14:textId="5CDA54D9" w:rsidR="00BC1DF1" w:rsidRPr="009B62FB" w:rsidRDefault="00BC1DF1" w:rsidP="009B62FB">
            <w:pPr>
              <w:jc w:val="both"/>
              <w:rPr>
                <w:spacing w:val="-2"/>
              </w:rPr>
            </w:pPr>
            <w:r w:rsidRPr="009B62FB">
              <w:rPr>
                <w:spacing w:val="-2"/>
              </w:rPr>
              <w:t>Dinatrium-edetát</w:t>
            </w:r>
          </w:p>
        </w:tc>
      </w:tr>
      <w:tr w:rsidR="009B62FB" w:rsidRPr="009B62FB" w14:paraId="20F02532" w14:textId="77777777" w:rsidTr="003C72C6">
        <w:trPr>
          <w:trHeight w:val="350"/>
        </w:trPr>
        <w:tc>
          <w:tcPr>
            <w:tcW w:w="6295" w:type="dxa"/>
            <w:shd w:val="clear" w:color="auto" w:fill="auto"/>
            <w:vAlign w:val="center"/>
          </w:tcPr>
          <w:p w14:paraId="32120AA5" w14:textId="4C82AD08" w:rsidR="00BC1DF1" w:rsidRPr="009B62FB" w:rsidRDefault="00BC1DF1" w:rsidP="009B62FB">
            <w:pPr>
              <w:jc w:val="both"/>
              <w:rPr>
                <w:spacing w:val="-2"/>
              </w:rPr>
            </w:pPr>
            <w:r w:rsidRPr="009B62FB">
              <w:rPr>
                <w:spacing w:val="-2"/>
              </w:rPr>
              <w:t xml:space="preserve">Patentní modř V </w:t>
            </w:r>
          </w:p>
        </w:tc>
      </w:tr>
      <w:tr w:rsidR="00BC1DF1" w:rsidRPr="009B62FB" w14:paraId="609D02C1" w14:textId="77777777" w:rsidTr="003C72C6">
        <w:trPr>
          <w:trHeight w:val="308"/>
        </w:trPr>
        <w:tc>
          <w:tcPr>
            <w:tcW w:w="6295" w:type="dxa"/>
            <w:shd w:val="clear" w:color="auto" w:fill="auto"/>
            <w:vAlign w:val="center"/>
          </w:tcPr>
          <w:p w14:paraId="2219F219" w14:textId="2280410D" w:rsidR="00BC1DF1" w:rsidRPr="009B62FB" w:rsidRDefault="00BC1DF1" w:rsidP="009B62FB">
            <w:pPr>
              <w:spacing w:before="60" w:after="60"/>
            </w:pPr>
            <w:r w:rsidRPr="009B62FB">
              <w:t>Voda pro injekci</w:t>
            </w:r>
          </w:p>
        </w:tc>
      </w:tr>
    </w:tbl>
    <w:p w14:paraId="14C30FEA" w14:textId="711C0F71" w:rsidR="00872C48" w:rsidRPr="009B62FB" w:rsidRDefault="00872C48" w:rsidP="009B62FB">
      <w:pPr>
        <w:tabs>
          <w:tab w:val="clear" w:pos="567"/>
        </w:tabs>
        <w:spacing w:line="240" w:lineRule="auto"/>
        <w:rPr>
          <w:szCs w:val="22"/>
        </w:rPr>
      </w:pPr>
    </w:p>
    <w:p w14:paraId="18E80B82" w14:textId="3EF5F840" w:rsidR="00A73495" w:rsidRPr="009B62FB" w:rsidRDefault="00A73495" w:rsidP="009B62FB">
      <w:pPr>
        <w:tabs>
          <w:tab w:val="clear" w:pos="567"/>
        </w:tabs>
        <w:spacing w:line="240" w:lineRule="auto"/>
        <w:rPr>
          <w:szCs w:val="22"/>
        </w:rPr>
      </w:pPr>
      <w:r w:rsidRPr="009B62FB">
        <w:rPr>
          <w:szCs w:val="22"/>
        </w:rPr>
        <w:t>Lyofilizát</w:t>
      </w:r>
      <w:r w:rsidR="003C72C6" w:rsidRPr="009B62FB">
        <w:rPr>
          <w:szCs w:val="22"/>
        </w:rPr>
        <w:t>:</w:t>
      </w:r>
    </w:p>
    <w:p w14:paraId="190E399E" w14:textId="30C2986D" w:rsidR="00A73495" w:rsidRPr="009B62FB" w:rsidRDefault="00A73495" w:rsidP="009B62FB">
      <w:pPr>
        <w:tabs>
          <w:tab w:val="clear" w:pos="567"/>
        </w:tabs>
        <w:spacing w:line="240" w:lineRule="auto"/>
        <w:rPr>
          <w:szCs w:val="22"/>
        </w:rPr>
      </w:pPr>
      <w:r w:rsidRPr="009B62FB">
        <w:rPr>
          <w:szCs w:val="22"/>
        </w:rPr>
        <w:t>Lahvičky: téměř bílá/ krémově zbarvená peleta.</w:t>
      </w:r>
    </w:p>
    <w:p w14:paraId="51C52F80" w14:textId="0E4D5852" w:rsidR="00A73495" w:rsidRPr="009B62FB" w:rsidRDefault="00A73495" w:rsidP="009B62FB">
      <w:pPr>
        <w:tabs>
          <w:tab w:val="clear" w:pos="567"/>
        </w:tabs>
        <w:spacing w:line="240" w:lineRule="auto"/>
        <w:rPr>
          <w:szCs w:val="22"/>
        </w:rPr>
      </w:pPr>
      <w:r w:rsidRPr="009B62FB">
        <w:rPr>
          <w:szCs w:val="22"/>
        </w:rPr>
        <w:t>Kelímky: téměř bílý lyofilizát, převážně ve tvaru kuliček.</w:t>
      </w:r>
    </w:p>
    <w:p w14:paraId="5C89676C" w14:textId="77777777" w:rsidR="00A73495" w:rsidRPr="009B62FB" w:rsidRDefault="00A73495" w:rsidP="009B62FB">
      <w:pPr>
        <w:tabs>
          <w:tab w:val="clear" w:pos="567"/>
        </w:tabs>
        <w:spacing w:line="240" w:lineRule="auto"/>
        <w:rPr>
          <w:szCs w:val="22"/>
        </w:rPr>
      </w:pPr>
    </w:p>
    <w:p w14:paraId="14C30FEB" w14:textId="77777777" w:rsidR="00C114FF" w:rsidRPr="009B62FB" w:rsidRDefault="00C114FF" w:rsidP="009B62FB">
      <w:pPr>
        <w:tabs>
          <w:tab w:val="clear" w:pos="567"/>
        </w:tabs>
        <w:spacing w:line="240" w:lineRule="auto"/>
        <w:rPr>
          <w:szCs w:val="22"/>
        </w:rPr>
      </w:pPr>
    </w:p>
    <w:p w14:paraId="14C30FEC" w14:textId="77777777" w:rsidR="00C114FF" w:rsidRPr="009B62FB" w:rsidRDefault="006C6ABC" w:rsidP="009B62FB">
      <w:pPr>
        <w:pStyle w:val="Style1"/>
      </w:pPr>
      <w:r w:rsidRPr="009B62FB">
        <w:t>3.</w:t>
      </w:r>
      <w:r w:rsidRPr="009B62FB">
        <w:tab/>
        <w:t>KLINICKÉ INFORMACE</w:t>
      </w:r>
    </w:p>
    <w:p w14:paraId="14C30FED" w14:textId="77777777" w:rsidR="00C114FF" w:rsidRPr="009B62FB" w:rsidRDefault="00C114FF" w:rsidP="009B62FB">
      <w:pPr>
        <w:tabs>
          <w:tab w:val="clear" w:pos="567"/>
        </w:tabs>
        <w:spacing w:line="240" w:lineRule="auto"/>
        <w:rPr>
          <w:szCs w:val="22"/>
        </w:rPr>
      </w:pPr>
    </w:p>
    <w:p w14:paraId="14C30FEE" w14:textId="77777777" w:rsidR="00C114FF" w:rsidRPr="009B62FB" w:rsidRDefault="006C6ABC" w:rsidP="009B62FB">
      <w:pPr>
        <w:pStyle w:val="Style1"/>
      </w:pPr>
      <w:r w:rsidRPr="009B62FB">
        <w:t>3.1</w:t>
      </w:r>
      <w:r w:rsidRPr="009B62FB">
        <w:tab/>
        <w:t>Cílové druhy zvířat</w:t>
      </w:r>
    </w:p>
    <w:p w14:paraId="14C30FEF" w14:textId="679FA2EC" w:rsidR="00C114FF" w:rsidRPr="009B62FB" w:rsidRDefault="00C114FF" w:rsidP="009B62FB">
      <w:pPr>
        <w:tabs>
          <w:tab w:val="clear" w:pos="567"/>
        </w:tabs>
        <w:spacing w:line="240" w:lineRule="auto"/>
        <w:rPr>
          <w:szCs w:val="22"/>
        </w:rPr>
      </w:pPr>
    </w:p>
    <w:p w14:paraId="69D4C002" w14:textId="7D418CE8" w:rsidR="00605ED0" w:rsidRPr="009B62FB" w:rsidRDefault="00605ED0" w:rsidP="009B62FB">
      <w:pPr>
        <w:jc w:val="both"/>
      </w:pPr>
      <w:r w:rsidRPr="009B62FB">
        <w:t xml:space="preserve">Kur domácí. </w:t>
      </w:r>
    </w:p>
    <w:p w14:paraId="40B55962" w14:textId="0832DB60" w:rsidR="00C352F7" w:rsidRPr="009B62FB" w:rsidRDefault="00C352F7" w:rsidP="009B62FB">
      <w:pPr>
        <w:tabs>
          <w:tab w:val="clear" w:pos="567"/>
        </w:tabs>
        <w:spacing w:line="240" w:lineRule="auto"/>
        <w:rPr>
          <w:szCs w:val="22"/>
        </w:rPr>
      </w:pPr>
    </w:p>
    <w:p w14:paraId="14C30FF0" w14:textId="77777777" w:rsidR="00C114FF" w:rsidRPr="009B62FB" w:rsidRDefault="006C6ABC" w:rsidP="009B62FB">
      <w:pPr>
        <w:pStyle w:val="Style1"/>
      </w:pPr>
      <w:r w:rsidRPr="009B62FB">
        <w:t>3.2</w:t>
      </w:r>
      <w:r w:rsidRPr="009B62FB">
        <w:tab/>
        <w:t xml:space="preserve">Indikace pro použití pro každý cílový druh </w:t>
      </w:r>
      <w:r w:rsidR="0043586F" w:rsidRPr="009B62FB">
        <w:t>zvířat</w:t>
      </w:r>
    </w:p>
    <w:p w14:paraId="14C30FF1" w14:textId="77777777" w:rsidR="00C114FF" w:rsidRPr="009B62FB" w:rsidRDefault="00C114FF" w:rsidP="009B62FB">
      <w:pPr>
        <w:tabs>
          <w:tab w:val="clear" w:pos="567"/>
        </w:tabs>
        <w:spacing w:line="240" w:lineRule="auto"/>
        <w:rPr>
          <w:szCs w:val="22"/>
        </w:rPr>
      </w:pPr>
    </w:p>
    <w:p w14:paraId="4C13EB61" w14:textId="77777777" w:rsidR="00605ED0" w:rsidRPr="009B62FB" w:rsidRDefault="00605ED0" w:rsidP="009B62FB">
      <w:pPr>
        <w:tabs>
          <w:tab w:val="clear" w:pos="567"/>
        </w:tabs>
        <w:spacing w:line="240" w:lineRule="auto"/>
      </w:pPr>
      <w:r w:rsidRPr="009B62FB">
        <w:t xml:space="preserve">Aktivní imunizace zdravé drůbeže proti onemocnění vyvolaným typem Massachusetts a serologicky příbuznými typy viru infekční bronchitidy drůbeže. Vakcínu lze používat pro primovakcinaci stejně jako pro další revakcinace. </w:t>
      </w:r>
    </w:p>
    <w:p w14:paraId="284FDEF6" w14:textId="77777777" w:rsidR="003C72C6" w:rsidRPr="009B62FB" w:rsidRDefault="003C72C6" w:rsidP="009B62FB">
      <w:pPr>
        <w:tabs>
          <w:tab w:val="clear" w:pos="567"/>
        </w:tabs>
        <w:spacing w:line="240" w:lineRule="auto"/>
      </w:pPr>
    </w:p>
    <w:p w14:paraId="3339BCAF" w14:textId="0968CA46" w:rsidR="00605ED0" w:rsidRPr="009B62FB" w:rsidRDefault="00605ED0" w:rsidP="009B62FB">
      <w:pPr>
        <w:tabs>
          <w:tab w:val="clear" w:pos="567"/>
        </w:tabs>
        <w:spacing w:line="240" w:lineRule="auto"/>
      </w:pPr>
      <w:r w:rsidRPr="009B62FB">
        <w:t>Nástup imunity: 1 týden po vakcinaci</w:t>
      </w:r>
      <w:r w:rsidR="00433C8D" w:rsidRPr="009B62FB">
        <w:t>.</w:t>
      </w:r>
    </w:p>
    <w:p w14:paraId="7C4AF65F" w14:textId="77777777" w:rsidR="007027C7" w:rsidRPr="009B62FB" w:rsidRDefault="007027C7" w:rsidP="009B62FB">
      <w:pPr>
        <w:tabs>
          <w:tab w:val="clear" w:pos="567"/>
        </w:tabs>
        <w:spacing w:line="240" w:lineRule="auto"/>
      </w:pPr>
    </w:p>
    <w:p w14:paraId="49085440" w14:textId="1424A5DE" w:rsidR="00605ED0" w:rsidRPr="009B62FB" w:rsidRDefault="00605ED0" w:rsidP="009B62FB">
      <w:pPr>
        <w:tabs>
          <w:tab w:val="clear" w:pos="567"/>
        </w:tabs>
        <w:spacing w:line="240" w:lineRule="auto"/>
      </w:pPr>
      <w:r w:rsidRPr="009B62FB">
        <w:t>Trvání imunity: 6 týdnů</w:t>
      </w:r>
      <w:r w:rsidR="00433C8D" w:rsidRPr="009B62FB">
        <w:t>.</w:t>
      </w:r>
    </w:p>
    <w:p w14:paraId="14C30FF5" w14:textId="77777777" w:rsidR="00E86CEE" w:rsidRPr="009B62FB" w:rsidRDefault="00E86CEE" w:rsidP="009B62FB">
      <w:pPr>
        <w:tabs>
          <w:tab w:val="clear" w:pos="567"/>
        </w:tabs>
        <w:spacing w:line="240" w:lineRule="auto"/>
        <w:rPr>
          <w:szCs w:val="22"/>
        </w:rPr>
      </w:pPr>
    </w:p>
    <w:p w14:paraId="14C30FF6" w14:textId="77777777" w:rsidR="00C114FF" w:rsidRPr="009B62FB" w:rsidRDefault="006C6ABC" w:rsidP="009B62FB">
      <w:pPr>
        <w:pStyle w:val="Style1"/>
      </w:pPr>
      <w:r w:rsidRPr="009B62FB">
        <w:t>3.3</w:t>
      </w:r>
      <w:r w:rsidRPr="009B62FB">
        <w:tab/>
        <w:t>Kontraindikace</w:t>
      </w:r>
    </w:p>
    <w:p w14:paraId="14C30FF7" w14:textId="77777777" w:rsidR="00C114FF" w:rsidRPr="009B62FB" w:rsidRDefault="00C114FF" w:rsidP="009B62FB">
      <w:pPr>
        <w:tabs>
          <w:tab w:val="clear" w:pos="567"/>
        </w:tabs>
        <w:spacing w:line="240" w:lineRule="auto"/>
        <w:rPr>
          <w:szCs w:val="22"/>
        </w:rPr>
      </w:pPr>
    </w:p>
    <w:p w14:paraId="14C30FF8" w14:textId="04BA6DCB" w:rsidR="00C114FF" w:rsidRPr="009B62FB" w:rsidRDefault="006C6ABC" w:rsidP="009B62FB">
      <w:pPr>
        <w:tabs>
          <w:tab w:val="clear" w:pos="567"/>
        </w:tabs>
        <w:spacing w:line="240" w:lineRule="auto"/>
      </w:pPr>
      <w:r w:rsidRPr="009B62FB">
        <w:t>Nejsou.</w:t>
      </w:r>
    </w:p>
    <w:p w14:paraId="7F12C3E8" w14:textId="77777777" w:rsidR="005C6C67" w:rsidRPr="009B62FB" w:rsidRDefault="005C6C67" w:rsidP="009B62FB">
      <w:pPr>
        <w:tabs>
          <w:tab w:val="clear" w:pos="567"/>
        </w:tabs>
        <w:spacing w:line="240" w:lineRule="auto"/>
        <w:rPr>
          <w:szCs w:val="22"/>
        </w:rPr>
      </w:pPr>
    </w:p>
    <w:p w14:paraId="14C30FFC" w14:textId="77777777" w:rsidR="00C114FF" w:rsidRPr="009B62FB" w:rsidRDefault="006C6ABC" w:rsidP="009B62FB">
      <w:pPr>
        <w:pStyle w:val="Style1"/>
      </w:pPr>
      <w:r w:rsidRPr="009B62FB">
        <w:t>3.4</w:t>
      </w:r>
      <w:r w:rsidRPr="009B62FB">
        <w:tab/>
        <w:t>Zvláštní upozornění</w:t>
      </w:r>
    </w:p>
    <w:p w14:paraId="14C30FFD" w14:textId="77777777" w:rsidR="00C114FF" w:rsidRPr="009B62FB" w:rsidRDefault="00C114FF" w:rsidP="009B62FB">
      <w:pPr>
        <w:tabs>
          <w:tab w:val="clear" w:pos="567"/>
        </w:tabs>
        <w:spacing w:line="240" w:lineRule="auto"/>
        <w:rPr>
          <w:szCs w:val="22"/>
        </w:rPr>
      </w:pPr>
    </w:p>
    <w:p w14:paraId="6EE6230B" w14:textId="77777777" w:rsidR="003C72C6" w:rsidRPr="009B62FB" w:rsidRDefault="003C72C6" w:rsidP="009B62FB">
      <w:pPr>
        <w:tabs>
          <w:tab w:val="clear" w:pos="567"/>
        </w:tabs>
        <w:spacing w:line="240" w:lineRule="auto"/>
        <w:rPr>
          <w:szCs w:val="22"/>
        </w:rPr>
      </w:pPr>
      <w:r w:rsidRPr="009B62FB">
        <w:t>Vakcinovat pouze zdravá zvířata.</w:t>
      </w:r>
    </w:p>
    <w:p w14:paraId="14C30FFF" w14:textId="77777777" w:rsidR="002838C8" w:rsidRPr="009B62FB" w:rsidRDefault="002838C8" w:rsidP="009B62FB">
      <w:pPr>
        <w:tabs>
          <w:tab w:val="clear" w:pos="567"/>
        </w:tabs>
        <w:spacing w:line="240" w:lineRule="auto"/>
        <w:rPr>
          <w:szCs w:val="22"/>
        </w:rPr>
      </w:pPr>
    </w:p>
    <w:p w14:paraId="14C31002" w14:textId="77777777" w:rsidR="00C114FF" w:rsidRPr="009B62FB" w:rsidRDefault="006C6ABC" w:rsidP="009B62FB">
      <w:pPr>
        <w:pStyle w:val="Style1"/>
      </w:pPr>
      <w:r w:rsidRPr="009B62FB">
        <w:t>3.5</w:t>
      </w:r>
      <w:r w:rsidRPr="009B62FB">
        <w:tab/>
        <w:t>Zvláštní opatření pro použití</w:t>
      </w:r>
    </w:p>
    <w:p w14:paraId="14C31003" w14:textId="77777777" w:rsidR="00C114FF" w:rsidRPr="009B62FB" w:rsidRDefault="00C114FF" w:rsidP="009B62FB">
      <w:pPr>
        <w:tabs>
          <w:tab w:val="clear" w:pos="567"/>
        </w:tabs>
        <w:spacing w:line="240" w:lineRule="auto"/>
        <w:rPr>
          <w:szCs w:val="22"/>
        </w:rPr>
      </w:pPr>
    </w:p>
    <w:p w14:paraId="14C31004" w14:textId="77777777" w:rsidR="00C114FF" w:rsidRPr="009B62FB" w:rsidRDefault="006C6ABC" w:rsidP="009B62FB">
      <w:pPr>
        <w:tabs>
          <w:tab w:val="clear" w:pos="567"/>
        </w:tabs>
        <w:spacing w:line="240" w:lineRule="auto"/>
        <w:rPr>
          <w:szCs w:val="22"/>
          <w:u w:val="single"/>
        </w:rPr>
      </w:pPr>
      <w:r w:rsidRPr="009B62FB">
        <w:rPr>
          <w:szCs w:val="22"/>
          <w:u w:val="single"/>
        </w:rPr>
        <w:t>Zvláštní opatření pro bezpečné použití u cílových druhů zvířat:</w:t>
      </w:r>
    </w:p>
    <w:p w14:paraId="14C31005" w14:textId="77777777" w:rsidR="00C114FF" w:rsidRPr="009B62FB" w:rsidRDefault="00C114FF" w:rsidP="009B62FB">
      <w:pPr>
        <w:tabs>
          <w:tab w:val="clear" w:pos="567"/>
        </w:tabs>
        <w:spacing w:line="240" w:lineRule="auto"/>
        <w:rPr>
          <w:szCs w:val="22"/>
        </w:rPr>
      </w:pPr>
    </w:p>
    <w:p w14:paraId="14C31006" w14:textId="79DBFC83" w:rsidR="00C114FF" w:rsidRPr="009B62FB" w:rsidRDefault="006C6ABC" w:rsidP="009B62FB">
      <w:pPr>
        <w:tabs>
          <w:tab w:val="clear" w:pos="567"/>
        </w:tabs>
        <w:spacing w:line="240" w:lineRule="auto"/>
        <w:rPr>
          <w:szCs w:val="22"/>
        </w:rPr>
      </w:pPr>
      <w:r w:rsidRPr="009B62FB">
        <w:t>Neuplatňuje se.</w:t>
      </w:r>
    </w:p>
    <w:p w14:paraId="14C31007" w14:textId="77777777" w:rsidR="00C114FF" w:rsidRPr="009B62FB" w:rsidRDefault="00C114FF" w:rsidP="009B62FB">
      <w:pPr>
        <w:tabs>
          <w:tab w:val="clear" w:pos="567"/>
        </w:tabs>
        <w:spacing w:line="240" w:lineRule="auto"/>
        <w:rPr>
          <w:szCs w:val="22"/>
        </w:rPr>
      </w:pPr>
    </w:p>
    <w:p w14:paraId="14C31010" w14:textId="77777777" w:rsidR="00C114FF" w:rsidRPr="009B62FB" w:rsidRDefault="006C6ABC" w:rsidP="009B62FB">
      <w:pPr>
        <w:tabs>
          <w:tab w:val="clear" w:pos="567"/>
        </w:tabs>
        <w:spacing w:line="240" w:lineRule="auto"/>
        <w:rPr>
          <w:szCs w:val="22"/>
          <w:u w:val="single"/>
        </w:rPr>
      </w:pPr>
      <w:r w:rsidRPr="009B62FB">
        <w:rPr>
          <w:szCs w:val="22"/>
          <w:u w:val="single"/>
        </w:rPr>
        <w:t>Zvláštní opatření pro osobu, která podává veterinární léčivý přípravek zvířatům:</w:t>
      </w:r>
    </w:p>
    <w:p w14:paraId="14C31011" w14:textId="77777777" w:rsidR="00C114FF" w:rsidRPr="009B62FB" w:rsidRDefault="00C114FF" w:rsidP="009B62FB">
      <w:pPr>
        <w:tabs>
          <w:tab w:val="clear" w:pos="567"/>
        </w:tabs>
        <w:spacing w:line="240" w:lineRule="auto"/>
        <w:rPr>
          <w:szCs w:val="22"/>
        </w:rPr>
      </w:pPr>
    </w:p>
    <w:p w14:paraId="14C31012" w14:textId="69239151" w:rsidR="00C114FF" w:rsidRPr="009B62FB" w:rsidRDefault="006C6ABC" w:rsidP="009B62FB">
      <w:pPr>
        <w:tabs>
          <w:tab w:val="clear" w:pos="567"/>
        </w:tabs>
        <w:spacing w:line="240" w:lineRule="auto"/>
        <w:rPr>
          <w:szCs w:val="22"/>
        </w:rPr>
      </w:pPr>
      <w:r w:rsidRPr="009B62FB">
        <w:t>Neuplatňuje se.</w:t>
      </w:r>
    </w:p>
    <w:p w14:paraId="14C31013" w14:textId="148ACBC3" w:rsidR="00316E87" w:rsidRPr="009B62FB" w:rsidRDefault="00316E87" w:rsidP="009B62FB">
      <w:pPr>
        <w:tabs>
          <w:tab w:val="clear" w:pos="567"/>
        </w:tabs>
        <w:spacing w:line="240" w:lineRule="auto"/>
        <w:rPr>
          <w:szCs w:val="22"/>
        </w:rPr>
      </w:pPr>
    </w:p>
    <w:p w14:paraId="12C18DEF" w14:textId="77777777" w:rsidR="00D774A4" w:rsidRPr="009B62FB" w:rsidRDefault="00D774A4" w:rsidP="009B62FB">
      <w:pPr>
        <w:tabs>
          <w:tab w:val="clear" w:pos="567"/>
        </w:tabs>
        <w:spacing w:line="240" w:lineRule="auto"/>
        <w:rPr>
          <w:szCs w:val="22"/>
          <w:u w:val="single"/>
        </w:rPr>
      </w:pPr>
      <w:r w:rsidRPr="009B62FB">
        <w:rPr>
          <w:szCs w:val="22"/>
          <w:u w:val="single"/>
        </w:rPr>
        <w:t>Zvláštní opatření pro ochranu životního prostředí:</w:t>
      </w:r>
    </w:p>
    <w:p w14:paraId="266EB9A1" w14:textId="77777777" w:rsidR="00D774A4" w:rsidRPr="009B62FB" w:rsidRDefault="00D774A4" w:rsidP="009B62FB">
      <w:pPr>
        <w:tabs>
          <w:tab w:val="clear" w:pos="567"/>
        </w:tabs>
        <w:spacing w:line="240" w:lineRule="auto"/>
        <w:rPr>
          <w:szCs w:val="22"/>
        </w:rPr>
      </w:pPr>
    </w:p>
    <w:p w14:paraId="00D42AFC" w14:textId="77777777" w:rsidR="00D774A4" w:rsidRPr="009B62FB" w:rsidRDefault="00D774A4" w:rsidP="009B62FB">
      <w:pPr>
        <w:tabs>
          <w:tab w:val="clear" w:pos="567"/>
        </w:tabs>
        <w:spacing w:line="240" w:lineRule="auto"/>
        <w:rPr>
          <w:szCs w:val="22"/>
        </w:rPr>
      </w:pPr>
      <w:r w:rsidRPr="009B62FB">
        <w:t>Neuplatňuje se.</w:t>
      </w:r>
    </w:p>
    <w:p w14:paraId="14C3102D" w14:textId="77777777" w:rsidR="00295140" w:rsidRPr="009B62FB" w:rsidRDefault="00295140" w:rsidP="009B62FB">
      <w:pPr>
        <w:tabs>
          <w:tab w:val="clear" w:pos="567"/>
        </w:tabs>
        <w:spacing w:line="240" w:lineRule="auto"/>
        <w:rPr>
          <w:szCs w:val="22"/>
        </w:rPr>
      </w:pPr>
    </w:p>
    <w:p w14:paraId="14C31030" w14:textId="77777777" w:rsidR="00C114FF" w:rsidRPr="009B62FB" w:rsidRDefault="006C6ABC" w:rsidP="009B62FB">
      <w:pPr>
        <w:pStyle w:val="Style1"/>
      </w:pPr>
      <w:r w:rsidRPr="009B62FB">
        <w:t>3.6</w:t>
      </w:r>
      <w:r w:rsidRPr="009B62FB">
        <w:tab/>
        <w:t>Nežádoucí účinky</w:t>
      </w:r>
    </w:p>
    <w:p w14:paraId="14C31031" w14:textId="77777777" w:rsidR="00295140" w:rsidRPr="009B62FB" w:rsidRDefault="00295140" w:rsidP="009B62FB">
      <w:pPr>
        <w:tabs>
          <w:tab w:val="clear" w:pos="567"/>
        </w:tabs>
        <w:spacing w:line="240" w:lineRule="auto"/>
        <w:rPr>
          <w:szCs w:val="22"/>
        </w:rPr>
      </w:pPr>
    </w:p>
    <w:p w14:paraId="6111E592" w14:textId="77777777" w:rsidR="003C72C6" w:rsidRPr="009B62FB" w:rsidRDefault="003C72C6" w:rsidP="009B62FB">
      <w:r w:rsidRPr="009B62FB">
        <w:t>Kur domácí:</w:t>
      </w:r>
    </w:p>
    <w:p w14:paraId="6AE4161A" w14:textId="77777777" w:rsidR="003C72C6" w:rsidRPr="009B62FB" w:rsidRDefault="003C72C6" w:rsidP="009B62FB"/>
    <w:p w14:paraId="14C31033" w14:textId="06A10907" w:rsidR="00295140" w:rsidRPr="009B62FB" w:rsidRDefault="00605ED0" w:rsidP="009B62FB">
      <w:r w:rsidRPr="009B62FB">
        <w:t>Žádné.</w:t>
      </w:r>
    </w:p>
    <w:p w14:paraId="69FA0027" w14:textId="77777777" w:rsidR="00605ED0" w:rsidRPr="009B62FB" w:rsidRDefault="00605ED0" w:rsidP="009B62FB">
      <w:pPr>
        <w:rPr>
          <w:szCs w:val="22"/>
        </w:rPr>
      </w:pPr>
    </w:p>
    <w:p w14:paraId="667BEF1D" w14:textId="56F74438" w:rsidR="00F23025" w:rsidRPr="009B62FB" w:rsidRDefault="00D774A4" w:rsidP="009B62FB">
      <w:pPr>
        <w:rPr>
          <w:szCs w:val="22"/>
        </w:rPr>
      </w:pPr>
      <w:bookmarkStart w:id="0" w:name="_Hlk66891708"/>
      <w:r w:rsidRPr="009B62FB">
        <w:t xml:space="preserve">Hlášení nežádoucích účinků je důležité. Umožňuje nepřetržité sledování bezpečnosti veterinárního léčivého přípravku. Hlášení je třeba zaslat, pokud možno, prostřednictvím veterinárního lékaře, buď držiteli rozhodnutí o registraci, nebo příslušnému vnitrostátnímu orgánu prostřednictvím národního systému hlášení. </w:t>
      </w:r>
      <w:bookmarkEnd w:id="0"/>
      <w:r w:rsidR="00F23025" w:rsidRPr="009B62FB">
        <w:t>Podrobné kontaktní údaje naleznete v </w:t>
      </w:r>
      <w:r w:rsidR="000A3303" w:rsidRPr="009B62FB">
        <w:t>p</w:t>
      </w:r>
      <w:r w:rsidR="00F23025" w:rsidRPr="009B62FB">
        <w:t>říbalové informac</w:t>
      </w:r>
      <w:r w:rsidR="000A3303" w:rsidRPr="009B62FB">
        <w:t>i</w:t>
      </w:r>
      <w:r w:rsidR="00F23025" w:rsidRPr="009B62FB">
        <w:t>.</w:t>
      </w:r>
    </w:p>
    <w:p w14:paraId="269C3639" w14:textId="77777777" w:rsidR="00B160C8" w:rsidRPr="009B62FB" w:rsidRDefault="00B160C8" w:rsidP="009B62FB">
      <w:pPr>
        <w:rPr>
          <w:szCs w:val="22"/>
        </w:rPr>
      </w:pPr>
    </w:p>
    <w:p w14:paraId="14C3104B" w14:textId="77777777" w:rsidR="00C114FF" w:rsidRPr="009B62FB" w:rsidRDefault="006C6ABC" w:rsidP="009B62FB">
      <w:pPr>
        <w:pStyle w:val="Style1"/>
      </w:pPr>
      <w:r w:rsidRPr="009B62FB">
        <w:t>3.7</w:t>
      </w:r>
      <w:r w:rsidRPr="009B62FB">
        <w:tab/>
        <w:t>Použití v průběhu březosti, laktace nebo snášky</w:t>
      </w:r>
    </w:p>
    <w:p w14:paraId="14C3104C" w14:textId="77777777" w:rsidR="00C114FF" w:rsidRPr="009B62FB" w:rsidRDefault="00C114FF" w:rsidP="009B62FB">
      <w:pPr>
        <w:tabs>
          <w:tab w:val="clear" w:pos="567"/>
        </w:tabs>
        <w:spacing w:line="240" w:lineRule="auto"/>
        <w:rPr>
          <w:szCs w:val="22"/>
        </w:rPr>
      </w:pPr>
    </w:p>
    <w:p w14:paraId="14C3105C" w14:textId="5741ED73" w:rsidR="00C114FF" w:rsidRPr="009B62FB" w:rsidRDefault="006C6ABC" w:rsidP="009B62FB">
      <w:pPr>
        <w:tabs>
          <w:tab w:val="clear" w:pos="567"/>
        </w:tabs>
        <w:spacing w:line="240" w:lineRule="auto"/>
        <w:rPr>
          <w:szCs w:val="22"/>
        </w:rPr>
      </w:pPr>
      <w:r w:rsidRPr="009B62FB">
        <w:rPr>
          <w:szCs w:val="22"/>
          <w:u w:val="single"/>
        </w:rPr>
        <w:t>Nosnice</w:t>
      </w:r>
      <w:r w:rsidRPr="009B62FB">
        <w:t>:</w:t>
      </w:r>
    </w:p>
    <w:p w14:paraId="6EA2F7F7" w14:textId="77777777" w:rsidR="00605ED0" w:rsidRPr="009B62FB" w:rsidRDefault="00605ED0" w:rsidP="009B62FB">
      <w:pPr>
        <w:pStyle w:val="spc2Char"/>
        <w:ind w:left="0"/>
        <w:jc w:val="both"/>
        <w:rPr>
          <w:lang w:val="cs-CZ"/>
        </w:rPr>
      </w:pPr>
      <w:r w:rsidRPr="009B62FB">
        <w:rPr>
          <w:lang w:val="cs-CZ"/>
        </w:rPr>
        <w:t>Bylo prokázáno, že vakcinace během snášky nevyvolává u nosnic nežádoucí účinky. Přechodný pokles produkce vajec může vyvolat jakékoli rušení nosnic.</w:t>
      </w:r>
    </w:p>
    <w:p w14:paraId="14C31061" w14:textId="77777777" w:rsidR="00C114FF" w:rsidRPr="009B62FB" w:rsidRDefault="00C114FF" w:rsidP="009B62FB">
      <w:pPr>
        <w:tabs>
          <w:tab w:val="clear" w:pos="567"/>
        </w:tabs>
        <w:spacing w:line="240" w:lineRule="auto"/>
        <w:rPr>
          <w:szCs w:val="22"/>
        </w:rPr>
      </w:pPr>
    </w:p>
    <w:p w14:paraId="14C31062" w14:textId="77777777" w:rsidR="00C114FF" w:rsidRPr="009B62FB" w:rsidRDefault="006C6ABC" w:rsidP="009B62FB">
      <w:pPr>
        <w:pStyle w:val="Style1"/>
      </w:pPr>
      <w:r w:rsidRPr="009B62FB">
        <w:t>3.8</w:t>
      </w:r>
      <w:r w:rsidRPr="009B62FB">
        <w:tab/>
        <w:t>Interakce s jinými léčivými přípravky a další formy interakce</w:t>
      </w:r>
    </w:p>
    <w:p w14:paraId="238167B1" w14:textId="77777777" w:rsidR="00A8016E" w:rsidRPr="009B62FB" w:rsidRDefault="00A8016E" w:rsidP="009B62FB">
      <w:pPr>
        <w:tabs>
          <w:tab w:val="clear" w:pos="567"/>
        </w:tabs>
        <w:spacing w:line="240" w:lineRule="auto"/>
      </w:pPr>
    </w:p>
    <w:p w14:paraId="018E062C" w14:textId="2C931510" w:rsidR="006723F6" w:rsidRPr="009B62FB" w:rsidRDefault="00605ED0" w:rsidP="009B62FB">
      <w:pPr>
        <w:tabs>
          <w:tab w:val="clear" w:pos="567"/>
        </w:tabs>
        <w:spacing w:line="240" w:lineRule="auto"/>
      </w:pPr>
      <w:r w:rsidRPr="009B62FB">
        <w:t xml:space="preserve">Dostupné údaje o bezpečnosti a účinnosti dokládají, že vakcínu lze mísit a podávat s vakcínou Nobilis IB 4-91 nebo Nobilis IB Primo QX komerčním kuřatům od </w:t>
      </w:r>
      <w:r w:rsidR="006723F6" w:rsidRPr="009B62FB">
        <w:t>prvního</w:t>
      </w:r>
      <w:r w:rsidRPr="009B62FB">
        <w:t xml:space="preserve"> dne stáří sprejem nebo </w:t>
      </w:r>
      <w:r w:rsidR="00B93C16" w:rsidRPr="009B62FB">
        <w:t>nosním/očním</w:t>
      </w:r>
      <w:r w:rsidR="007027C7" w:rsidRPr="009B62FB">
        <w:t xml:space="preserve"> </w:t>
      </w:r>
      <w:r w:rsidRPr="009B62FB">
        <w:t>podáním. Nástup imunity je pro smí</w:t>
      </w:r>
      <w:r w:rsidR="007027C7" w:rsidRPr="009B62FB">
        <w:t>s</w:t>
      </w:r>
      <w:r w:rsidRPr="009B62FB">
        <w:t xml:space="preserve">ené vakcíny 3 týdny. </w:t>
      </w:r>
    </w:p>
    <w:p w14:paraId="5C6147F6" w14:textId="77777777" w:rsidR="006723F6" w:rsidRPr="009B62FB" w:rsidRDefault="006723F6" w:rsidP="009B62FB">
      <w:pPr>
        <w:tabs>
          <w:tab w:val="clear" w:pos="567"/>
        </w:tabs>
        <w:spacing w:line="240" w:lineRule="auto"/>
      </w:pPr>
    </w:p>
    <w:p w14:paraId="74974F15" w14:textId="75229486" w:rsidR="00605ED0" w:rsidRPr="009B62FB" w:rsidRDefault="00605ED0" w:rsidP="009B62FB">
      <w:pPr>
        <w:tabs>
          <w:tab w:val="clear" w:pos="567"/>
        </w:tabs>
        <w:spacing w:line="240" w:lineRule="auto"/>
      </w:pPr>
      <w:r w:rsidRPr="009B62FB">
        <w:t>Pro vakcínu smí</w:t>
      </w:r>
      <w:r w:rsidR="006723F6" w:rsidRPr="009B62FB">
        <w:t>s</w:t>
      </w:r>
      <w:r w:rsidRPr="009B62FB">
        <w:t>enou s Nobivac IB 4-91 je délka trvání imunity 6 týdnů pro deklarovanou ochranu proti sérotypu Massachusetts a variantnímu kmenu 4-91 viru infekční bronchitidy. Pro vakcínu smí</w:t>
      </w:r>
      <w:r w:rsidR="00C8748B" w:rsidRPr="009B62FB">
        <w:t>s</w:t>
      </w:r>
      <w:r w:rsidRPr="009B62FB">
        <w:t xml:space="preserve">enou s Nobilis IB Primo QX je doba trvání imunity 8 týdnů pro deklarovanou ochranu proti sérotypu Massachusetts a QX-like variantním kmenům IBV. </w:t>
      </w:r>
    </w:p>
    <w:p w14:paraId="6BC1DFF2" w14:textId="4AA8DC2E" w:rsidR="00605ED0" w:rsidRPr="009B62FB" w:rsidRDefault="00605ED0" w:rsidP="009B62FB">
      <w:pPr>
        <w:tabs>
          <w:tab w:val="clear" w:pos="567"/>
        </w:tabs>
        <w:spacing w:line="240" w:lineRule="auto"/>
      </w:pPr>
      <w:r w:rsidRPr="009B62FB">
        <w:lastRenderedPageBreak/>
        <w:t xml:space="preserve">Bezpečnostní parametry mísených vakcín se neliší od těch, které jsou popsány pro vakcíny podané samostatně. Simultánní podání dvou vakcín zvyšuje riziko rekombinace virů a potenciální nebezpečí vzniku nových variant. Avšak pravděpodobnost jejich vzniku byla odhadnuta jako velmi nízká a je minimalizována rutinní vakcinací všech kuřat v zařízení ve stejnou dobu a čistěním a dezinfekcí po každém produkčním cyklu. </w:t>
      </w:r>
    </w:p>
    <w:p w14:paraId="2398B322" w14:textId="77777777" w:rsidR="00C8748B" w:rsidRPr="009B62FB" w:rsidRDefault="00C8748B" w:rsidP="009B62FB">
      <w:pPr>
        <w:tabs>
          <w:tab w:val="clear" w:pos="567"/>
        </w:tabs>
        <w:spacing w:line="240" w:lineRule="auto"/>
      </w:pPr>
    </w:p>
    <w:p w14:paraId="07B948EB" w14:textId="6BFCFE7F" w:rsidR="00605ED0" w:rsidRPr="009B62FB" w:rsidRDefault="00605ED0" w:rsidP="009B62FB">
      <w:pPr>
        <w:tabs>
          <w:tab w:val="clear" w:pos="567"/>
        </w:tabs>
        <w:spacing w:line="240" w:lineRule="auto"/>
      </w:pPr>
      <w:r w:rsidRPr="009B62FB">
        <w:t xml:space="preserve">Dostupné údaje o bezpečnosti a účinnosti dokládají, že </w:t>
      </w:r>
      <w:r w:rsidR="002329C3" w:rsidRPr="009B62FB">
        <w:t xml:space="preserve">vakcínu </w:t>
      </w:r>
      <w:r w:rsidRPr="009B62FB">
        <w:t>Nobilis IB Ma5 (nebo Nobilis IB Ma5 smí</w:t>
      </w:r>
      <w:r w:rsidR="00E66A9B" w:rsidRPr="009B62FB">
        <w:t>s</w:t>
      </w:r>
      <w:r w:rsidRPr="009B62FB">
        <w:t>en</w:t>
      </w:r>
      <w:r w:rsidR="002329C3" w:rsidRPr="009B62FB">
        <w:t>ou</w:t>
      </w:r>
      <w:r w:rsidRPr="009B62FB">
        <w:t xml:space="preserve"> s Nobilis IB 4-91) lze podávat, ale </w:t>
      </w:r>
      <w:r w:rsidR="00104DD1" w:rsidRPr="009B62FB">
        <w:t>namísenou</w:t>
      </w:r>
      <w:r w:rsidRPr="009B62FB">
        <w:t xml:space="preserve">, kuřatům od </w:t>
      </w:r>
      <w:r w:rsidR="00C8748B" w:rsidRPr="009B62FB">
        <w:t>prvního</w:t>
      </w:r>
      <w:r w:rsidRPr="009B62FB">
        <w:t xml:space="preserve"> dne stáří</w:t>
      </w:r>
      <w:r w:rsidR="008C606F" w:rsidRPr="009B62FB">
        <w:t>,</w:t>
      </w:r>
      <w:r w:rsidRPr="009B62FB">
        <w:t xml:space="preserve"> vakcinovaným subkutánně nebo </w:t>
      </w:r>
      <w:r w:rsidRPr="009B62FB">
        <w:rPr>
          <w:i/>
        </w:rPr>
        <w:t>in ovo</w:t>
      </w:r>
      <w:r w:rsidRPr="009B62FB">
        <w:t xml:space="preserve"> vakcínou Innovax-ND-IBD.</w:t>
      </w:r>
    </w:p>
    <w:p w14:paraId="6062BF8A" w14:textId="77777777" w:rsidR="00C8748B" w:rsidRPr="009B62FB" w:rsidRDefault="00C8748B" w:rsidP="009B62FB">
      <w:pPr>
        <w:tabs>
          <w:tab w:val="clear" w:pos="567"/>
        </w:tabs>
        <w:spacing w:line="240" w:lineRule="auto"/>
      </w:pPr>
    </w:p>
    <w:p w14:paraId="53B0638D" w14:textId="1BECA42B" w:rsidR="00C8748B" w:rsidRPr="009B62FB" w:rsidRDefault="00C8748B" w:rsidP="009B62FB">
      <w:pPr>
        <w:tabs>
          <w:tab w:val="clear" w:pos="567"/>
        </w:tabs>
        <w:spacing w:line="240" w:lineRule="auto"/>
      </w:pPr>
      <w:r w:rsidRPr="009B62FB">
        <w:t xml:space="preserve">Dostupné údaje o bezpečnosti a účinnosti dokládají, že tuto vakcínu lze podávat jednodenním kuřatům, jež byla vakcinována subkutánně nebo </w:t>
      </w:r>
      <w:r w:rsidRPr="009B62FB">
        <w:rPr>
          <w:i/>
          <w:iCs/>
        </w:rPr>
        <w:t>in ovo</w:t>
      </w:r>
      <w:r w:rsidRPr="009B62FB">
        <w:t xml:space="preserve"> vakcínou Innovax-ND-ILT.</w:t>
      </w:r>
    </w:p>
    <w:p w14:paraId="1ACF2818" w14:textId="77777777" w:rsidR="00C8748B" w:rsidRPr="009B62FB" w:rsidRDefault="00C8748B" w:rsidP="009B62FB">
      <w:pPr>
        <w:tabs>
          <w:tab w:val="clear" w:pos="567"/>
        </w:tabs>
        <w:spacing w:line="240" w:lineRule="auto"/>
      </w:pPr>
    </w:p>
    <w:p w14:paraId="65921556" w14:textId="370146C1" w:rsidR="00C8748B" w:rsidRPr="009B62FB" w:rsidRDefault="00C8748B" w:rsidP="009B62FB">
      <w:pPr>
        <w:tabs>
          <w:tab w:val="clear" w:pos="567"/>
        </w:tabs>
        <w:spacing w:line="240" w:lineRule="auto"/>
      </w:pPr>
      <w:r w:rsidRPr="009B62FB">
        <w:t xml:space="preserve">Nejsou dostupné informace o bezpečnosti a účinnosti </w:t>
      </w:r>
      <w:r w:rsidR="008C606F" w:rsidRPr="009B62FB">
        <w:rPr>
          <w:szCs w:val="22"/>
        </w:rPr>
        <w:t>Nobilis IB Ma5</w:t>
      </w:r>
      <w:r w:rsidRPr="009B62FB">
        <w:t>, pokud je podávána zároveň s jiným veterinárním léčivým přípravkem, vyjma výše uvedených přípravků. Rozhodnutí o použití této vakcíny před nebo po jakémkoliv jiném veterinárním léčivém přípravku musí být provedeno na základě zvážení jednotlivých případů.</w:t>
      </w:r>
    </w:p>
    <w:p w14:paraId="4A38152A" w14:textId="77777777" w:rsidR="00C8748B" w:rsidRPr="009B62FB" w:rsidRDefault="00C8748B" w:rsidP="009B62FB">
      <w:pPr>
        <w:tabs>
          <w:tab w:val="clear" w:pos="567"/>
        </w:tabs>
        <w:spacing w:line="240" w:lineRule="auto"/>
      </w:pPr>
    </w:p>
    <w:p w14:paraId="6A2F188A" w14:textId="5746FB7A" w:rsidR="00605ED0" w:rsidRPr="009B62FB" w:rsidRDefault="00605ED0" w:rsidP="009B62FB">
      <w:pPr>
        <w:tabs>
          <w:tab w:val="clear" w:pos="567"/>
        </w:tabs>
        <w:spacing w:line="240" w:lineRule="auto"/>
      </w:pPr>
      <w:r w:rsidRPr="009B62FB">
        <w:t xml:space="preserve">Pro nemísené společné použití </w:t>
      </w:r>
      <w:r w:rsidR="0083510F" w:rsidRPr="009B62FB">
        <w:t xml:space="preserve">vakcíny </w:t>
      </w:r>
      <w:r w:rsidRPr="009B62FB">
        <w:t>Innovax-ND-IBD s</w:t>
      </w:r>
      <w:r w:rsidR="00527F41" w:rsidRPr="009B62FB">
        <w:t xml:space="preserve"> vakcínou </w:t>
      </w:r>
      <w:r w:rsidRPr="009B62FB">
        <w:t>Nobilis IB Ma5 smí</w:t>
      </w:r>
      <w:r w:rsidR="00865422" w:rsidRPr="009B62FB">
        <w:t>s</w:t>
      </w:r>
      <w:r w:rsidRPr="009B62FB">
        <w:t>en</w:t>
      </w:r>
      <w:r w:rsidR="0083510F" w:rsidRPr="009B62FB">
        <w:t>ou</w:t>
      </w:r>
      <w:r w:rsidRPr="009B62FB">
        <w:t xml:space="preserve"> s Nobilis IB 4-91 je délka trvání imunity 6 týdnů pro deklarovanou ochranu proti sérotypu Massachusetts a variantnímu kmenu IBV 4-91.</w:t>
      </w:r>
    </w:p>
    <w:p w14:paraId="2E084E3B" w14:textId="77777777" w:rsidR="00C8748B" w:rsidRPr="009B62FB" w:rsidRDefault="00C8748B" w:rsidP="009B62FB">
      <w:pPr>
        <w:tabs>
          <w:tab w:val="clear" w:pos="567"/>
        </w:tabs>
        <w:spacing w:line="240" w:lineRule="auto"/>
      </w:pPr>
    </w:p>
    <w:p w14:paraId="2BCD56AD" w14:textId="610C4036" w:rsidR="00605ED0" w:rsidRPr="009B62FB" w:rsidRDefault="00605ED0" w:rsidP="009B62FB">
      <w:pPr>
        <w:tabs>
          <w:tab w:val="clear" w:pos="567"/>
        </w:tabs>
        <w:spacing w:line="240" w:lineRule="auto"/>
      </w:pPr>
      <w:r w:rsidRPr="009B62FB">
        <w:t>Před použitím čtěte příbalovou informaci Nobilis IB 4-91, Nobilis IB Primo QX</w:t>
      </w:r>
      <w:bookmarkStart w:id="1" w:name="_Hlk101894565"/>
      <w:r w:rsidRPr="009B62FB">
        <w:t>, Innovax-ND-IBD nebo Innovax-ND-ILT.</w:t>
      </w:r>
    </w:p>
    <w:bookmarkEnd w:id="1"/>
    <w:p w14:paraId="5F54F13F" w14:textId="77777777" w:rsidR="00605ED0" w:rsidRPr="009B62FB" w:rsidRDefault="00605ED0" w:rsidP="009B62FB">
      <w:pPr>
        <w:tabs>
          <w:tab w:val="clear" w:pos="567"/>
        </w:tabs>
        <w:spacing w:line="240" w:lineRule="auto"/>
      </w:pPr>
      <w:r w:rsidRPr="009B62FB">
        <w:t xml:space="preserve">           </w:t>
      </w:r>
    </w:p>
    <w:p w14:paraId="14C31073" w14:textId="77777777" w:rsidR="00C114FF" w:rsidRPr="009B62FB" w:rsidRDefault="006C6ABC" w:rsidP="009B62FB">
      <w:pPr>
        <w:pStyle w:val="Style1"/>
      </w:pPr>
      <w:r w:rsidRPr="009B62FB">
        <w:t>3.9</w:t>
      </w:r>
      <w:r w:rsidRPr="009B62FB">
        <w:tab/>
        <w:t>Cesty podání a dávkování</w:t>
      </w:r>
    </w:p>
    <w:p w14:paraId="14C31074" w14:textId="77777777" w:rsidR="00145D34" w:rsidRPr="009B62FB" w:rsidRDefault="00145D34" w:rsidP="009B62FB">
      <w:pPr>
        <w:tabs>
          <w:tab w:val="clear" w:pos="567"/>
        </w:tabs>
        <w:spacing w:line="240" w:lineRule="auto"/>
        <w:rPr>
          <w:szCs w:val="22"/>
        </w:rPr>
      </w:pPr>
    </w:p>
    <w:p w14:paraId="209969C8" w14:textId="645D3AFD" w:rsidR="008C606F" w:rsidRPr="009B62FB" w:rsidRDefault="00605ED0" w:rsidP="009B62FB">
      <w:pPr>
        <w:jc w:val="both"/>
      </w:pPr>
      <w:r w:rsidRPr="009B62FB">
        <w:t>Aplikuje se nejméně 3,0 log</w:t>
      </w:r>
      <w:r w:rsidRPr="009B62FB">
        <w:rPr>
          <w:vertAlign w:val="subscript"/>
        </w:rPr>
        <w:t>10</w:t>
      </w:r>
      <w:r w:rsidRPr="009B62FB">
        <w:t xml:space="preserve"> EID</w:t>
      </w:r>
      <w:r w:rsidRPr="009B62FB">
        <w:rPr>
          <w:vertAlign w:val="subscript"/>
        </w:rPr>
        <w:t xml:space="preserve">50 </w:t>
      </w:r>
      <w:r w:rsidRPr="009B62FB">
        <w:t>na</w:t>
      </w:r>
      <w:r w:rsidR="00D378EB" w:rsidRPr="009B62FB">
        <w:t xml:space="preserve"> </w:t>
      </w:r>
      <w:r w:rsidR="00766C7B" w:rsidRPr="009B62FB">
        <w:t>zvíře prostřednictvím:</w:t>
      </w:r>
    </w:p>
    <w:p w14:paraId="5D193EED" w14:textId="76DDE61F" w:rsidR="008C606F" w:rsidRPr="009B62FB" w:rsidRDefault="00766C7B" w:rsidP="009B62FB">
      <w:pPr>
        <w:pStyle w:val="Odstavecseseznamem"/>
        <w:numPr>
          <w:ilvl w:val="0"/>
          <w:numId w:val="44"/>
        </w:numPr>
        <w:jc w:val="both"/>
      </w:pPr>
      <w:r w:rsidRPr="009B62FB">
        <w:t>okulonazálního podání (hrubým sprejem nebo nosní/oční podání)</w:t>
      </w:r>
      <w:r w:rsidR="00F87448" w:rsidRPr="009B62FB">
        <w:t>,</w:t>
      </w:r>
    </w:p>
    <w:p w14:paraId="36815290" w14:textId="39D21A4A" w:rsidR="008C606F" w:rsidRPr="009B62FB" w:rsidRDefault="00766C7B" w:rsidP="009B62FB">
      <w:pPr>
        <w:pStyle w:val="Odstavecseseznamem"/>
        <w:numPr>
          <w:ilvl w:val="0"/>
          <w:numId w:val="44"/>
        </w:numPr>
        <w:jc w:val="both"/>
      </w:pPr>
      <w:r w:rsidRPr="009B62FB">
        <w:t xml:space="preserve">podání </w:t>
      </w:r>
      <w:r w:rsidR="00605ED0" w:rsidRPr="009B62FB">
        <w:t>v pitné vodě</w:t>
      </w:r>
      <w:r w:rsidR="00F87448" w:rsidRPr="009B62FB">
        <w:t>.</w:t>
      </w:r>
    </w:p>
    <w:p w14:paraId="4DDAFA66" w14:textId="77777777" w:rsidR="00605ED0" w:rsidRPr="009B62FB" w:rsidRDefault="00605ED0" w:rsidP="009B62FB">
      <w:pPr>
        <w:pStyle w:val="Odstavecseseznamem"/>
        <w:ind w:left="567"/>
        <w:jc w:val="both"/>
      </w:pPr>
    </w:p>
    <w:p w14:paraId="64C4F27E" w14:textId="77777777" w:rsidR="00605ED0" w:rsidRPr="009B62FB" w:rsidRDefault="00605ED0" w:rsidP="009B62FB">
      <w:pPr>
        <w:jc w:val="both"/>
        <w:rPr>
          <w:b/>
          <w:iCs/>
        </w:rPr>
      </w:pPr>
      <w:r w:rsidRPr="009B62FB">
        <w:rPr>
          <w:b/>
          <w:iCs/>
        </w:rPr>
        <w:t xml:space="preserve">Vakcinační schéma </w:t>
      </w:r>
    </w:p>
    <w:p w14:paraId="7297CB00" w14:textId="2F8CDA56" w:rsidR="00605ED0" w:rsidRPr="009B62FB" w:rsidRDefault="00605ED0" w:rsidP="009B62FB">
      <w:pPr>
        <w:jc w:val="both"/>
      </w:pPr>
      <w:r w:rsidRPr="009B62FB">
        <w:t>Vakcínu lze bezpečně používat již od prvního dne stáří kuřat.</w:t>
      </w:r>
    </w:p>
    <w:p w14:paraId="3EB30248" w14:textId="77777777" w:rsidR="002F6651" w:rsidRPr="009B62FB" w:rsidRDefault="002F6651" w:rsidP="009B62FB">
      <w:pPr>
        <w:jc w:val="both"/>
      </w:pPr>
      <w:r w:rsidRPr="009B62FB">
        <w:t>Optimální doba a cesta podání závisí do značné míry na místní situaci. Proto je třeba vyhledat radu veterinárního lékaře.</w:t>
      </w:r>
    </w:p>
    <w:p w14:paraId="019BD6C3" w14:textId="77777777" w:rsidR="008C606F" w:rsidRPr="009B62FB" w:rsidRDefault="008C606F" w:rsidP="009B62FB">
      <w:pPr>
        <w:jc w:val="both"/>
      </w:pPr>
    </w:p>
    <w:p w14:paraId="57BAAC09" w14:textId="67900628" w:rsidR="0065234F" w:rsidRPr="009B62FB" w:rsidRDefault="0065234F" w:rsidP="009B62FB">
      <w:pPr>
        <w:jc w:val="both"/>
      </w:pPr>
      <w:r w:rsidRPr="009B62FB">
        <w:t>Brojleři</w:t>
      </w:r>
      <w:r w:rsidR="00104DD1" w:rsidRPr="009B62FB">
        <w:t xml:space="preserve">: </w:t>
      </w:r>
      <w:r w:rsidRPr="009B62FB">
        <w:t xml:space="preserve">Vakcinace jednodenních kuřat hrubým sprejem nebo </w:t>
      </w:r>
      <w:r w:rsidR="00766C7B" w:rsidRPr="009B62FB">
        <w:t>nosním</w:t>
      </w:r>
      <w:r w:rsidRPr="009B62FB">
        <w:t>/</w:t>
      </w:r>
      <w:r w:rsidR="00766C7B" w:rsidRPr="009B62FB">
        <w:t>očním podáním</w:t>
      </w:r>
      <w:r w:rsidRPr="009B62FB">
        <w:t>.</w:t>
      </w:r>
    </w:p>
    <w:p w14:paraId="7818DBDC" w14:textId="4D3D1A9B" w:rsidR="008323F7" w:rsidRPr="009B62FB" w:rsidRDefault="0065234F" w:rsidP="009B62FB">
      <w:pPr>
        <w:jc w:val="both"/>
      </w:pPr>
      <w:r w:rsidRPr="009B62FB">
        <w:t>Nosnice a chovná zvířata: Vakcinace jednodenních kuřat hrubým sprejem nebo</w:t>
      </w:r>
      <w:r w:rsidR="00766C7B" w:rsidRPr="009B62FB">
        <w:t xml:space="preserve"> nosním</w:t>
      </w:r>
      <w:r w:rsidRPr="009B62FB">
        <w:t>/</w:t>
      </w:r>
      <w:r w:rsidR="00766C7B" w:rsidRPr="009B62FB">
        <w:t>očním podáním</w:t>
      </w:r>
      <w:r w:rsidRPr="009B62FB">
        <w:t xml:space="preserve">. </w:t>
      </w:r>
    </w:p>
    <w:p w14:paraId="08EB09AC" w14:textId="29B7A6A9" w:rsidR="0065234F" w:rsidRPr="009B62FB" w:rsidRDefault="0065234F" w:rsidP="009B62FB">
      <w:pPr>
        <w:jc w:val="both"/>
      </w:pPr>
      <w:r w:rsidRPr="009B62FB">
        <w:t xml:space="preserve">Revakcinace ve věku kolem 6. týdne sprejem, </w:t>
      </w:r>
      <w:r w:rsidR="00766C7B" w:rsidRPr="009B62FB">
        <w:t>nosním</w:t>
      </w:r>
      <w:r w:rsidRPr="009B62FB">
        <w:t>/</w:t>
      </w:r>
      <w:r w:rsidR="00766C7B" w:rsidRPr="009B62FB">
        <w:t>očním podáním</w:t>
      </w:r>
      <w:r w:rsidRPr="009B62FB">
        <w:t xml:space="preserve"> nebo v pitné vodě.</w:t>
      </w:r>
    </w:p>
    <w:p w14:paraId="56B054B7" w14:textId="77777777" w:rsidR="00605ED0" w:rsidRPr="009B62FB" w:rsidRDefault="00605ED0" w:rsidP="009B62FB">
      <w:pPr>
        <w:ind w:left="567"/>
      </w:pPr>
    </w:p>
    <w:p w14:paraId="2DCC58FD" w14:textId="5D9C12CA" w:rsidR="00F87448" w:rsidRPr="009B62FB" w:rsidRDefault="00605ED0" w:rsidP="009B62FB">
      <w:pPr>
        <w:jc w:val="both"/>
        <w:rPr>
          <w:szCs w:val="22"/>
        </w:rPr>
      </w:pPr>
      <w:r w:rsidRPr="009B62FB">
        <w:rPr>
          <w:szCs w:val="22"/>
        </w:rPr>
        <w:t>Vakcína může být dodávána jako lyofilizovaná peleta v</w:t>
      </w:r>
      <w:r w:rsidR="009F17ED" w:rsidRPr="009B62FB">
        <w:rPr>
          <w:szCs w:val="22"/>
        </w:rPr>
        <w:t xml:space="preserve"> injekčních </w:t>
      </w:r>
      <w:r w:rsidRPr="009B62FB">
        <w:rPr>
          <w:szCs w:val="22"/>
        </w:rPr>
        <w:t xml:space="preserve">lahvičkách ze skla nebo jako lyofilizované kuličky v kelímcích. Pokud je vakcína dodávána v kelímcích, balení může obsahovat </w:t>
      </w:r>
      <w:r w:rsidR="007B21C2" w:rsidRPr="009B62FB">
        <w:rPr>
          <w:szCs w:val="22"/>
        </w:rPr>
        <w:br/>
        <w:t>3–100</w:t>
      </w:r>
      <w:r w:rsidRPr="009B62FB">
        <w:rPr>
          <w:szCs w:val="22"/>
        </w:rPr>
        <w:t xml:space="preserve"> kuliček v závislosti na požadovaném počtu dávek a možnostech výroby. Nepoužív</w:t>
      </w:r>
      <w:r w:rsidR="008323F7" w:rsidRPr="009B62FB">
        <w:rPr>
          <w:szCs w:val="22"/>
        </w:rPr>
        <w:t xml:space="preserve">at </w:t>
      </w:r>
      <w:r w:rsidRPr="009B62FB">
        <w:rPr>
          <w:szCs w:val="22"/>
        </w:rPr>
        <w:t>přípravek v</w:t>
      </w:r>
      <w:r w:rsidR="001C7BCC" w:rsidRPr="009B62FB">
        <w:rPr>
          <w:szCs w:val="22"/>
        </w:rPr>
        <w:t> </w:t>
      </w:r>
      <w:r w:rsidRPr="009B62FB">
        <w:rPr>
          <w:szCs w:val="22"/>
        </w:rPr>
        <w:t xml:space="preserve">kelímku, pokud je obsah nahnědlý a přilepený k obalu. Indikuje to porušení integrity obalu. Po prvním otevření ihned spotřebujte celý obsah balení. </w:t>
      </w:r>
    </w:p>
    <w:p w14:paraId="6884323D" w14:textId="0A4EA9FA" w:rsidR="00605ED0" w:rsidRPr="009B62FB" w:rsidRDefault="00E67BAF" w:rsidP="009B62FB">
      <w:pPr>
        <w:jc w:val="both"/>
        <w:rPr>
          <w:szCs w:val="22"/>
        </w:rPr>
      </w:pPr>
      <w:r w:rsidRPr="009B62FB">
        <w:rPr>
          <w:szCs w:val="22"/>
        </w:rPr>
        <w:t>Suspenze má po rekonstituci čirý vzhled.</w:t>
      </w:r>
    </w:p>
    <w:p w14:paraId="06DB851C" w14:textId="2E8E39DF" w:rsidR="00104DD1" w:rsidRPr="009B62FB" w:rsidRDefault="00104DD1" w:rsidP="009B62FB">
      <w:pPr>
        <w:jc w:val="both"/>
        <w:rPr>
          <w:szCs w:val="22"/>
        </w:rPr>
      </w:pPr>
    </w:p>
    <w:p w14:paraId="32882BD2" w14:textId="5B2A9188" w:rsidR="00605ED0" w:rsidRPr="009B62FB" w:rsidRDefault="00104DD1" w:rsidP="009B62FB">
      <w:pPr>
        <w:jc w:val="both"/>
        <w:rPr>
          <w:bCs/>
          <w:iCs/>
          <w:szCs w:val="22"/>
          <w:u w:val="single"/>
        </w:rPr>
      </w:pPr>
      <w:r w:rsidRPr="009B62FB">
        <w:rPr>
          <w:szCs w:val="22"/>
          <w:u w:val="single"/>
        </w:rPr>
        <w:t xml:space="preserve">A. </w:t>
      </w:r>
      <w:r w:rsidR="00DE5F81" w:rsidRPr="009B62FB">
        <w:rPr>
          <w:bCs/>
          <w:iCs/>
          <w:szCs w:val="22"/>
          <w:u w:val="single"/>
        </w:rPr>
        <w:t>Podání sprejem</w:t>
      </w:r>
      <w:r w:rsidR="00605ED0" w:rsidRPr="009B62FB">
        <w:rPr>
          <w:bCs/>
          <w:iCs/>
          <w:szCs w:val="22"/>
          <w:u w:val="single"/>
        </w:rPr>
        <w:t xml:space="preserve">: </w:t>
      </w:r>
    </w:p>
    <w:p w14:paraId="02BFABB7" w14:textId="3447E716" w:rsidR="00E67BAF" w:rsidRPr="009B62FB" w:rsidRDefault="00605ED0" w:rsidP="009B62FB">
      <w:pPr>
        <w:tabs>
          <w:tab w:val="left" w:pos="307"/>
          <w:tab w:val="left" w:pos="538"/>
          <w:tab w:val="left" w:pos="69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9B62FB">
        <w:rPr>
          <w:szCs w:val="22"/>
        </w:rPr>
        <w:t>Vakcína se rozpustí v chladné, čisté vodě</w:t>
      </w:r>
      <w:r w:rsidR="00B744D3" w:rsidRPr="009B62FB">
        <w:rPr>
          <w:szCs w:val="22"/>
        </w:rPr>
        <w:t xml:space="preserve"> bez příměsi chloru a železa</w:t>
      </w:r>
      <w:r w:rsidRPr="009B62FB">
        <w:rPr>
          <w:szCs w:val="22"/>
        </w:rPr>
        <w:t xml:space="preserve">. Patřičný počet </w:t>
      </w:r>
      <w:r w:rsidR="001E4C8B" w:rsidRPr="009B62FB">
        <w:rPr>
          <w:szCs w:val="22"/>
        </w:rPr>
        <w:t xml:space="preserve">injekčních </w:t>
      </w:r>
      <w:r w:rsidRPr="009B62FB">
        <w:rPr>
          <w:szCs w:val="22"/>
        </w:rPr>
        <w:t>lahviček</w:t>
      </w:r>
      <w:r w:rsidR="00B744D3" w:rsidRPr="009B62FB">
        <w:rPr>
          <w:szCs w:val="22"/>
        </w:rPr>
        <w:t>,</w:t>
      </w:r>
      <w:r w:rsidRPr="009B62FB">
        <w:rPr>
          <w:szCs w:val="22"/>
        </w:rPr>
        <w:t xml:space="preserve"> podle počtu kusů vakcinované drůbeže</w:t>
      </w:r>
      <w:r w:rsidR="00B744D3" w:rsidRPr="009B62FB">
        <w:rPr>
          <w:szCs w:val="22"/>
        </w:rPr>
        <w:t>,</w:t>
      </w:r>
      <w:r w:rsidRPr="009B62FB">
        <w:rPr>
          <w:szCs w:val="22"/>
        </w:rPr>
        <w:t xml:space="preserve"> je nutno otevírat pod vodou, nebo má být obsah kelímku(ů) nalit do vody. V obou případech před použitím vodu s vakcínou důkladně promíchejte.</w:t>
      </w:r>
      <w:r w:rsidR="00E67BAF" w:rsidRPr="009B62FB">
        <w:rPr>
          <w:szCs w:val="22"/>
        </w:rPr>
        <w:t xml:space="preserve"> </w:t>
      </w:r>
      <w:r w:rsidR="00B744D3" w:rsidRPr="009B62FB">
        <w:rPr>
          <w:szCs w:val="22"/>
        </w:rPr>
        <w:t>Sprejovací p</w:t>
      </w:r>
      <w:r w:rsidR="00E67BAF" w:rsidRPr="009B62FB">
        <w:rPr>
          <w:szCs w:val="22"/>
        </w:rPr>
        <w:t xml:space="preserve">řístroj k postřiku by měl být zbaven usazenin, koroze a stop dezinfekčních prostředků (používejte jej přednostně pouze pro účely </w:t>
      </w:r>
      <w:r w:rsidR="001E4C8B" w:rsidRPr="009B62FB">
        <w:rPr>
          <w:szCs w:val="22"/>
        </w:rPr>
        <w:t>vakcinace</w:t>
      </w:r>
      <w:r w:rsidR="00E67BAF" w:rsidRPr="009B62FB">
        <w:rPr>
          <w:szCs w:val="22"/>
        </w:rPr>
        <w:t>).</w:t>
      </w:r>
    </w:p>
    <w:p w14:paraId="2D05F314" w14:textId="7EFFA1F8" w:rsidR="00605ED0" w:rsidRPr="009B62FB" w:rsidRDefault="00605ED0" w:rsidP="009B62FB">
      <w:pPr>
        <w:tabs>
          <w:tab w:val="left" w:pos="307"/>
          <w:tab w:val="left" w:pos="538"/>
          <w:tab w:val="left" w:pos="69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9B62FB">
        <w:rPr>
          <w:szCs w:val="22"/>
        </w:rPr>
        <w:lastRenderedPageBreak/>
        <w:t xml:space="preserve"> Objem vody pro rozpuštění by měl být dostatečný pro zajištění rovnoměrné aplikace postřikem na drůbež. Vakcinační suspenze se rozstřikuje rovnoměrně nad správným počtem kusů drůbeže ze vzdálenosti </w:t>
      </w:r>
      <w:r w:rsidR="007B21C2" w:rsidRPr="009B62FB">
        <w:rPr>
          <w:szCs w:val="22"/>
        </w:rPr>
        <w:t>30–40</w:t>
      </w:r>
      <w:r w:rsidRPr="009B62FB">
        <w:rPr>
          <w:szCs w:val="22"/>
        </w:rPr>
        <w:t xml:space="preserve"> cm ve formě hrubého spreje, nejlépe, sedí-li drůbež pohromadě</w:t>
      </w:r>
      <w:r w:rsidR="00551871" w:rsidRPr="009B62FB">
        <w:rPr>
          <w:szCs w:val="22"/>
        </w:rPr>
        <w:t xml:space="preserve"> při tlumeném světle</w:t>
      </w:r>
      <w:r w:rsidRPr="009B62FB">
        <w:rPr>
          <w:szCs w:val="22"/>
        </w:rPr>
        <w:t xml:space="preserve">. </w:t>
      </w:r>
    </w:p>
    <w:p w14:paraId="584B0D4C" w14:textId="77777777" w:rsidR="00605ED0" w:rsidRPr="009B62FB" w:rsidRDefault="00605ED0" w:rsidP="009B62FB">
      <w:pPr>
        <w:ind w:left="567"/>
        <w:jc w:val="both"/>
        <w:rPr>
          <w:szCs w:val="22"/>
        </w:rPr>
      </w:pPr>
    </w:p>
    <w:p w14:paraId="5249FDF1" w14:textId="4F428DEE" w:rsidR="00605ED0" w:rsidRPr="009B62FB" w:rsidRDefault="00D00DCD" w:rsidP="009B62FB">
      <w:pPr>
        <w:tabs>
          <w:tab w:val="left" w:pos="307"/>
          <w:tab w:val="left" w:pos="538"/>
          <w:tab w:val="left" w:pos="69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Cs/>
          <w:iCs/>
          <w:szCs w:val="22"/>
          <w:u w:val="single"/>
        </w:rPr>
      </w:pPr>
      <w:r w:rsidRPr="009B62FB">
        <w:rPr>
          <w:bCs/>
          <w:iCs/>
          <w:szCs w:val="22"/>
          <w:u w:val="single"/>
        </w:rPr>
        <w:t xml:space="preserve">B. </w:t>
      </w:r>
      <w:r w:rsidR="000A0956" w:rsidRPr="009B62FB">
        <w:rPr>
          <w:bCs/>
          <w:iCs/>
          <w:szCs w:val="22"/>
          <w:u w:val="single"/>
        </w:rPr>
        <w:t>Nosní/oční podání</w:t>
      </w:r>
      <w:r w:rsidR="00605ED0" w:rsidRPr="009B62FB">
        <w:rPr>
          <w:bCs/>
          <w:iCs/>
          <w:szCs w:val="22"/>
          <w:u w:val="single"/>
        </w:rPr>
        <w:t xml:space="preserve">: </w:t>
      </w:r>
    </w:p>
    <w:p w14:paraId="7B9FDE83" w14:textId="02BA1F6C" w:rsidR="00605ED0" w:rsidRPr="009B62FB" w:rsidRDefault="00605ED0" w:rsidP="009B62FB">
      <w:pPr>
        <w:tabs>
          <w:tab w:val="left" w:pos="307"/>
          <w:tab w:val="left" w:pos="538"/>
          <w:tab w:val="left" w:pos="69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9B62FB">
        <w:rPr>
          <w:szCs w:val="22"/>
        </w:rPr>
        <w:t xml:space="preserve">Rekonstituujte vakcínu v příslušném množství (30 ml pro 1000 dávek, 75 ml pro 2 500 dávek) fyziologického roztoku nebo rozpouštědla Solvens Oculo/Nasal a aplikujte běžným kapátkem. Aplikuje se jedna kapka na jednu nostrilu nebo jedno oko. </w:t>
      </w:r>
    </w:p>
    <w:p w14:paraId="3F28513C" w14:textId="0F09549C" w:rsidR="00605ED0" w:rsidRPr="009B62FB" w:rsidRDefault="00605ED0" w:rsidP="009B62FB">
      <w:pPr>
        <w:tabs>
          <w:tab w:val="left" w:pos="307"/>
          <w:tab w:val="left" w:pos="538"/>
          <w:tab w:val="left" w:pos="69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Cs w:val="22"/>
        </w:rPr>
      </w:pPr>
      <w:r w:rsidRPr="009B62FB">
        <w:rPr>
          <w:szCs w:val="22"/>
        </w:rPr>
        <w:t>Před vypuštěním kusu je nezbytné se ujistit, že kapka aplikovaná na nostrilu byla inhalována.</w:t>
      </w:r>
    </w:p>
    <w:p w14:paraId="08C13834" w14:textId="77777777" w:rsidR="00605ED0" w:rsidRPr="009B62FB" w:rsidRDefault="00605ED0" w:rsidP="009B62FB">
      <w:pPr>
        <w:ind w:left="567"/>
        <w:jc w:val="both"/>
        <w:rPr>
          <w:szCs w:val="22"/>
        </w:rPr>
      </w:pPr>
    </w:p>
    <w:p w14:paraId="7DAC2A65" w14:textId="77777777" w:rsidR="00DE5F81" w:rsidRPr="009B62FB" w:rsidRDefault="00DE5F81" w:rsidP="009B62FB">
      <w:pPr>
        <w:jc w:val="both"/>
        <w:rPr>
          <w:szCs w:val="22"/>
          <w:u w:val="single"/>
        </w:rPr>
      </w:pPr>
      <w:r w:rsidRPr="009B62FB">
        <w:rPr>
          <w:szCs w:val="22"/>
          <w:u w:val="single"/>
        </w:rPr>
        <w:t>C. Podání v pitné vodě</w:t>
      </w:r>
    </w:p>
    <w:p w14:paraId="07D0B9E1" w14:textId="5ED37D35" w:rsidR="00555CB0" w:rsidRPr="009B62FB" w:rsidRDefault="00DE5F81" w:rsidP="009B62FB">
      <w:pPr>
        <w:jc w:val="both"/>
        <w:rPr>
          <w:szCs w:val="22"/>
        </w:rPr>
      </w:pPr>
      <w:r w:rsidRPr="009B62FB">
        <w:rPr>
          <w:szCs w:val="22"/>
        </w:rPr>
        <w:t xml:space="preserve">Patřičný počet </w:t>
      </w:r>
      <w:r w:rsidR="0096057B" w:rsidRPr="009B62FB">
        <w:rPr>
          <w:szCs w:val="22"/>
        </w:rPr>
        <w:t xml:space="preserve">injekčních </w:t>
      </w:r>
      <w:r w:rsidRPr="009B62FB">
        <w:rPr>
          <w:szCs w:val="22"/>
        </w:rPr>
        <w:t>lahviček</w:t>
      </w:r>
      <w:r w:rsidR="00555CB0" w:rsidRPr="009B62FB">
        <w:rPr>
          <w:szCs w:val="22"/>
        </w:rPr>
        <w:t>,</w:t>
      </w:r>
      <w:r w:rsidRPr="009B62FB">
        <w:rPr>
          <w:szCs w:val="22"/>
        </w:rPr>
        <w:t xml:space="preserve"> podle počtu kusů vakcinované drůbeže</w:t>
      </w:r>
      <w:r w:rsidR="00555CB0" w:rsidRPr="009B62FB">
        <w:rPr>
          <w:szCs w:val="22"/>
        </w:rPr>
        <w:t>,</w:t>
      </w:r>
      <w:r w:rsidRPr="009B62FB">
        <w:rPr>
          <w:szCs w:val="22"/>
        </w:rPr>
        <w:t xml:space="preserve"> je nutno otevírat pod vodou, nebo má být obsah kelímku(ů) nal</w:t>
      </w:r>
      <w:r w:rsidR="00CD2CD1" w:rsidRPr="009B62FB">
        <w:rPr>
          <w:szCs w:val="22"/>
        </w:rPr>
        <w:t>í</w:t>
      </w:r>
      <w:r w:rsidRPr="009B62FB">
        <w:rPr>
          <w:szCs w:val="22"/>
        </w:rPr>
        <w:t>t do vody. V obou případech</w:t>
      </w:r>
      <w:r w:rsidR="00555CB0" w:rsidRPr="009B62FB">
        <w:rPr>
          <w:szCs w:val="22"/>
        </w:rPr>
        <w:t>,</w:t>
      </w:r>
      <w:r w:rsidRPr="009B62FB">
        <w:rPr>
          <w:szCs w:val="22"/>
        </w:rPr>
        <w:t xml:space="preserve"> před použitím vodu s vakcínou důkladně promíchejte. </w:t>
      </w:r>
      <w:r w:rsidR="00555CB0" w:rsidRPr="009B62FB">
        <w:rPr>
          <w:szCs w:val="22"/>
        </w:rPr>
        <w:t xml:space="preserve">Zajistěte příjem veškeré vody </w:t>
      </w:r>
      <w:r w:rsidR="00F11AC7" w:rsidRPr="009B62FB">
        <w:rPr>
          <w:szCs w:val="22"/>
        </w:rPr>
        <w:t>s</w:t>
      </w:r>
      <w:r w:rsidR="00555CB0" w:rsidRPr="009B62FB">
        <w:rPr>
          <w:szCs w:val="22"/>
        </w:rPr>
        <w:t xml:space="preserve"> vakcínou do 2 hodin. V závislosti na povětrnostních podmínkách může být vhodné odejmout drůbeži před vakcinací vodu.</w:t>
      </w:r>
    </w:p>
    <w:p w14:paraId="50E3536F" w14:textId="55649992" w:rsidR="00DE5F81" w:rsidRPr="009B62FB" w:rsidRDefault="00DE5F81" w:rsidP="009B62FB">
      <w:pPr>
        <w:jc w:val="both"/>
        <w:rPr>
          <w:szCs w:val="22"/>
        </w:rPr>
      </w:pPr>
      <w:r w:rsidRPr="009B62FB">
        <w:rPr>
          <w:szCs w:val="22"/>
        </w:rPr>
        <w:t xml:space="preserve">Množství použité vody závisí na počtu a na věku vakcinované drůbeže a použitém vybavení. </w:t>
      </w:r>
    </w:p>
    <w:p w14:paraId="3C04B526" w14:textId="42A68060" w:rsidR="00DE5F81" w:rsidRPr="009B62FB" w:rsidRDefault="00DE5F81" w:rsidP="009B62FB">
      <w:pPr>
        <w:jc w:val="both"/>
        <w:rPr>
          <w:szCs w:val="22"/>
        </w:rPr>
      </w:pPr>
      <w:r w:rsidRPr="009B62FB">
        <w:rPr>
          <w:szCs w:val="22"/>
        </w:rPr>
        <w:t xml:space="preserve">Použité nádoby musí být čisté a prosté stop dezinfekčních činidel a detergentů. </w:t>
      </w:r>
    </w:p>
    <w:p w14:paraId="58FF2E18" w14:textId="31ABFD9C" w:rsidR="00A53CB9" w:rsidRPr="009B62FB" w:rsidRDefault="00DE5F81" w:rsidP="009B62FB">
      <w:pPr>
        <w:jc w:val="both"/>
        <w:rPr>
          <w:szCs w:val="22"/>
        </w:rPr>
      </w:pPr>
      <w:r w:rsidRPr="009B62FB">
        <w:rPr>
          <w:szCs w:val="22"/>
        </w:rPr>
        <w:t xml:space="preserve">Použijte chladnou, čistou vodu bez příměsi chloru nebo kovů. Je známo, že příměs chloru v množství 1 ppm má nepříznivý vliv na stabilitu vakcíny. </w:t>
      </w:r>
      <w:r w:rsidR="00A53CB9" w:rsidRPr="009B62FB">
        <w:rPr>
          <w:szCs w:val="22"/>
        </w:rPr>
        <w:t>Rozpusťte 1000 dávek v tolika litrech vody, jaké je celkové stáří kuřat ve dnech, maximálně do 40 litrů.</w:t>
      </w:r>
    </w:p>
    <w:p w14:paraId="1BA634E5" w14:textId="6ED52C0F" w:rsidR="00DE5F81" w:rsidRPr="009B62FB" w:rsidRDefault="00DE5F81" w:rsidP="009B62FB">
      <w:pPr>
        <w:jc w:val="both"/>
        <w:rPr>
          <w:szCs w:val="22"/>
        </w:rPr>
      </w:pPr>
      <w:r w:rsidRPr="009B62FB">
        <w:rPr>
          <w:szCs w:val="22"/>
        </w:rPr>
        <w:t>Pro prodloužení životnosti viru se doporučuje přidat k vodě tekuté odstředěné mléko v množství 500 ml na 10 litrů vody. Po důkladném promíchání roztok nechat stát 15</w:t>
      </w:r>
      <w:r w:rsidR="00A53CB9" w:rsidRPr="009B62FB">
        <w:rPr>
          <w:szCs w:val="22"/>
        </w:rPr>
        <w:t xml:space="preserve"> – </w:t>
      </w:r>
      <w:r w:rsidRPr="009B62FB">
        <w:rPr>
          <w:szCs w:val="22"/>
        </w:rPr>
        <w:t>30</w:t>
      </w:r>
      <w:r w:rsidR="00A53CB9" w:rsidRPr="009B62FB">
        <w:rPr>
          <w:szCs w:val="22"/>
        </w:rPr>
        <w:t xml:space="preserve"> </w:t>
      </w:r>
      <w:r w:rsidRPr="009B62FB">
        <w:rPr>
          <w:szCs w:val="22"/>
        </w:rPr>
        <w:t>minut a poté přidat vakcínu. Použijte pouze odstředěné mléko, protože tuk v plnotučném mléku může způsobit ucpání napájecích systémů a snížení účinnosti vakcíny.</w:t>
      </w:r>
    </w:p>
    <w:p w14:paraId="5247F09C" w14:textId="77777777" w:rsidR="00DE5F81" w:rsidRPr="009B62FB" w:rsidRDefault="00DE5F81" w:rsidP="009B62FB">
      <w:pPr>
        <w:ind w:left="567"/>
        <w:jc w:val="both"/>
        <w:rPr>
          <w:szCs w:val="22"/>
        </w:rPr>
      </w:pPr>
    </w:p>
    <w:p w14:paraId="65213C63" w14:textId="474BCD1C" w:rsidR="00CD2CD1" w:rsidRPr="009B62FB" w:rsidRDefault="00CD2CD1" w:rsidP="009B62FB">
      <w:pPr>
        <w:jc w:val="both"/>
        <w:rPr>
          <w:szCs w:val="22"/>
        </w:rPr>
      </w:pPr>
      <w:r w:rsidRPr="009B62FB">
        <w:rPr>
          <w:szCs w:val="22"/>
          <w:u w:val="single"/>
        </w:rPr>
        <w:t>Poznámka:</w:t>
      </w:r>
      <w:r w:rsidRPr="009B62FB">
        <w:rPr>
          <w:szCs w:val="22"/>
        </w:rPr>
        <w:t xml:space="preserve"> Nejlepší odpověď poskytuje aplikace hrubým sprejem nebo </w:t>
      </w:r>
      <w:r w:rsidR="00F11AC7" w:rsidRPr="009B62FB">
        <w:rPr>
          <w:szCs w:val="22"/>
        </w:rPr>
        <w:t>nosním</w:t>
      </w:r>
      <w:r w:rsidRPr="009B62FB">
        <w:rPr>
          <w:szCs w:val="22"/>
        </w:rPr>
        <w:t>/</w:t>
      </w:r>
      <w:r w:rsidR="00F11AC7" w:rsidRPr="009B62FB">
        <w:rPr>
          <w:szCs w:val="22"/>
        </w:rPr>
        <w:t>očním podáním</w:t>
      </w:r>
      <w:r w:rsidRPr="009B62FB">
        <w:rPr>
          <w:szCs w:val="22"/>
        </w:rPr>
        <w:t>. To by měly být metody volby, zejména při vakcinaci mladých ptáků.</w:t>
      </w:r>
    </w:p>
    <w:p w14:paraId="0F758B2C" w14:textId="77777777" w:rsidR="00DE5F81" w:rsidRPr="009B62FB" w:rsidRDefault="00DE5F81" w:rsidP="009B62FB">
      <w:pPr>
        <w:ind w:left="567"/>
        <w:jc w:val="both"/>
        <w:rPr>
          <w:szCs w:val="22"/>
        </w:rPr>
      </w:pPr>
    </w:p>
    <w:p w14:paraId="2A7EEBAA" w14:textId="77777777" w:rsidR="00CD2CD1" w:rsidRPr="009B62FB" w:rsidRDefault="00CD2CD1" w:rsidP="009B62FB">
      <w:pPr>
        <w:jc w:val="both"/>
        <w:rPr>
          <w:i/>
          <w:szCs w:val="22"/>
        </w:rPr>
      </w:pPr>
      <w:r w:rsidRPr="009B62FB">
        <w:rPr>
          <w:szCs w:val="22"/>
        </w:rPr>
        <w:t>Před vakcinací by se měl zastavit přívod vody, aby drůbež měla žízeň. Přerušení přístupu k vodě by mělo být co nejkratší, nejméně však půl hodiny. Při vakcinaci má být dostupné krmivo. Vakcína se podává brzy zrána, protože toto je hlavní čas příjmu vody. Zajistěte, aby všechna vakcinační suspenze byla vypita během 1 - 2 hodin.</w:t>
      </w:r>
    </w:p>
    <w:p w14:paraId="59BCDECE" w14:textId="77777777" w:rsidR="00CD2CD1" w:rsidRPr="009B62FB" w:rsidRDefault="00CD2CD1" w:rsidP="009B62FB">
      <w:pPr>
        <w:ind w:left="567"/>
        <w:jc w:val="both"/>
        <w:rPr>
          <w:szCs w:val="22"/>
        </w:rPr>
      </w:pPr>
    </w:p>
    <w:p w14:paraId="7795C85A" w14:textId="39904EDF" w:rsidR="00605ED0" w:rsidRPr="009B62FB" w:rsidRDefault="00605ED0" w:rsidP="009B62FB">
      <w:pPr>
        <w:jc w:val="both"/>
        <w:rPr>
          <w:bCs/>
          <w:iCs/>
          <w:szCs w:val="22"/>
          <w:u w:val="single"/>
        </w:rPr>
      </w:pPr>
      <w:r w:rsidRPr="009B62FB">
        <w:rPr>
          <w:bCs/>
          <w:iCs/>
          <w:szCs w:val="22"/>
          <w:u w:val="single"/>
        </w:rPr>
        <w:t>Pokyny při podávání léčivého přípravku s Nobilis IB 4-91 nebo Nobilis IB Primo QX:</w:t>
      </w:r>
    </w:p>
    <w:p w14:paraId="6052F60B" w14:textId="77777777" w:rsidR="00321502" w:rsidRPr="009B62FB" w:rsidRDefault="00321502" w:rsidP="009B62FB">
      <w:pPr>
        <w:contextualSpacing/>
        <w:jc w:val="both"/>
        <w:rPr>
          <w:szCs w:val="22"/>
        </w:rPr>
      </w:pPr>
    </w:p>
    <w:p w14:paraId="6C3CADC1" w14:textId="2512E11E" w:rsidR="00CD2CD1" w:rsidRPr="009B62FB" w:rsidRDefault="00605ED0" w:rsidP="009B62FB">
      <w:pPr>
        <w:contextualSpacing/>
        <w:jc w:val="both"/>
        <w:rPr>
          <w:szCs w:val="22"/>
        </w:rPr>
      </w:pPr>
      <w:r w:rsidRPr="009B62FB">
        <w:rPr>
          <w:szCs w:val="22"/>
        </w:rPr>
        <w:t xml:space="preserve">Následujte instrukce o rekonstituci obou lyofilizátů a následné aplikaci podle pokynů popsaných výše pro sprejovou metodu a okulonazální aplikaci. Použijte stejná množství jako při použití jedné vakcíny. </w:t>
      </w:r>
    </w:p>
    <w:p w14:paraId="57D4E418" w14:textId="77777777" w:rsidR="00CD2CD1" w:rsidRPr="009B62FB" w:rsidRDefault="00CD2CD1" w:rsidP="009B62FB">
      <w:pPr>
        <w:contextualSpacing/>
        <w:jc w:val="both"/>
        <w:rPr>
          <w:szCs w:val="22"/>
        </w:rPr>
      </w:pPr>
    </w:p>
    <w:p w14:paraId="4F03AF56" w14:textId="4208895B" w:rsidR="00CD2CD1" w:rsidRPr="009B62FB" w:rsidRDefault="00605ED0" w:rsidP="009B62FB">
      <w:pPr>
        <w:contextualSpacing/>
        <w:jc w:val="both"/>
        <w:rPr>
          <w:szCs w:val="22"/>
        </w:rPr>
      </w:pPr>
      <w:r w:rsidRPr="009B62FB">
        <w:rPr>
          <w:szCs w:val="22"/>
        </w:rPr>
        <w:t xml:space="preserve">Pro </w:t>
      </w:r>
      <w:r w:rsidR="00F11AC7" w:rsidRPr="009B62FB">
        <w:rPr>
          <w:szCs w:val="22"/>
        </w:rPr>
        <w:t>nosní/oční podání</w:t>
      </w:r>
      <w:r w:rsidRPr="009B62FB">
        <w:rPr>
          <w:szCs w:val="22"/>
        </w:rPr>
        <w:t xml:space="preserve"> vakcíny </w:t>
      </w:r>
      <w:r w:rsidR="00CD2CD1" w:rsidRPr="009B62FB">
        <w:rPr>
          <w:szCs w:val="22"/>
        </w:rPr>
        <w:t xml:space="preserve">smísené </w:t>
      </w:r>
      <w:r w:rsidRPr="009B62FB">
        <w:rPr>
          <w:szCs w:val="22"/>
        </w:rPr>
        <w:t>s</w:t>
      </w:r>
      <w:r w:rsidR="00CD2CD1" w:rsidRPr="009B62FB">
        <w:rPr>
          <w:szCs w:val="22"/>
        </w:rPr>
        <w:t> </w:t>
      </w:r>
      <w:r w:rsidRPr="009B62FB">
        <w:rPr>
          <w:szCs w:val="22"/>
        </w:rPr>
        <w:t xml:space="preserve">vakcínou Nobilis IB Primo QX použijte rozpouštědlo Solvens Oculo/Nasal (pouze 1000 dávek). Před použitím čtěte příbalovou informaci pro Nobilis IB Primo QX. </w:t>
      </w:r>
    </w:p>
    <w:p w14:paraId="005AE6A4" w14:textId="77777777" w:rsidR="00CD2CD1" w:rsidRPr="009B62FB" w:rsidRDefault="00CD2CD1" w:rsidP="009B62FB">
      <w:pPr>
        <w:contextualSpacing/>
        <w:jc w:val="both"/>
        <w:rPr>
          <w:szCs w:val="22"/>
        </w:rPr>
      </w:pPr>
    </w:p>
    <w:p w14:paraId="48341E01" w14:textId="6F7E734E" w:rsidR="00605ED0" w:rsidRPr="009B62FB" w:rsidRDefault="00CD2CD1" w:rsidP="009B62FB">
      <w:pPr>
        <w:contextualSpacing/>
        <w:jc w:val="both"/>
        <w:rPr>
          <w:szCs w:val="22"/>
        </w:rPr>
      </w:pPr>
      <w:r w:rsidRPr="009B62FB">
        <w:rPr>
          <w:szCs w:val="22"/>
        </w:rPr>
        <w:t xml:space="preserve">Doba </w:t>
      </w:r>
      <w:r w:rsidR="00605ED0" w:rsidRPr="009B62FB">
        <w:rPr>
          <w:szCs w:val="22"/>
        </w:rPr>
        <w:t>použitelnosti po smíchání: 2 hodiny.</w:t>
      </w:r>
    </w:p>
    <w:p w14:paraId="126FE934" w14:textId="77777777" w:rsidR="00605ED0" w:rsidRPr="009B62FB" w:rsidRDefault="00605ED0" w:rsidP="009B62FB">
      <w:pPr>
        <w:pStyle w:val="Zkladntext"/>
        <w:rPr>
          <w:szCs w:val="22"/>
        </w:rPr>
      </w:pPr>
    </w:p>
    <w:p w14:paraId="14C3107F" w14:textId="77777777" w:rsidR="00C114FF" w:rsidRPr="009B62FB" w:rsidRDefault="006C6ABC" w:rsidP="009B62FB">
      <w:pPr>
        <w:pStyle w:val="Style1"/>
      </w:pPr>
      <w:r w:rsidRPr="009B62FB">
        <w:t>3.10</w:t>
      </w:r>
      <w:r w:rsidRPr="009B62FB">
        <w:tab/>
        <w:t xml:space="preserve">Příznaky předávkování </w:t>
      </w:r>
      <w:r w:rsidR="00EC5045" w:rsidRPr="009B62FB">
        <w:t>(</w:t>
      </w:r>
      <w:r w:rsidRPr="009B62FB">
        <w:t xml:space="preserve">a </w:t>
      </w:r>
      <w:r w:rsidR="00202A85" w:rsidRPr="009B62FB">
        <w:t>kde</w:t>
      </w:r>
      <w:r w:rsidR="005E66FC" w:rsidRPr="009B62FB">
        <w:t xml:space="preserve"> </w:t>
      </w:r>
      <w:r w:rsidR="00202A85" w:rsidRPr="009B62FB">
        <w:t>je</w:t>
      </w:r>
      <w:r w:rsidR="005E66FC" w:rsidRPr="009B62FB">
        <w:t xml:space="preserve"> </w:t>
      </w:r>
      <w:r w:rsidR="00FB6F2F" w:rsidRPr="009B62FB">
        <w:t>relevantní</w:t>
      </w:r>
      <w:r w:rsidR="00202A85" w:rsidRPr="009B62FB">
        <w:t>, první pomoc</w:t>
      </w:r>
      <w:r w:rsidRPr="009B62FB">
        <w:t xml:space="preserve"> a antidota</w:t>
      </w:r>
      <w:r w:rsidR="00202A85" w:rsidRPr="009B62FB">
        <w:t>)</w:t>
      </w:r>
      <w:r w:rsidRPr="009B62FB">
        <w:t xml:space="preserve"> </w:t>
      </w:r>
    </w:p>
    <w:p w14:paraId="14C31080" w14:textId="454E0202" w:rsidR="00C114FF" w:rsidRPr="009B62FB" w:rsidRDefault="00C114FF" w:rsidP="009B62FB">
      <w:pPr>
        <w:tabs>
          <w:tab w:val="clear" w:pos="567"/>
        </w:tabs>
        <w:spacing w:line="240" w:lineRule="auto"/>
        <w:rPr>
          <w:szCs w:val="22"/>
        </w:rPr>
      </w:pPr>
    </w:p>
    <w:p w14:paraId="61A5F397" w14:textId="77777777" w:rsidR="00605ED0" w:rsidRPr="009B62FB" w:rsidRDefault="00605ED0" w:rsidP="009B62FB">
      <w:pPr>
        <w:tabs>
          <w:tab w:val="clear" w:pos="567"/>
        </w:tabs>
        <w:spacing w:line="240" w:lineRule="auto"/>
        <w:rPr>
          <w:szCs w:val="22"/>
        </w:rPr>
      </w:pPr>
      <w:r w:rsidRPr="009B62FB">
        <w:rPr>
          <w:szCs w:val="22"/>
        </w:rPr>
        <w:t>Bez zvláštních příznaků po aplikaci desetinásobné dávky.</w:t>
      </w:r>
    </w:p>
    <w:p w14:paraId="16D9DA08" w14:textId="77777777" w:rsidR="00373828" w:rsidRPr="009B62FB" w:rsidRDefault="00373828" w:rsidP="009B62FB">
      <w:pPr>
        <w:tabs>
          <w:tab w:val="clear" w:pos="567"/>
        </w:tabs>
        <w:spacing w:line="240" w:lineRule="auto"/>
        <w:rPr>
          <w:szCs w:val="22"/>
        </w:rPr>
      </w:pPr>
    </w:p>
    <w:p w14:paraId="14C31081" w14:textId="77777777" w:rsidR="009A6509" w:rsidRPr="009B62FB" w:rsidRDefault="006C6ABC" w:rsidP="009B62FB">
      <w:pPr>
        <w:pStyle w:val="Style1"/>
      </w:pPr>
      <w:r w:rsidRPr="009B62FB">
        <w:t>3.11</w:t>
      </w:r>
      <w:r w:rsidRPr="009B62FB">
        <w:tab/>
        <w:t>Zvláštní omezení pro použití a zvláštní podmínky pro použití, včetně omezení používání antimikrob</w:t>
      </w:r>
      <w:r w:rsidR="00202A85" w:rsidRPr="009B62FB">
        <w:t>ních</w:t>
      </w:r>
      <w:r w:rsidRPr="009B62FB">
        <w:t xml:space="preserve"> a antiparazitárních veterinárních léčivých přípravků, za účelem snížení rizika rozvoje rezistence</w:t>
      </w:r>
    </w:p>
    <w:p w14:paraId="14C31082" w14:textId="77777777" w:rsidR="009A6509" w:rsidRPr="009B62FB" w:rsidRDefault="009A6509" w:rsidP="009B62FB">
      <w:pPr>
        <w:tabs>
          <w:tab w:val="clear" w:pos="567"/>
        </w:tabs>
        <w:spacing w:line="240" w:lineRule="auto"/>
        <w:rPr>
          <w:szCs w:val="22"/>
        </w:rPr>
      </w:pPr>
    </w:p>
    <w:p w14:paraId="14C3108B" w14:textId="0911CD01" w:rsidR="009A6509" w:rsidRPr="009B62FB" w:rsidRDefault="006C6ABC" w:rsidP="009B62FB">
      <w:pPr>
        <w:tabs>
          <w:tab w:val="clear" w:pos="567"/>
        </w:tabs>
        <w:spacing w:line="240" w:lineRule="auto"/>
        <w:rPr>
          <w:szCs w:val="22"/>
        </w:rPr>
      </w:pPr>
      <w:r w:rsidRPr="009B62FB">
        <w:t>Neuplatňuje se.</w:t>
      </w:r>
    </w:p>
    <w:p w14:paraId="14C3108C" w14:textId="77777777" w:rsidR="009A6509" w:rsidRPr="009B62FB" w:rsidRDefault="009A6509" w:rsidP="009B62FB">
      <w:pPr>
        <w:tabs>
          <w:tab w:val="clear" w:pos="567"/>
        </w:tabs>
        <w:spacing w:line="240" w:lineRule="auto"/>
        <w:rPr>
          <w:szCs w:val="22"/>
        </w:rPr>
      </w:pPr>
    </w:p>
    <w:p w14:paraId="14C3108D" w14:textId="77777777" w:rsidR="00C114FF" w:rsidRPr="009B62FB" w:rsidRDefault="006C6ABC" w:rsidP="009B62FB">
      <w:pPr>
        <w:pStyle w:val="Style1"/>
      </w:pPr>
      <w:r w:rsidRPr="009B62FB">
        <w:t>3.12</w:t>
      </w:r>
      <w:r w:rsidRPr="009B62FB">
        <w:tab/>
        <w:t>Ochranné lhůty</w:t>
      </w:r>
    </w:p>
    <w:p w14:paraId="14C3108E" w14:textId="77777777" w:rsidR="00C114FF" w:rsidRPr="009B62FB" w:rsidRDefault="00C114FF" w:rsidP="009B62FB">
      <w:pPr>
        <w:tabs>
          <w:tab w:val="clear" w:pos="567"/>
        </w:tabs>
        <w:spacing w:line="240" w:lineRule="auto"/>
        <w:rPr>
          <w:szCs w:val="22"/>
        </w:rPr>
      </w:pPr>
    </w:p>
    <w:p w14:paraId="14C31090" w14:textId="2AA3896C" w:rsidR="00C114FF" w:rsidRPr="009B62FB" w:rsidRDefault="006C6ABC" w:rsidP="009B62FB">
      <w:pPr>
        <w:tabs>
          <w:tab w:val="clear" w:pos="567"/>
        </w:tabs>
        <w:spacing w:line="240" w:lineRule="auto"/>
        <w:rPr>
          <w:szCs w:val="22"/>
        </w:rPr>
      </w:pPr>
      <w:r w:rsidRPr="009B62FB">
        <w:t>Bez ochranných lhůt.</w:t>
      </w:r>
    </w:p>
    <w:p w14:paraId="14C3109A" w14:textId="76C6ADDF" w:rsidR="00FC02F3" w:rsidRPr="009B62FB" w:rsidRDefault="00FC02F3" w:rsidP="009B62FB">
      <w:pPr>
        <w:tabs>
          <w:tab w:val="clear" w:pos="567"/>
        </w:tabs>
        <w:spacing w:line="240" w:lineRule="auto"/>
        <w:rPr>
          <w:szCs w:val="22"/>
        </w:rPr>
      </w:pPr>
    </w:p>
    <w:p w14:paraId="3F093FBD" w14:textId="77777777" w:rsidR="00605ED0" w:rsidRPr="009B62FB" w:rsidRDefault="00605ED0" w:rsidP="009B62FB">
      <w:pPr>
        <w:tabs>
          <w:tab w:val="clear" w:pos="567"/>
        </w:tabs>
        <w:spacing w:line="240" w:lineRule="auto"/>
        <w:rPr>
          <w:szCs w:val="22"/>
        </w:rPr>
      </w:pPr>
    </w:p>
    <w:p w14:paraId="14C3109B" w14:textId="0FF1E265" w:rsidR="00C114FF" w:rsidRPr="009B62FB" w:rsidRDefault="006C6ABC" w:rsidP="009B62FB">
      <w:pPr>
        <w:pStyle w:val="Style1"/>
      </w:pPr>
      <w:r w:rsidRPr="009B62FB">
        <w:t>4.</w:t>
      </w:r>
      <w:r w:rsidRPr="009B62FB">
        <w:tab/>
        <w:t>IMUNOLOGICKÉ</w:t>
      </w:r>
      <w:r w:rsidR="00D44A37" w:rsidRPr="009B62FB">
        <w:t xml:space="preserve"> </w:t>
      </w:r>
      <w:r w:rsidRPr="009B62FB">
        <w:t>INFORMACE</w:t>
      </w:r>
    </w:p>
    <w:p w14:paraId="14C3109C" w14:textId="77777777" w:rsidR="00C114FF" w:rsidRPr="009B62FB" w:rsidRDefault="00C114FF" w:rsidP="009B62FB">
      <w:pPr>
        <w:tabs>
          <w:tab w:val="clear" w:pos="567"/>
        </w:tabs>
        <w:spacing w:line="240" w:lineRule="auto"/>
        <w:rPr>
          <w:szCs w:val="22"/>
        </w:rPr>
      </w:pPr>
    </w:p>
    <w:p w14:paraId="537AA4EF" w14:textId="24557D7A" w:rsidR="003859CC" w:rsidRPr="009B62FB" w:rsidRDefault="006C6ABC" w:rsidP="009B62FB">
      <w:pPr>
        <w:pStyle w:val="Style1"/>
        <w:rPr>
          <w:b w:val="0"/>
          <w:bCs/>
        </w:rPr>
      </w:pPr>
      <w:r w:rsidRPr="009B62FB">
        <w:t>4.1</w:t>
      </w:r>
      <w:r w:rsidRPr="009B62FB">
        <w:tab/>
        <w:t>ATCvet kód:</w:t>
      </w:r>
      <w:r w:rsidR="003859CC" w:rsidRPr="009B62FB">
        <w:t xml:space="preserve"> </w:t>
      </w:r>
      <w:r w:rsidR="00605ED0" w:rsidRPr="009B62FB">
        <w:rPr>
          <w:b w:val="0"/>
          <w:bCs/>
        </w:rPr>
        <w:t>QI01AD07</w:t>
      </w:r>
    </w:p>
    <w:p w14:paraId="14C3109D" w14:textId="2316469C" w:rsidR="005B04A8" w:rsidRPr="009B62FB" w:rsidRDefault="005B04A8" w:rsidP="009B62FB">
      <w:pPr>
        <w:pStyle w:val="Style1"/>
      </w:pPr>
    </w:p>
    <w:p w14:paraId="4700500C" w14:textId="77777777" w:rsidR="00605ED0" w:rsidRPr="009B62FB" w:rsidRDefault="00605ED0" w:rsidP="009B62FB">
      <w:pPr>
        <w:jc w:val="both"/>
        <w:rPr>
          <w:szCs w:val="22"/>
        </w:rPr>
      </w:pPr>
      <w:r w:rsidRPr="009B62FB">
        <w:rPr>
          <w:szCs w:val="22"/>
        </w:rPr>
        <w:t xml:space="preserve">Živá lyofilizovaná vakcína k aktivní imunizaci drůbeže proti infekční bronchitidě drůbeže obsahující kmen Ma5 typu Massachusetts, pomnožený na kuřecích embryích. Tento antigen navodí u cílových zvířat specifickou imunitu proti typu Massachusetts a sérologicky příbuzným typům. Po aplikaci do těla vakcinovaného jedince se aktivuje celá řada obranných mechanismů organismu zabraňujících následnému rozvinutí onemocnění po nakažení terénní infekcí. </w:t>
      </w:r>
    </w:p>
    <w:p w14:paraId="720BC4CF" w14:textId="77777777" w:rsidR="00605ED0" w:rsidRPr="009B62FB" w:rsidRDefault="00605ED0" w:rsidP="009B62FB">
      <w:pPr>
        <w:jc w:val="both"/>
        <w:rPr>
          <w:szCs w:val="22"/>
        </w:rPr>
      </w:pPr>
      <w:r w:rsidRPr="009B62FB">
        <w:rPr>
          <w:szCs w:val="22"/>
        </w:rPr>
        <w:t>Primovakcinace touto vakcínou poskytuje dobrý základ pro pozdější revakcinaci inaktivovanými vakcínami proti infekční bronchitidě drůbeže.</w:t>
      </w:r>
    </w:p>
    <w:p w14:paraId="126EFD83" w14:textId="77777777" w:rsidR="00605ED0" w:rsidRPr="009B62FB" w:rsidRDefault="00605ED0" w:rsidP="009B62FB">
      <w:pPr>
        <w:tabs>
          <w:tab w:val="clear" w:pos="567"/>
        </w:tabs>
        <w:spacing w:line="240" w:lineRule="auto"/>
        <w:rPr>
          <w:szCs w:val="22"/>
        </w:rPr>
      </w:pPr>
    </w:p>
    <w:p w14:paraId="14C310A6" w14:textId="77777777" w:rsidR="00C114FF" w:rsidRPr="009B62FB" w:rsidRDefault="00C114FF" w:rsidP="009B62FB">
      <w:pPr>
        <w:tabs>
          <w:tab w:val="clear" w:pos="567"/>
        </w:tabs>
        <w:spacing w:line="240" w:lineRule="auto"/>
        <w:rPr>
          <w:szCs w:val="22"/>
        </w:rPr>
      </w:pPr>
    </w:p>
    <w:p w14:paraId="14C310A7" w14:textId="77777777" w:rsidR="00C114FF" w:rsidRPr="009B62FB" w:rsidRDefault="006C6ABC" w:rsidP="009B62FB">
      <w:pPr>
        <w:pStyle w:val="Style1"/>
      </w:pPr>
      <w:r w:rsidRPr="009B62FB">
        <w:t>5.</w:t>
      </w:r>
      <w:r w:rsidRPr="009B62FB">
        <w:tab/>
        <w:t>FARMACEUTICKÉ ÚDAJE</w:t>
      </w:r>
    </w:p>
    <w:p w14:paraId="14C310A8" w14:textId="77777777" w:rsidR="00C114FF" w:rsidRPr="009B62FB" w:rsidRDefault="00C114FF" w:rsidP="009B62FB">
      <w:pPr>
        <w:tabs>
          <w:tab w:val="clear" w:pos="567"/>
        </w:tabs>
        <w:spacing w:line="240" w:lineRule="auto"/>
        <w:rPr>
          <w:szCs w:val="22"/>
        </w:rPr>
      </w:pPr>
    </w:p>
    <w:p w14:paraId="14C310A9" w14:textId="77777777" w:rsidR="00C114FF" w:rsidRPr="009B62FB" w:rsidRDefault="006C6ABC" w:rsidP="009B62FB">
      <w:pPr>
        <w:pStyle w:val="Style1"/>
      </w:pPr>
      <w:r w:rsidRPr="009B62FB">
        <w:t>5.1</w:t>
      </w:r>
      <w:r w:rsidRPr="009B62FB">
        <w:tab/>
        <w:t>Hlavní inkompatibility</w:t>
      </w:r>
    </w:p>
    <w:p w14:paraId="14C310AA" w14:textId="77777777" w:rsidR="00C114FF" w:rsidRPr="009B62FB" w:rsidRDefault="00C114FF" w:rsidP="009B62FB">
      <w:pPr>
        <w:tabs>
          <w:tab w:val="clear" w:pos="567"/>
        </w:tabs>
        <w:spacing w:line="240" w:lineRule="auto"/>
        <w:rPr>
          <w:szCs w:val="22"/>
        </w:rPr>
      </w:pPr>
    </w:p>
    <w:p w14:paraId="7131858C" w14:textId="44B17A20" w:rsidR="00081694" w:rsidRPr="009B62FB" w:rsidRDefault="00081694" w:rsidP="009B62FB">
      <w:pPr>
        <w:tabs>
          <w:tab w:val="clear" w:pos="567"/>
        </w:tabs>
        <w:spacing w:line="240" w:lineRule="auto"/>
        <w:rPr>
          <w:rFonts w:eastAsia="MS Mincho"/>
          <w:szCs w:val="22"/>
        </w:rPr>
      </w:pPr>
      <w:r w:rsidRPr="009B62FB">
        <w:rPr>
          <w:rFonts w:eastAsia="MS Mincho"/>
          <w:szCs w:val="22"/>
        </w:rPr>
        <w:t>Nemísit s jiným veterinárním léčivým přípravkem vyjma rozpoušt</w:t>
      </w:r>
      <w:r w:rsidR="009B62FB">
        <w:rPr>
          <w:rFonts w:eastAsia="MS Mincho"/>
          <w:szCs w:val="22"/>
        </w:rPr>
        <w:t xml:space="preserve">ědla Solvens Oculo/Nasal nebo </w:t>
      </w:r>
      <w:bookmarkStart w:id="2" w:name="_GoBack"/>
      <w:bookmarkEnd w:id="2"/>
      <w:r w:rsidRPr="009B62FB">
        <w:rPr>
          <w:rFonts w:eastAsia="MS Mincho"/>
          <w:szCs w:val="22"/>
        </w:rPr>
        <w:t>vakcíny Nobilis IB 4-91 nebo Nobilis IB Primo QX.</w:t>
      </w:r>
    </w:p>
    <w:p w14:paraId="14C310B0" w14:textId="77777777" w:rsidR="00C114FF" w:rsidRPr="009B62FB" w:rsidRDefault="00C114FF" w:rsidP="009B62FB">
      <w:pPr>
        <w:tabs>
          <w:tab w:val="clear" w:pos="567"/>
        </w:tabs>
        <w:spacing w:line="240" w:lineRule="auto"/>
        <w:rPr>
          <w:szCs w:val="22"/>
        </w:rPr>
      </w:pPr>
    </w:p>
    <w:p w14:paraId="14C310B1" w14:textId="77777777" w:rsidR="00C114FF" w:rsidRPr="009B62FB" w:rsidRDefault="006C6ABC" w:rsidP="009B62FB">
      <w:pPr>
        <w:pStyle w:val="Style1"/>
      </w:pPr>
      <w:r w:rsidRPr="009B62FB">
        <w:t>5.2</w:t>
      </w:r>
      <w:r w:rsidRPr="009B62FB">
        <w:tab/>
        <w:t>Doba použitelnosti</w:t>
      </w:r>
    </w:p>
    <w:p w14:paraId="14C310B2" w14:textId="77777777" w:rsidR="00C114FF" w:rsidRPr="009B62FB" w:rsidRDefault="00C114FF" w:rsidP="009B62FB">
      <w:pPr>
        <w:tabs>
          <w:tab w:val="clear" w:pos="567"/>
        </w:tabs>
        <w:spacing w:line="240" w:lineRule="auto"/>
        <w:rPr>
          <w:szCs w:val="22"/>
        </w:rPr>
      </w:pPr>
    </w:p>
    <w:p w14:paraId="4B4B5ECD" w14:textId="77777777" w:rsidR="00081694" w:rsidRPr="009B62FB" w:rsidRDefault="00081694" w:rsidP="009B62FB">
      <w:pPr>
        <w:tabs>
          <w:tab w:val="clear" w:pos="567"/>
        </w:tabs>
        <w:spacing w:line="240" w:lineRule="auto"/>
        <w:rPr>
          <w:u w:val="single"/>
        </w:rPr>
      </w:pPr>
      <w:r w:rsidRPr="009B62FB">
        <w:rPr>
          <w:u w:val="single"/>
        </w:rPr>
        <w:t>Lyofilizát:</w:t>
      </w:r>
    </w:p>
    <w:p w14:paraId="2580AB33" w14:textId="4D86E7C6" w:rsidR="00081694" w:rsidRPr="009B62FB" w:rsidRDefault="00081694" w:rsidP="009B62FB">
      <w:pPr>
        <w:tabs>
          <w:tab w:val="clear" w:pos="567"/>
        </w:tabs>
        <w:spacing w:line="240" w:lineRule="auto"/>
      </w:pPr>
      <w:r w:rsidRPr="009B62FB">
        <w:t>Doba použitelnosti veterinárního léčivého přípravku v neporušeném obalu: 2 roky</w:t>
      </w:r>
      <w:r w:rsidR="00D36901" w:rsidRPr="009B62FB">
        <w:t>.</w:t>
      </w:r>
      <w:r w:rsidRPr="009B62FB">
        <w:t xml:space="preserve"> </w:t>
      </w:r>
    </w:p>
    <w:p w14:paraId="41E0602D" w14:textId="77777777" w:rsidR="000A6141" w:rsidRPr="009B62FB" w:rsidRDefault="00081694" w:rsidP="009B62FB">
      <w:pPr>
        <w:tabs>
          <w:tab w:val="clear" w:pos="567"/>
        </w:tabs>
        <w:spacing w:line="240" w:lineRule="auto"/>
      </w:pPr>
      <w:r w:rsidRPr="009B62FB">
        <w:t>Doba použitelnosti po rozpuštění podle návodu: 2 hodiny.</w:t>
      </w:r>
    </w:p>
    <w:p w14:paraId="7D14C6E9" w14:textId="77777777" w:rsidR="000A6141" w:rsidRPr="009B62FB" w:rsidRDefault="000A6141" w:rsidP="009B62FB">
      <w:pPr>
        <w:tabs>
          <w:tab w:val="clear" w:pos="567"/>
        </w:tabs>
        <w:spacing w:line="240" w:lineRule="auto"/>
      </w:pPr>
    </w:p>
    <w:p w14:paraId="0185F0D3" w14:textId="0B84B4B2" w:rsidR="00081694" w:rsidRPr="009B62FB" w:rsidRDefault="00081694" w:rsidP="009B62FB">
      <w:pPr>
        <w:tabs>
          <w:tab w:val="clear" w:pos="567"/>
        </w:tabs>
        <w:spacing w:line="240" w:lineRule="auto"/>
        <w:rPr>
          <w:u w:val="single"/>
        </w:rPr>
      </w:pPr>
      <w:r w:rsidRPr="009B62FB">
        <w:rPr>
          <w:u w:val="single"/>
        </w:rPr>
        <w:t>Rozpouštědlo (Solvens Oculo/Nasal):</w:t>
      </w:r>
    </w:p>
    <w:p w14:paraId="0A7481AF" w14:textId="30280CED" w:rsidR="00081694" w:rsidRPr="009B62FB" w:rsidRDefault="00081694" w:rsidP="009B62FB">
      <w:pPr>
        <w:tabs>
          <w:tab w:val="clear" w:pos="567"/>
        </w:tabs>
        <w:spacing w:line="240" w:lineRule="auto"/>
      </w:pPr>
      <w:r w:rsidRPr="009B62FB">
        <w:t>Doba použitelnosti rozpouštědla v neporušeném obalu: 36 měsíců.</w:t>
      </w:r>
    </w:p>
    <w:p w14:paraId="14C310B9" w14:textId="77777777" w:rsidR="00C114FF" w:rsidRPr="009B62FB" w:rsidRDefault="00C114FF" w:rsidP="009B62FB">
      <w:pPr>
        <w:tabs>
          <w:tab w:val="clear" w:pos="567"/>
        </w:tabs>
        <w:spacing w:line="240" w:lineRule="auto"/>
        <w:rPr>
          <w:szCs w:val="22"/>
        </w:rPr>
      </w:pPr>
    </w:p>
    <w:p w14:paraId="14C310BA" w14:textId="77777777" w:rsidR="00C114FF" w:rsidRPr="009B62FB" w:rsidRDefault="006C6ABC" w:rsidP="009B62FB">
      <w:pPr>
        <w:pStyle w:val="Style1"/>
      </w:pPr>
      <w:r w:rsidRPr="009B62FB">
        <w:t>5.3</w:t>
      </w:r>
      <w:r w:rsidRPr="009B62FB">
        <w:tab/>
        <w:t>Zvláštní opatření pro uchovávání</w:t>
      </w:r>
    </w:p>
    <w:p w14:paraId="14C310BB" w14:textId="77777777" w:rsidR="00C114FF" w:rsidRPr="009B62FB" w:rsidRDefault="00C114FF" w:rsidP="009B62FB">
      <w:pPr>
        <w:tabs>
          <w:tab w:val="clear" w:pos="567"/>
        </w:tabs>
        <w:spacing w:line="240" w:lineRule="auto"/>
        <w:rPr>
          <w:szCs w:val="22"/>
        </w:rPr>
      </w:pPr>
    </w:p>
    <w:p w14:paraId="76AED739" w14:textId="77777777" w:rsidR="00E968C4" w:rsidRPr="009B62FB" w:rsidRDefault="00E968C4" w:rsidP="009B62FB">
      <w:pPr>
        <w:tabs>
          <w:tab w:val="clear" w:pos="567"/>
        </w:tabs>
        <w:spacing w:line="240" w:lineRule="auto"/>
        <w:rPr>
          <w:szCs w:val="22"/>
          <w:u w:val="single"/>
        </w:rPr>
      </w:pPr>
      <w:r w:rsidRPr="009B62FB">
        <w:rPr>
          <w:szCs w:val="22"/>
          <w:u w:val="single"/>
        </w:rPr>
        <w:t>Lyofilizát:</w:t>
      </w:r>
    </w:p>
    <w:p w14:paraId="2C83A024" w14:textId="46F916F6" w:rsidR="00E968C4" w:rsidRPr="009B62FB" w:rsidRDefault="00E968C4" w:rsidP="009B62FB">
      <w:pPr>
        <w:tabs>
          <w:tab w:val="clear" w:pos="567"/>
        </w:tabs>
        <w:spacing w:line="240" w:lineRule="auto"/>
        <w:rPr>
          <w:szCs w:val="22"/>
        </w:rPr>
      </w:pPr>
      <w:r w:rsidRPr="009B62FB">
        <w:rPr>
          <w:szCs w:val="22"/>
        </w:rPr>
        <w:t>Uchovávejte v chladničce (2 °C – 8 °C).</w:t>
      </w:r>
    </w:p>
    <w:p w14:paraId="50A3576C" w14:textId="77777777" w:rsidR="00E968C4" w:rsidRPr="009B62FB" w:rsidRDefault="00E968C4" w:rsidP="009B62FB">
      <w:pPr>
        <w:tabs>
          <w:tab w:val="clear" w:pos="567"/>
        </w:tabs>
        <w:spacing w:line="240" w:lineRule="auto"/>
        <w:rPr>
          <w:szCs w:val="22"/>
        </w:rPr>
      </w:pPr>
      <w:r w:rsidRPr="009B62FB">
        <w:rPr>
          <w:szCs w:val="22"/>
        </w:rPr>
        <w:t>Chraňte před mrazem.</w:t>
      </w:r>
    </w:p>
    <w:p w14:paraId="255DBBFA" w14:textId="77777777" w:rsidR="00E968C4" w:rsidRPr="009B62FB" w:rsidRDefault="00E968C4" w:rsidP="009B62FB">
      <w:pPr>
        <w:tabs>
          <w:tab w:val="clear" w:pos="567"/>
        </w:tabs>
        <w:spacing w:line="240" w:lineRule="auto"/>
        <w:rPr>
          <w:szCs w:val="22"/>
        </w:rPr>
      </w:pPr>
      <w:r w:rsidRPr="009B62FB">
        <w:rPr>
          <w:szCs w:val="22"/>
        </w:rPr>
        <w:t>Chraňte před světlem.</w:t>
      </w:r>
    </w:p>
    <w:p w14:paraId="36C854AC" w14:textId="77777777" w:rsidR="00010CE8" w:rsidRPr="009B62FB" w:rsidRDefault="00010CE8" w:rsidP="009B62FB">
      <w:pPr>
        <w:tabs>
          <w:tab w:val="clear" w:pos="567"/>
        </w:tabs>
        <w:spacing w:line="240" w:lineRule="auto"/>
        <w:rPr>
          <w:szCs w:val="22"/>
          <w:u w:val="single"/>
        </w:rPr>
      </w:pPr>
    </w:p>
    <w:p w14:paraId="18013552" w14:textId="4E5BE761" w:rsidR="00E968C4" w:rsidRPr="009B62FB" w:rsidRDefault="00E968C4" w:rsidP="009B62FB">
      <w:pPr>
        <w:tabs>
          <w:tab w:val="clear" w:pos="567"/>
        </w:tabs>
        <w:spacing w:line="240" w:lineRule="auto"/>
        <w:rPr>
          <w:szCs w:val="22"/>
          <w:u w:val="single"/>
        </w:rPr>
      </w:pPr>
      <w:r w:rsidRPr="009B62FB">
        <w:rPr>
          <w:szCs w:val="22"/>
          <w:u w:val="single"/>
        </w:rPr>
        <w:t>Rozpouštědlo:</w:t>
      </w:r>
    </w:p>
    <w:p w14:paraId="016759EB" w14:textId="6C7FBA16" w:rsidR="00E968C4" w:rsidRPr="009B62FB" w:rsidRDefault="00E968C4" w:rsidP="009B62FB">
      <w:pPr>
        <w:tabs>
          <w:tab w:val="clear" w:pos="567"/>
        </w:tabs>
        <w:spacing w:line="240" w:lineRule="auto"/>
        <w:rPr>
          <w:szCs w:val="22"/>
        </w:rPr>
      </w:pPr>
      <w:r w:rsidRPr="009B62FB">
        <w:rPr>
          <w:szCs w:val="22"/>
        </w:rPr>
        <w:t>Uchovávejte při teplotě 15 °C – 25 °C.</w:t>
      </w:r>
    </w:p>
    <w:p w14:paraId="14C310D0" w14:textId="77777777" w:rsidR="00C114FF" w:rsidRPr="009B62FB" w:rsidRDefault="00C114FF" w:rsidP="009B62FB">
      <w:pPr>
        <w:tabs>
          <w:tab w:val="clear" w:pos="567"/>
        </w:tabs>
        <w:spacing w:line="240" w:lineRule="auto"/>
        <w:rPr>
          <w:szCs w:val="22"/>
        </w:rPr>
      </w:pPr>
    </w:p>
    <w:p w14:paraId="14C310D7" w14:textId="77777777" w:rsidR="00C114FF" w:rsidRPr="009B62FB" w:rsidRDefault="006C6ABC" w:rsidP="009B62FB">
      <w:pPr>
        <w:pStyle w:val="Style1"/>
      </w:pPr>
      <w:r w:rsidRPr="009B62FB">
        <w:t>5.4</w:t>
      </w:r>
      <w:r w:rsidRPr="009B62FB">
        <w:tab/>
        <w:t>Druh a složení vnitřního obalu</w:t>
      </w:r>
    </w:p>
    <w:p w14:paraId="14C310D8" w14:textId="3F510F14" w:rsidR="00C114FF" w:rsidRPr="009B62FB" w:rsidRDefault="00C114FF" w:rsidP="009B62FB">
      <w:pPr>
        <w:pStyle w:val="Style1"/>
      </w:pPr>
    </w:p>
    <w:p w14:paraId="1473C43F" w14:textId="77777777" w:rsidR="00E968C4" w:rsidRPr="009B62FB" w:rsidRDefault="00E968C4" w:rsidP="009B62FB">
      <w:pPr>
        <w:pStyle w:val="Style1"/>
        <w:rPr>
          <w:b w:val="0"/>
          <w:bCs/>
          <w:u w:val="single"/>
        </w:rPr>
      </w:pPr>
      <w:r w:rsidRPr="009B62FB">
        <w:rPr>
          <w:b w:val="0"/>
          <w:bCs/>
          <w:u w:val="single"/>
        </w:rPr>
        <w:t xml:space="preserve">Lyofilizát: </w:t>
      </w:r>
    </w:p>
    <w:p w14:paraId="383C6494" w14:textId="22F21512" w:rsidR="00E968C4" w:rsidRPr="009B62FB" w:rsidRDefault="00EC0C6B" w:rsidP="009B62FB">
      <w:pPr>
        <w:pStyle w:val="Style1"/>
        <w:ind w:left="0" w:firstLine="0"/>
        <w:rPr>
          <w:b w:val="0"/>
          <w:bCs/>
        </w:rPr>
      </w:pPr>
      <w:r w:rsidRPr="009B62FB">
        <w:rPr>
          <w:b w:val="0"/>
          <w:bCs/>
        </w:rPr>
        <w:t>Injekční l</w:t>
      </w:r>
      <w:r w:rsidR="00E968C4" w:rsidRPr="009B62FB">
        <w:rPr>
          <w:b w:val="0"/>
          <w:bCs/>
        </w:rPr>
        <w:t>ahvička z hydrolytického skla typu I uzavřená halogenbutylovou gumovou zátkou a zajištěná</w:t>
      </w:r>
      <w:r w:rsidR="009B62FB">
        <w:rPr>
          <w:b w:val="0"/>
          <w:bCs/>
        </w:rPr>
        <w:t xml:space="preserve"> </w:t>
      </w:r>
      <w:r w:rsidR="00E968C4" w:rsidRPr="009B62FB">
        <w:rPr>
          <w:b w:val="0"/>
          <w:bCs/>
        </w:rPr>
        <w:t>kódovanou hliníkovou pertlí.</w:t>
      </w:r>
    </w:p>
    <w:p w14:paraId="7FEB4460" w14:textId="74E50726" w:rsidR="00E968C4" w:rsidRPr="009B62FB" w:rsidRDefault="00E968C4" w:rsidP="009B62FB">
      <w:pPr>
        <w:pStyle w:val="Style1"/>
        <w:ind w:left="0" w:firstLine="0"/>
        <w:rPr>
          <w:b w:val="0"/>
          <w:bCs/>
        </w:rPr>
      </w:pPr>
      <w:r w:rsidRPr="009B62FB">
        <w:rPr>
          <w:b w:val="0"/>
          <w:bCs/>
        </w:rPr>
        <w:t xml:space="preserve">Uzavřený aluminium laminátový kelímek s polypropylenovou (kelímek) </w:t>
      </w:r>
      <w:r w:rsidR="00D36901" w:rsidRPr="009B62FB">
        <w:rPr>
          <w:b w:val="0"/>
          <w:bCs/>
        </w:rPr>
        <w:t>a</w:t>
      </w:r>
      <w:r w:rsidR="009B62FB">
        <w:rPr>
          <w:b w:val="0"/>
          <w:bCs/>
        </w:rPr>
        <w:t xml:space="preserve"> </w:t>
      </w:r>
      <w:r w:rsidR="00D36901" w:rsidRPr="009B62FB">
        <w:rPr>
          <w:b w:val="0"/>
          <w:bCs/>
        </w:rPr>
        <w:t>polypropylen/polyetylenovou (víčko) kontaktní vrstvou.</w:t>
      </w:r>
    </w:p>
    <w:p w14:paraId="7FAB0311" w14:textId="77777777" w:rsidR="00E968C4" w:rsidRPr="009B62FB" w:rsidRDefault="00E968C4" w:rsidP="009B62FB">
      <w:pPr>
        <w:pStyle w:val="Style1"/>
        <w:rPr>
          <w:b w:val="0"/>
          <w:bCs/>
        </w:rPr>
      </w:pPr>
    </w:p>
    <w:p w14:paraId="5EA1AE77" w14:textId="77777777" w:rsidR="00E968C4" w:rsidRPr="009B62FB" w:rsidRDefault="00E968C4" w:rsidP="009B62FB">
      <w:pPr>
        <w:pStyle w:val="Style1"/>
        <w:rPr>
          <w:b w:val="0"/>
          <w:bCs/>
          <w:u w:val="single"/>
        </w:rPr>
      </w:pPr>
      <w:r w:rsidRPr="009B62FB">
        <w:rPr>
          <w:b w:val="0"/>
          <w:bCs/>
          <w:u w:val="single"/>
        </w:rPr>
        <w:t>Rozpouštědlo (Solvens Oculo/Nasal):</w:t>
      </w:r>
    </w:p>
    <w:p w14:paraId="7BAEFED7" w14:textId="3D805250" w:rsidR="00E968C4" w:rsidRPr="009B62FB" w:rsidRDefault="00E968C4" w:rsidP="009B62FB">
      <w:pPr>
        <w:pStyle w:val="Style1"/>
        <w:ind w:left="0" w:firstLine="0"/>
        <w:rPr>
          <w:b w:val="0"/>
          <w:bCs/>
        </w:rPr>
      </w:pPr>
      <w:r w:rsidRPr="009B62FB">
        <w:rPr>
          <w:b w:val="0"/>
          <w:bCs/>
        </w:rPr>
        <w:t xml:space="preserve">PE </w:t>
      </w:r>
      <w:r w:rsidR="002C7B14" w:rsidRPr="009B62FB">
        <w:rPr>
          <w:b w:val="0"/>
          <w:bCs/>
        </w:rPr>
        <w:t xml:space="preserve">injekční </w:t>
      </w:r>
      <w:r w:rsidRPr="009B62FB">
        <w:rPr>
          <w:b w:val="0"/>
          <w:bCs/>
        </w:rPr>
        <w:t xml:space="preserve">lahvička 35 ml s obsahem </w:t>
      </w:r>
      <w:r w:rsidR="007B21C2" w:rsidRPr="009B62FB">
        <w:rPr>
          <w:b w:val="0"/>
          <w:bCs/>
        </w:rPr>
        <w:t>30–34</w:t>
      </w:r>
      <w:r w:rsidRPr="009B62FB">
        <w:rPr>
          <w:b w:val="0"/>
          <w:bCs/>
        </w:rPr>
        <w:t xml:space="preserve"> ml rozpouštědla pro 1000 dávek nebo 84 ml s</w:t>
      </w:r>
      <w:r w:rsidR="009B62FB">
        <w:rPr>
          <w:b w:val="0"/>
          <w:bCs/>
        </w:rPr>
        <w:t> </w:t>
      </w:r>
      <w:r w:rsidRPr="009B62FB">
        <w:rPr>
          <w:b w:val="0"/>
          <w:bCs/>
        </w:rPr>
        <w:t>obsahem</w:t>
      </w:r>
      <w:r w:rsidR="009B62FB">
        <w:rPr>
          <w:b w:val="0"/>
          <w:bCs/>
        </w:rPr>
        <w:t xml:space="preserve"> </w:t>
      </w:r>
      <w:r w:rsidR="007B21C2" w:rsidRPr="009B62FB">
        <w:rPr>
          <w:b w:val="0"/>
          <w:bCs/>
        </w:rPr>
        <w:t>77–81</w:t>
      </w:r>
      <w:r w:rsidRPr="009B62FB">
        <w:rPr>
          <w:b w:val="0"/>
          <w:bCs/>
        </w:rPr>
        <w:t xml:space="preserve"> ml rozpouštědla pro 2500 dávek.</w:t>
      </w:r>
    </w:p>
    <w:p w14:paraId="037388BA" w14:textId="77777777" w:rsidR="00E968C4" w:rsidRPr="009B62FB" w:rsidRDefault="00E968C4" w:rsidP="009B62FB">
      <w:pPr>
        <w:pStyle w:val="Style1"/>
        <w:rPr>
          <w:b w:val="0"/>
          <w:bCs/>
        </w:rPr>
      </w:pPr>
    </w:p>
    <w:p w14:paraId="0250FC8C" w14:textId="676B6313" w:rsidR="00E968C4" w:rsidRPr="009B62FB" w:rsidRDefault="00E968C4" w:rsidP="009B62FB">
      <w:pPr>
        <w:pStyle w:val="Style1"/>
        <w:rPr>
          <w:b w:val="0"/>
          <w:bCs/>
          <w:u w:val="single"/>
        </w:rPr>
      </w:pPr>
      <w:r w:rsidRPr="009B62FB">
        <w:rPr>
          <w:b w:val="0"/>
          <w:bCs/>
          <w:u w:val="single"/>
        </w:rPr>
        <w:lastRenderedPageBreak/>
        <w:t>Velikosti balení:</w:t>
      </w:r>
    </w:p>
    <w:p w14:paraId="77F54A71" w14:textId="77777777" w:rsidR="00E968C4" w:rsidRPr="009B62FB" w:rsidRDefault="00E968C4" w:rsidP="009B62FB">
      <w:pPr>
        <w:pStyle w:val="Style1"/>
        <w:rPr>
          <w:b w:val="0"/>
          <w:bCs/>
          <w:u w:val="single"/>
        </w:rPr>
      </w:pPr>
      <w:r w:rsidRPr="009B62FB">
        <w:rPr>
          <w:b w:val="0"/>
          <w:bCs/>
          <w:u w:val="single"/>
        </w:rPr>
        <w:t xml:space="preserve">Lyofilizát: </w:t>
      </w:r>
    </w:p>
    <w:p w14:paraId="1D0BA169" w14:textId="10D784A0" w:rsidR="00B85DA3" w:rsidRPr="009B62FB" w:rsidRDefault="00B85DA3" w:rsidP="009B62FB">
      <w:pPr>
        <w:pStyle w:val="Style1"/>
        <w:ind w:left="0" w:firstLine="0"/>
        <w:rPr>
          <w:b w:val="0"/>
        </w:rPr>
      </w:pPr>
      <w:r w:rsidRPr="009B62FB">
        <w:rPr>
          <w:b w:val="0"/>
        </w:rPr>
        <w:t xml:space="preserve">Kartonová krabička s 1 nebo 10 skleněnými </w:t>
      </w:r>
      <w:r w:rsidR="002C7B14" w:rsidRPr="009B62FB">
        <w:rPr>
          <w:b w:val="0"/>
        </w:rPr>
        <w:t xml:space="preserve">injekčními </w:t>
      </w:r>
      <w:r w:rsidRPr="009B62FB">
        <w:rPr>
          <w:b w:val="0"/>
        </w:rPr>
        <w:t>lahvičkami obsahujícími 1000, 2500</w:t>
      </w:r>
      <w:r w:rsidR="00FB0FC3" w:rsidRPr="009B62FB">
        <w:rPr>
          <w:b w:val="0"/>
        </w:rPr>
        <w:t xml:space="preserve"> </w:t>
      </w:r>
      <w:r w:rsidRPr="009B62FB">
        <w:rPr>
          <w:b w:val="0"/>
        </w:rPr>
        <w:t>nebo</w:t>
      </w:r>
      <w:r w:rsidR="009B62FB">
        <w:rPr>
          <w:b w:val="0"/>
        </w:rPr>
        <w:t xml:space="preserve"> </w:t>
      </w:r>
      <w:r w:rsidR="00FB0FC3" w:rsidRPr="009B62FB">
        <w:rPr>
          <w:b w:val="0"/>
        </w:rPr>
        <w:t>5</w:t>
      </w:r>
      <w:r w:rsidRPr="009B62FB">
        <w:rPr>
          <w:b w:val="0"/>
        </w:rPr>
        <w:t>000 dávek.</w:t>
      </w:r>
    </w:p>
    <w:p w14:paraId="623BF755" w14:textId="44B477A1" w:rsidR="00B85DA3" w:rsidRPr="009B62FB" w:rsidRDefault="00B85DA3" w:rsidP="009B62FB">
      <w:pPr>
        <w:pStyle w:val="Style1"/>
        <w:rPr>
          <w:b w:val="0"/>
        </w:rPr>
      </w:pPr>
      <w:r w:rsidRPr="009B62FB">
        <w:rPr>
          <w:b w:val="0"/>
        </w:rPr>
        <w:t>Kartonová krabička s 10 kelímky obsahujícími 1000, 2500, 5000 nebo 10 000 dávek.</w:t>
      </w:r>
    </w:p>
    <w:p w14:paraId="318C6EF1" w14:textId="77777777" w:rsidR="00B85DA3" w:rsidRPr="009B62FB" w:rsidRDefault="00B85DA3" w:rsidP="009B62FB">
      <w:pPr>
        <w:pStyle w:val="Style1"/>
        <w:rPr>
          <w:b w:val="0"/>
        </w:rPr>
      </w:pPr>
      <w:r w:rsidRPr="009B62FB">
        <w:rPr>
          <w:b w:val="0"/>
        </w:rPr>
        <w:t>PET plastová krabička s 12 kelímky obsahujícími 1000, 2500, 5000 nebo 10 000 dávek.</w:t>
      </w:r>
    </w:p>
    <w:p w14:paraId="0A4A7277" w14:textId="77777777" w:rsidR="00E968C4" w:rsidRPr="009B62FB" w:rsidRDefault="00E968C4" w:rsidP="009B62FB">
      <w:pPr>
        <w:pStyle w:val="Style1"/>
        <w:rPr>
          <w:b w:val="0"/>
          <w:bCs/>
        </w:rPr>
      </w:pPr>
    </w:p>
    <w:p w14:paraId="7EE18651" w14:textId="77777777" w:rsidR="00E968C4" w:rsidRPr="009B62FB" w:rsidRDefault="00E968C4" w:rsidP="009B62FB">
      <w:pPr>
        <w:pStyle w:val="Style1"/>
        <w:rPr>
          <w:b w:val="0"/>
          <w:bCs/>
        </w:rPr>
      </w:pPr>
      <w:r w:rsidRPr="009B62FB">
        <w:rPr>
          <w:b w:val="0"/>
          <w:bCs/>
          <w:u w:val="single"/>
        </w:rPr>
        <w:t xml:space="preserve">Rozpouštědlo: </w:t>
      </w:r>
    </w:p>
    <w:p w14:paraId="23CB2576" w14:textId="420A98C1" w:rsidR="00B85DA3" w:rsidRPr="009B62FB" w:rsidRDefault="00B85DA3" w:rsidP="009B62FB">
      <w:pPr>
        <w:pStyle w:val="Style1"/>
        <w:ind w:left="0" w:firstLine="0"/>
        <w:rPr>
          <w:b w:val="0"/>
        </w:rPr>
      </w:pPr>
      <w:r w:rsidRPr="009B62FB">
        <w:rPr>
          <w:b w:val="0"/>
        </w:rPr>
        <w:t xml:space="preserve">Kartonová krabička s 1 nebo 10 skleněnými </w:t>
      </w:r>
      <w:r w:rsidR="002C7B14" w:rsidRPr="009B62FB">
        <w:rPr>
          <w:b w:val="0"/>
        </w:rPr>
        <w:t xml:space="preserve">injekčními </w:t>
      </w:r>
      <w:r w:rsidRPr="009B62FB">
        <w:rPr>
          <w:b w:val="0"/>
        </w:rPr>
        <w:t>lahvičkami obsahujícími 1000</w:t>
      </w:r>
      <w:r w:rsidR="004A473C" w:rsidRPr="009B62FB">
        <w:rPr>
          <w:b w:val="0"/>
        </w:rPr>
        <w:t xml:space="preserve"> neb</w:t>
      </w:r>
      <w:r w:rsidR="003B5973" w:rsidRPr="009B62FB">
        <w:rPr>
          <w:b w:val="0"/>
        </w:rPr>
        <w:t>o</w:t>
      </w:r>
      <w:r w:rsidR="004A473C" w:rsidRPr="009B62FB">
        <w:rPr>
          <w:b w:val="0"/>
        </w:rPr>
        <w:t xml:space="preserve"> </w:t>
      </w:r>
      <w:r w:rsidRPr="009B62FB">
        <w:rPr>
          <w:b w:val="0"/>
        </w:rPr>
        <w:t>2500</w:t>
      </w:r>
      <w:r w:rsidR="009B62FB">
        <w:rPr>
          <w:b w:val="0"/>
        </w:rPr>
        <w:t xml:space="preserve"> </w:t>
      </w:r>
      <w:r w:rsidRPr="009B62FB">
        <w:rPr>
          <w:b w:val="0"/>
        </w:rPr>
        <w:t>dávek.</w:t>
      </w:r>
    </w:p>
    <w:p w14:paraId="172F2E5E" w14:textId="77777777" w:rsidR="00E968C4" w:rsidRPr="009B62FB" w:rsidRDefault="00E968C4" w:rsidP="009B62FB">
      <w:pPr>
        <w:pStyle w:val="Style1"/>
        <w:rPr>
          <w:b w:val="0"/>
          <w:bCs/>
        </w:rPr>
      </w:pPr>
      <w:r w:rsidRPr="009B62FB">
        <w:rPr>
          <w:b w:val="0"/>
          <w:bCs/>
        </w:rPr>
        <w:t>Rozpouštědlo je dodáváno pouze na vyžádání.</w:t>
      </w:r>
    </w:p>
    <w:p w14:paraId="081284F3" w14:textId="77777777" w:rsidR="00E968C4" w:rsidRPr="009B62FB" w:rsidRDefault="00E968C4" w:rsidP="009B62FB">
      <w:pPr>
        <w:pStyle w:val="Style1"/>
      </w:pPr>
    </w:p>
    <w:p w14:paraId="14C310D9" w14:textId="47F43686" w:rsidR="00C114FF" w:rsidRPr="009B62FB" w:rsidRDefault="006C6ABC" w:rsidP="009B62FB">
      <w:pPr>
        <w:tabs>
          <w:tab w:val="clear" w:pos="567"/>
        </w:tabs>
        <w:spacing w:line="240" w:lineRule="auto"/>
        <w:rPr>
          <w:szCs w:val="22"/>
        </w:rPr>
      </w:pPr>
      <w:r w:rsidRPr="009B62FB">
        <w:t>Na trhu nemusí být všechny velikosti balení.</w:t>
      </w:r>
    </w:p>
    <w:p w14:paraId="14C310DA" w14:textId="77777777" w:rsidR="00C114FF" w:rsidRPr="009B62FB" w:rsidRDefault="00C114FF" w:rsidP="009B62FB">
      <w:pPr>
        <w:tabs>
          <w:tab w:val="clear" w:pos="567"/>
        </w:tabs>
        <w:spacing w:line="240" w:lineRule="auto"/>
        <w:rPr>
          <w:szCs w:val="22"/>
        </w:rPr>
      </w:pPr>
    </w:p>
    <w:p w14:paraId="11CB1209" w14:textId="77777777" w:rsidR="00CC1EF7" w:rsidRPr="009B62FB" w:rsidRDefault="006C6ABC" w:rsidP="009B62FB">
      <w:pPr>
        <w:pStyle w:val="Style1"/>
      </w:pPr>
      <w:r w:rsidRPr="009B62FB">
        <w:t>5.5</w:t>
      </w:r>
      <w:r w:rsidRPr="009B62FB">
        <w:tab/>
      </w:r>
      <w:bookmarkStart w:id="3" w:name="_Hlk121724767"/>
      <w:r w:rsidR="00CC1EF7" w:rsidRPr="009B62FB">
        <w:t>Zvláštní opatření pro likvidaci nepoužitých veterinárních léčivých přípravků nebo odpadů, které pochází z těchto přípravků</w:t>
      </w:r>
    </w:p>
    <w:bookmarkEnd w:id="3"/>
    <w:p w14:paraId="14C310DC" w14:textId="367F9D57" w:rsidR="00C114FF" w:rsidRPr="009B62FB" w:rsidRDefault="00C114FF" w:rsidP="009B62FB">
      <w:pPr>
        <w:pStyle w:val="Style1"/>
      </w:pPr>
    </w:p>
    <w:p w14:paraId="2996D51C" w14:textId="77777777" w:rsidR="00D774A4" w:rsidRPr="009B62FB" w:rsidRDefault="00D774A4" w:rsidP="009B62FB">
      <w:pPr>
        <w:rPr>
          <w:szCs w:val="22"/>
        </w:rPr>
      </w:pPr>
      <w:bookmarkStart w:id="4" w:name="_Hlk112846963"/>
      <w:r w:rsidRPr="009B62FB">
        <w:t>Léčivé přípravky se nesmí likvidovat prostřednictvím odpadní vody či domovního odpadu.</w:t>
      </w:r>
    </w:p>
    <w:p w14:paraId="1A7A6EF6" w14:textId="77777777" w:rsidR="00D774A4" w:rsidRPr="009B62FB" w:rsidRDefault="00D774A4" w:rsidP="009B62FB">
      <w:pPr>
        <w:tabs>
          <w:tab w:val="clear" w:pos="567"/>
        </w:tabs>
        <w:spacing w:line="240" w:lineRule="auto"/>
        <w:rPr>
          <w:szCs w:val="22"/>
        </w:rPr>
      </w:pPr>
    </w:p>
    <w:p w14:paraId="65FF9A66" w14:textId="77777777" w:rsidR="00D774A4" w:rsidRPr="009B62FB" w:rsidRDefault="00D774A4" w:rsidP="009B62FB">
      <w:pPr>
        <w:tabs>
          <w:tab w:val="clear" w:pos="567"/>
        </w:tabs>
        <w:spacing w:line="240" w:lineRule="auto"/>
        <w:rPr>
          <w:szCs w:val="22"/>
        </w:rPr>
      </w:pPr>
      <w:r w:rsidRPr="009B62FB">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bookmarkEnd w:id="4"/>
    <w:p w14:paraId="14C310E2" w14:textId="77777777" w:rsidR="0078538F" w:rsidRPr="009B62FB" w:rsidRDefault="0078538F" w:rsidP="009B62FB">
      <w:pPr>
        <w:tabs>
          <w:tab w:val="clear" w:pos="567"/>
        </w:tabs>
        <w:spacing w:line="240" w:lineRule="auto"/>
        <w:rPr>
          <w:szCs w:val="22"/>
        </w:rPr>
      </w:pPr>
    </w:p>
    <w:p w14:paraId="14C310E5" w14:textId="77777777" w:rsidR="00C114FF" w:rsidRPr="009B62FB" w:rsidRDefault="00C114FF" w:rsidP="009B62FB">
      <w:pPr>
        <w:tabs>
          <w:tab w:val="clear" w:pos="567"/>
        </w:tabs>
        <w:spacing w:line="240" w:lineRule="auto"/>
        <w:rPr>
          <w:szCs w:val="22"/>
        </w:rPr>
      </w:pPr>
    </w:p>
    <w:p w14:paraId="14C310E6" w14:textId="77777777" w:rsidR="00C114FF" w:rsidRPr="009B62FB" w:rsidRDefault="006C6ABC" w:rsidP="009B62FB">
      <w:pPr>
        <w:pStyle w:val="Style1"/>
      </w:pPr>
      <w:r w:rsidRPr="009B62FB">
        <w:t>6.</w:t>
      </w:r>
      <w:r w:rsidRPr="009B62FB">
        <w:tab/>
        <w:t>JMÉNO DRŽITELE ROZHODNUTÍ O REGISTRACI</w:t>
      </w:r>
    </w:p>
    <w:p w14:paraId="14C310E7" w14:textId="77777777" w:rsidR="00C114FF" w:rsidRPr="009B62FB" w:rsidRDefault="00C114FF" w:rsidP="009B62FB">
      <w:pPr>
        <w:tabs>
          <w:tab w:val="clear" w:pos="567"/>
        </w:tabs>
        <w:spacing w:line="240" w:lineRule="auto"/>
        <w:rPr>
          <w:szCs w:val="22"/>
        </w:rPr>
      </w:pPr>
    </w:p>
    <w:p w14:paraId="440CE00D" w14:textId="77777777" w:rsidR="00543C44" w:rsidRPr="009B62FB" w:rsidRDefault="00543C44" w:rsidP="009B62FB">
      <w:pPr>
        <w:rPr>
          <w:szCs w:val="22"/>
        </w:rPr>
      </w:pPr>
      <w:r w:rsidRPr="009B62FB">
        <w:rPr>
          <w:szCs w:val="22"/>
        </w:rPr>
        <w:t>Intervet International B.V.</w:t>
      </w:r>
    </w:p>
    <w:p w14:paraId="14C310EA" w14:textId="7BEB7FD8" w:rsidR="00C114FF" w:rsidRPr="009B62FB" w:rsidRDefault="00C114FF" w:rsidP="009B62FB">
      <w:pPr>
        <w:tabs>
          <w:tab w:val="clear" w:pos="567"/>
        </w:tabs>
        <w:spacing w:line="240" w:lineRule="auto"/>
        <w:rPr>
          <w:szCs w:val="22"/>
        </w:rPr>
      </w:pPr>
    </w:p>
    <w:p w14:paraId="1494838C" w14:textId="77777777" w:rsidR="00D55C5B" w:rsidRPr="009B62FB" w:rsidRDefault="00D55C5B" w:rsidP="009B62FB">
      <w:pPr>
        <w:tabs>
          <w:tab w:val="clear" w:pos="567"/>
        </w:tabs>
        <w:spacing w:line="240" w:lineRule="auto"/>
        <w:rPr>
          <w:szCs w:val="22"/>
        </w:rPr>
      </w:pPr>
    </w:p>
    <w:p w14:paraId="14C310EB" w14:textId="77777777" w:rsidR="00C114FF" w:rsidRPr="009B62FB" w:rsidRDefault="006C6ABC" w:rsidP="009B62FB">
      <w:pPr>
        <w:pStyle w:val="Style1"/>
      </w:pPr>
      <w:r w:rsidRPr="009B62FB">
        <w:t>7.</w:t>
      </w:r>
      <w:r w:rsidRPr="009B62FB">
        <w:tab/>
        <w:t>REGISTRAČNÍ ČÍSLO(A)</w:t>
      </w:r>
    </w:p>
    <w:p w14:paraId="082F292C" w14:textId="77777777" w:rsidR="00E968C4" w:rsidRPr="009B62FB" w:rsidRDefault="00E968C4" w:rsidP="009B62FB">
      <w:pPr>
        <w:rPr>
          <w:szCs w:val="22"/>
        </w:rPr>
      </w:pPr>
    </w:p>
    <w:p w14:paraId="651FBFFE" w14:textId="119E7D07" w:rsidR="00E968C4" w:rsidRPr="009B62FB" w:rsidRDefault="00E968C4" w:rsidP="009B62FB">
      <w:pPr>
        <w:rPr>
          <w:szCs w:val="22"/>
        </w:rPr>
      </w:pPr>
      <w:r w:rsidRPr="009B62FB">
        <w:rPr>
          <w:szCs w:val="22"/>
        </w:rPr>
        <w:t>97/072/91-S/C</w:t>
      </w:r>
    </w:p>
    <w:p w14:paraId="14C310ED" w14:textId="5B325561" w:rsidR="00C114FF" w:rsidRPr="009B62FB" w:rsidRDefault="00C114FF" w:rsidP="009B62FB">
      <w:pPr>
        <w:tabs>
          <w:tab w:val="clear" w:pos="567"/>
        </w:tabs>
        <w:spacing w:line="240" w:lineRule="auto"/>
        <w:rPr>
          <w:szCs w:val="22"/>
        </w:rPr>
      </w:pPr>
    </w:p>
    <w:p w14:paraId="35025AA2" w14:textId="77777777" w:rsidR="00E968C4" w:rsidRPr="009B62FB" w:rsidRDefault="00E968C4" w:rsidP="009B62FB">
      <w:pPr>
        <w:tabs>
          <w:tab w:val="clear" w:pos="567"/>
        </w:tabs>
        <w:spacing w:line="240" w:lineRule="auto"/>
        <w:rPr>
          <w:szCs w:val="22"/>
        </w:rPr>
      </w:pPr>
    </w:p>
    <w:p w14:paraId="14C310EE" w14:textId="77777777" w:rsidR="00C114FF" w:rsidRPr="009B62FB" w:rsidRDefault="006C6ABC" w:rsidP="009B62FB">
      <w:pPr>
        <w:pStyle w:val="Style1"/>
      </w:pPr>
      <w:r w:rsidRPr="009B62FB">
        <w:t>8.</w:t>
      </w:r>
      <w:r w:rsidRPr="009B62FB">
        <w:tab/>
        <w:t>DATUM PRVNÍ REGISTRACE</w:t>
      </w:r>
    </w:p>
    <w:p w14:paraId="14C310EF" w14:textId="77777777" w:rsidR="00C114FF" w:rsidRPr="009B62FB" w:rsidRDefault="00C114FF" w:rsidP="009B62FB">
      <w:pPr>
        <w:tabs>
          <w:tab w:val="clear" w:pos="567"/>
        </w:tabs>
        <w:spacing w:line="240" w:lineRule="auto"/>
        <w:rPr>
          <w:szCs w:val="22"/>
        </w:rPr>
      </w:pPr>
    </w:p>
    <w:p w14:paraId="14C310F2" w14:textId="4A572072" w:rsidR="00D65777" w:rsidRPr="009B62FB" w:rsidRDefault="006C6ABC" w:rsidP="009B62FB">
      <w:pPr>
        <w:tabs>
          <w:tab w:val="clear" w:pos="567"/>
        </w:tabs>
        <w:spacing w:line="240" w:lineRule="auto"/>
        <w:rPr>
          <w:szCs w:val="22"/>
        </w:rPr>
      </w:pPr>
      <w:r w:rsidRPr="009B62FB">
        <w:t>Datum první registrace:</w:t>
      </w:r>
      <w:r w:rsidR="00EC0A72" w:rsidRPr="009B62FB">
        <w:t xml:space="preserve"> </w:t>
      </w:r>
      <w:r w:rsidR="00E968C4" w:rsidRPr="009B62FB">
        <w:t>1991</w:t>
      </w:r>
    </w:p>
    <w:p w14:paraId="14C310F3" w14:textId="208751ED" w:rsidR="00D65777" w:rsidRPr="009B62FB" w:rsidRDefault="00D65777" w:rsidP="009B62FB">
      <w:pPr>
        <w:tabs>
          <w:tab w:val="clear" w:pos="567"/>
        </w:tabs>
        <w:spacing w:line="240" w:lineRule="auto"/>
        <w:rPr>
          <w:szCs w:val="22"/>
        </w:rPr>
      </w:pPr>
    </w:p>
    <w:p w14:paraId="025EB031" w14:textId="77777777" w:rsidR="00D55C5B" w:rsidRPr="009B62FB" w:rsidRDefault="00D55C5B" w:rsidP="009B62FB">
      <w:pPr>
        <w:tabs>
          <w:tab w:val="clear" w:pos="567"/>
        </w:tabs>
        <w:spacing w:line="240" w:lineRule="auto"/>
        <w:rPr>
          <w:szCs w:val="22"/>
        </w:rPr>
      </w:pPr>
    </w:p>
    <w:p w14:paraId="14C310F4" w14:textId="77777777" w:rsidR="00C114FF" w:rsidRPr="009B62FB" w:rsidRDefault="006C6ABC" w:rsidP="009B62FB">
      <w:pPr>
        <w:pStyle w:val="Style1"/>
      </w:pPr>
      <w:r w:rsidRPr="009B62FB">
        <w:t>9.</w:t>
      </w:r>
      <w:r w:rsidRPr="009B62FB">
        <w:tab/>
        <w:t>DATUM POSLEDNÍ AKTUALIZACE SOUHRNU ÚDAJŮ O PŘÍPRAVKU</w:t>
      </w:r>
    </w:p>
    <w:p w14:paraId="707C7FDA" w14:textId="77777777" w:rsidR="007B21C2" w:rsidRPr="009B62FB" w:rsidRDefault="007B21C2" w:rsidP="009B62FB">
      <w:pPr>
        <w:tabs>
          <w:tab w:val="clear" w:pos="567"/>
        </w:tabs>
        <w:spacing w:line="240" w:lineRule="auto"/>
        <w:rPr>
          <w:szCs w:val="22"/>
        </w:rPr>
      </w:pPr>
    </w:p>
    <w:p w14:paraId="14C310F9" w14:textId="2956580C" w:rsidR="00C114FF" w:rsidRPr="009B62FB" w:rsidRDefault="007B21C2" w:rsidP="009B62FB">
      <w:pPr>
        <w:tabs>
          <w:tab w:val="clear" w:pos="567"/>
        </w:tabs>
        <w:spacing w:line="240" w:lineRule="auto"/>
        <w:rPr>
          <w:szCs w:val="22"/>
        </w:rPr>
      </w:pPr>
      <w:r w:rsidRPr="009B62FB">
        <w:rPr>
          <w:szCs w:val="22"/>
        </w:rPr>
        <w:t>04/2024</w:t>
      </w:r>
    </w:p>
    <w:p w14:paraId="14C31101" w14:textId="0599F908" w:rsidR="00B113B9" w:rsidRPr="009B62FB" w:rsidRDefault="00B113B9" w:rsidP="009B62FB">
      <w:pPr>
        <w:tabs>
          <w:tab w:val="clear" w:pos="567"/>
        </w:tabs>
        <w:spacing w:line="240" w:lineRule="auto"/>
        <w:rPr>
          <w:szCs w:val="22"/>
        </w:rPr>
      </w:pPr>
    </w:p>
    <w:p w14:paraId="7EF36858" w14:textId="77777777" w:rsidR="00D55C5B" w:rsidRPr="009B62FB" w:rsidRDefault="00D55C5B" w:rsidP="009B62FB">
      <w:pPr>
        <w:tabs>
          <w:tab w:val="clear" w:pos="567"/>
        </w:tabs>
        <w:spacing w:line="240" w:lineRule="auto"/>
        <w:rPr>
          <w:szCs w:val="22"/>
        </w:rPr>
      </w:pPr>
    </w:p>
    <w:p w14:paraId="14C31102" w14:textId="77777777" w:rsidR="00C114FF" w:rsidRPr="009B62FB" w:rsidRDefault="006C6ABC" w:rsidP="009B62FB">
      <w:pPr>
        <w:pStyle w:val="Style1"/>
      </w:pPr>
      <w:r w:rsidRPr="009B62FB">
        <w:t>10.</w:t>
      </w:r>
      <w:r w:rsidRPr="009B62FB">
        <w:tab/>
        <w:t>KLASIFIKACE VETERINÁRNÍCH LÉČIVÝCH PŘÍPRAVKŮ</w:t>
      </w:r>
    </w:p>
    <w:p w14:paraId="14C31103" w14:textId="77777777" w:rsidR="0078538F" w:rsidRPr="009B62FB" w:rsidRDefault="0078538F" w:rsidP="009B62FB">
      <w:pPr>
        <w:tabs>
          <w:tab w:val="clear" w:pos="567"/>
        </w:tabs>
        <w:spacing w:line="240" w:lineRule="auto"/>
        <w:rPr>
          <w:szCs w:val="22"/>
        </w:rPr>
      </w:pPr>
    </w:p>
    <w:p w14:paraId="14C31107" w14:textId="4C3893E9" w:rsidR="0078538F" w:rsidRPr="009B62FB" w:rsidRDefault="006C6ABC" w:rsidP="009B62FB">
      <w:pPr>
        <w:numPr>
          <w:ilvl w:val="12"/>
          <w:numId w:val="0"/>
        </w:numPr>
      </w:pPr>
      <w:bookmarkStart w:id="5" w:name="_Hlk121724822"/>
      <w:r w:rsidRPr="009B62FB">
        <w:t>Veterinární léčivý přípravek je vydáván pouze na předpis.</w:t>
      </w:r>
    </w:p>
    <w:p w14:paraId="318F2604" w14:textId="77777777" w:rsidR="002C450F" w:rsidRPr="009B62FB" w:rsidRDefault="002C450F" w:rsidP="009B62FB">
      <w:pPr>
        <w:numPr>
          <w:ilvl w:val="12"/>
          <w:numId w:val="0"/>
        </w:numPr>
        <w:rPr>
          <w:szCs w:val="22"/>
        </w:rPr>
      </w:pPr>
    </w:p>
    <w:p w14:paraId="14C31108" w14:textId="1E910E1C" w:rsidR="0078538F" w:rsidRPr="009B62FB" w:rsidRDefault="006C6ABC" w:rsidP="009B62FB">
      <w:pPr>
        <w:rPr>
          <w:i/>
          <w:szCs w:val="22"/>
        </w:rPr>
      </w:pPr>
      <w:bookmarkStart w:id="6" w:name="_Hlk73467306"/>
      <w:r w:rsidRPr="009B62FB">
        <w:t>Podrobné informace o tomto veterinárním léčivém přípravku jsou k dispozici v databázi přípravků Unie</w:t>
      </w:r>
      <w:r w:rsidR="00CC1EF7" w:rsidRPr="009B62FB">
        <w:t xml:space="preserve"> </w:t>
      </w:r>
      <w:r w:rsidR="00CC1EF7" w:rsidRPr="009B62FB">
        <w:rPr>
          <w:szCs w:val="22"/>
        </w:rPr>
        <w:t>(</w:t>
      </w:r>
      <w:hyperlink r:id="rId8" w:history="1">
        <w:r w:rsidR="00CC1EF7" w:rsidRPr="009B62FB">
          <w:rPr>
            <w:rStyle w:val="Hypertextovodkaz"/>
            <w:color w:val="auto"/>
            <w:szCs w:val="22"/>
          </w:rPr>
          <w:t>https://medicines.health.europa.eu/veterinary</w:t>
        </w:r>
      </w:hyperlink>
      <w:r w:rsidR="00CC1EF7" w:rsidRPr="009B62FB">
        <w:rPr>
          <w:szCs w:val="22"/>
        </w:rPr>
        <w:t>)</w:t>
      </w:r>
      <w:r w:rsidR="00CC1EF7" w:rsidRPr="009B62FB">
        <w:rPr>
          <w:i/>
          <w:szCs w:val="22"/>
        </w:rPr>
        <w:t>.</w:t>
      </w:r>
    </w:p>
    <w:p w14:paraId="3DD7119A" w14:textId="09F3CA15" w:rsidR="007D27AB" w:rsidRPr="009B62FB" w:rsidRDefault="007D27AB" w:rsidP="009B62FB">
      <w:pPr>
        <w:rPr>
          <w:i/>
          <w:szCs w:val="22"/>
        </w:rPr>
      </w:pPr>
    </w:p>
    <w:p w14:paraId="470140CE" w14:textId="77777777" w:rsidR="007D27AB" w:rsidRPr="009B62FB" w:rsidRDefault="007D27AB" w:rsidP="009B62FB">
      <w:pPr>
        <w:rPr>
          <w:rStyle w:val="markedcontent"/>
          <w:szCs w:val="22"/>
        </w:rPr>
      </w:pPr>
      <w:bookmarkStart w:id="7" w:name="_Hlk132285734"/>
      <w:r w:rsidRPr="009B62FB">
        <w:rPr>
          <w:rStyle w:val="markedcontent"/>
          <w:szCs w:val="22"/>
        </w:rPr>
        <w:t>Podrobné informace o tomto veterinárním léčivém přípravku naleznete také v národní databázi (</w:t>
      </w:r>
      <w:hyperlink r:id="rId9" w:history="1">
        <w:r w:rsidRPr="009B62FB">
          <w:rPr>
            <w:rStyle w:val="Hypertextovodkaz"/>
            <w:color w:val="auto"/>
            <w:szCs w:val="22"/>
          </w:rPr>
          <w:t>https://www.uskvbl.cz</w:t>
        </w:r>
      </w:hyperlink>
      <w:r w:rsidRPr="009B62FB">
        <w:rPr>
          <w:rStyle w:val="markedcontent"/>
          <w:szCs w:val="22"/>
        </w:rPr>
        <w:t xml:space="preserve">). </w:t>
      </w:r>
      <w:bookmarkEnd w:id="5"/>
      <w:bookmarkEnd w:id="6"/>
      <w:bookmarkEnd w:id="7"/>
    </w:p>
    <w:sectPr w:rsidR="007D27AB" w:rsidRPr="009B62FB" w:rsidSect="009B62FB">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391B1" w14:textId="77777777" w:rsidR="00DC2A41" w:rsidRDefault="00DC2A41">
      <w:pPr>
        <w:spacing w:line="240" w:lineRule="auto"/>
      </w:pPr>
      <w:r>
        <w:separator/>
      </w:r>
    </w:p>
  </w:endnote>
  <w:endnote w:type="continuationSeparator" w:id="0">
    <w:p w14:paraId="474E0A98" w14:textId="77777777" w:rsidR="00DC2A41" w:rsidRDefault="00DC2A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EE"/>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9B62FB">
      <w:rPr>
        <w:rFonts w:ascii="Times New Roman" w:hAnsi="Times New Roman"/>
        <w:noProof/>
      </w:rPr>
      <w:t>2</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F70CD" w14:textId="77777777" w:rsidR="00DC2A41" w:rsidRDefault="00DC2A41">
      <w:pPr>
        <w:spacing w:line="240" w:lineRule="auto"/>
      </w:pPr>
      <w:r>
        <w:separator/>
      </w:r>
    </w:p>
  </w:footnote>
  <w:footnote w:type="continuationSeparator" w:id="0">
    <w:p w14:paraId="3D2A2C3A" w14:textId="77777777" w:rsidR="00DC2A41" w:rsidRDefault="00DC2A4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0B32871"/>
    <w:multiLevelType w:val="hybridMultilevel"/>
    <w:tmpl w:val="834C9C1E"/>
    <w:lvl w:ilvl="0" w:tplc="0A222720">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4"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9"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20"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5"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A3F65D8"/>
    <w:multiLevelType w:val="multilevel"/>
    <w:tmpl w:val="A02E932A"/>
    <w:numStyleLink w:val="BulletsAgency"/>
  </w:abstractNum>
  <w:abstractNum w:abstractNumId="29"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2"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4B7433"/>
    <w:multiLevelType w:val="hybridMultilevel"/>
    <w:tmpl w:val="0406B432"/>
    <w:lvl w:ilvl="0" w:tplc="F7FAF218">
      <w:start w:val="1"/>
      <w:numFmt w:val="upp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8"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9" w15:restartNumberingAfterBreak="0">
    <w:nsid w:val="6EC431FD"/>
    <w:multiLevelType w:val="hybridMultilevel"/>
    <w:tmpl w:val="37B6A060"/>
    <w:lvl w:ilvl="0" w:tplc="7CE003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41"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42"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3"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8"/>
  </w:num>
  <w:num w:numId="4">
    <w:abstractNumId w:val="37"/>
  </w:num>
  <w:num w:numId="5">
    <w:abstractNumId w:val="15"/>
  </w:num>
  <w:num w:numId="6">
    <w:abstractNumId w:val="27"/>
  </w:num>
  <w:num w:numId="7">
    <w:abstractNumId w:val="22"/>
  </w:num>
  <w:num w:numId="8">
    <w:abstractNumId w:val="10"/>
  </w:num>
  <w:num w:numId="9">
    <w:abstractNumId w:val="34"/>
  </w:num>
  <w:num w:numId="10">
    <w:abstractNumId w:val="35"/>
  </w:num>
  <w:num w:numId="11">
    <w:abstractNumId w:val="17"/>
  </w:num>
  <w:num w:numId="12">
    <w:abstractNumId w:val="16"/>
  </w:num>
  <w:num w:numId="13">
    <w:abstractNumId w:val="3"/>
  </w:num>
  <w:num w:numId="14">
    <w:abstractNumId w:val="33"/>
  </w:num>
  <w:num w:numId="15">
    <w:abstractNumId w:val="21"/>
  </w:num>
  <w:num w:numId="16">
    <w:abstractNumId w:val="40"/>
  </w:num>
  <w:num w:numId="17">
    <w:abstractNumId w:val="11"/>
  </w:num>
  <w:num w:numId="18">
    <w:abstractNumId w:val="1"/>
  </w:num>
  <w:num w:numId="19">
    <w:abstractNumId w:val="18"/>
  </w:num>
  <w:num w:numId="20">
    <w:abstractNumId w:val="4"/>
  </w:num>
  <w:num w:numId="21">
    <w:abstractNumId w:val="8"/>
  </w:num>
  <w:num w:numId="22">
    <w:abstractNumId w:val="30"/>
  </w:num>
  <w:num w:numId="23">
    <w:abstractNumId w:val="41"/>
  </w:num>
  <w:num w:numId="24">
    <w:abstractNumId w:val="24"/>
  </w:num>
  <w:num w:numId="25">
    <w:abstractNumId w:val="12"/>
  </w:num>
  <w:num w:numId="26">
    <w:abstractNumId w:val="14"/>
  </w:num>
  <w:num w:numId="27">
    <w:abstractNumId w:val="6"/>
  </w:num>
  <w:num w:numId="28">
    <w:abstractNumId w:val="7"/>
  </w:num>
  <w:num w:numId="29">
    <w:abstractNumId w:val="25"/>
  </w:num>
  <w:num w:numId="30">
    <w:abstractNumId w:val="43"/>
  </w:num>
  <w:num w:numId="31">
    <w:abstractNumId w:val="44"/>
  </w:num>
  <w:num w:numId="32">
    <w:abstractNumId w:val="23"/>
  </w:num>
  <w:num w:numId="33">
    <w:abstractNumId w:val="32"/>
  </w:num>
  <w:num w:numId="34">
    <w:abstractNumId w:val="26"/>
  </w:num>
  <w:num w:numId="35">
    <w:abstractNumId w:val="2"/>
  </w:num>
  <w:num w:numId="36">
    <w:abstractNumId w:val="5"/>
  </w:num>
  <w:num w:numId="37">
    <w:abstractNumId w:val="28"/>
  </w:num>
  <w:num w:numId="38">
    <w:abstractNumId w:val="19"/>
  </w:num>
  <w:num w:numId="39">
    <w:abstractNumId w:val="42"/>
  </w:num>
  <w:num w:numId="40">
    <w:abstractNumId w:val="31"/>
  </w:num>
  <w:num w:numId="41">
    <w:abstractNumId w:val="9"/>
  </w:num>
  <w:num w:numId="42">
    <w:abstractNumId w:val="29"/>
  </w:num>
  <w:num w:numId="43">
    <w:abstractNumId w:val="20"/>
  </w:num>
  <w:num w:numId="44">
    <w:abstractNumId w:val="39"/>
  </w:num>
  <w:num w:numId="45">
    <w:abstractNumId w:val="36"/>
  </w:num>
  <w:num w:numId="46">
    <w:abstractNumId w:val="31"/>
    <w:lvlOverride w:ilvl="0">
      <w:startOverride w:val="1"/>
    </w:lvlOverride>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10CE8"/>
    <w:rsid w:val="00017F20"/>
    <w:rsid w:val="00021B82"/>
    <w:rsid w:val="00024777"/>
    <w:rsid w:val="00024E21"/>
    <w:rsid w:val="00027100"/>
    <w:rsid w:val="000349AA"/>
    <w:rsid w:val="00036C50"/>
    <w:rsid w:val="000377EA"/>
    <w:rsid w:val="000434DC"/>
    <w:rsid w:val="00052D2B"/>
    <w:rsid w:val="00054F55"/>
    <w:rsid w:val="00062945"/>
    <w:rsid w:val="00063946"/>
    <w:rsid w:val="00080453"/>
    <w:rsid w:val="00081694"/>
    <w:rsid w:val="0008169A"/>
    <w:rsid w:val="00082200"/>
    <w:rsid w:val="000838BB"/>
    <w:rsid w:val="000860CE"/>
    <w:rsid w:val="00092A37"/>
    <w:rsid w:val="000938A6"/>
    <w:rsid w:val="00096E78"/>
    <w:rsid w:val="00097C1E"/>
    <w:rsid w:val="000A0956"/>
    <w:rsid w:val="000A1DF5"/>
    <w:rsid w:val="000A3303"/>
    <w:rsid w:val="000A6141"/>
    <w:rsid w:val="000B566C"/>
    <w:rsid w:val="000B7873"/>
    <w:rsid w:val="000C02A1"/>
    <w:rsid w:val="000C1D4F"/>
    <w:rsid w:val="000C3ED7"/>
    <w:rsid w:val="000C55E6"/>
    <w:rsid w:val="000C687A"/>
    <w:rsid w:val="000D67D0"/>
    <w:rsid w:val="000D7450"/>
    <w:rsid w:val="000E115E"/>
    <w:rsid w:val="000E195C"/>
    <w:rsid w:val="000E3602"/>
    <w:rsid w:val="000E705A"/>
    <w:rsid w:val="000F38DA"/>
    <w:rsid w:val="000F4FD4"/>
    <w:rsid w:val="000F5822"/>
    <w:rsid w:val="000F796B"/>
    <w:rsid w:val="0010031E"/>
    <w:rsid w:val="001012EB"/>
    <w:rsid w:val="00104DD1"/>
    <w:rsid w:val="001078D1"/>
    <w:rsid w:val="00111185"/>
    <w:rsid w:val="00115782"/>
    <w:rsid w:val="00115BD5"/>
    <w:rsid w:val="00116067"/>
    <w:rsid w:val="00120F52"/>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5A09"/>
    <w:rsid w:val="001674D3"/>
    <w:rsid w:val="00174721"/>
    <w:rsid w:val="00175264"/>
    <w:rsid w:val="001803D2"/>
    <w:rsid w:val="0018228B"/>
    <w:rsid w:val="00185B50"/>
    <w:rsid w:val="0018625C"/>
    <w:rsid w:val="0018657D"/>
    <w:rsid w:val="00187A5D"/>
    <w:rsid w:val="00187DE7"/>
    <w:rsid w:val="00187E62"/>
    <w:rsid w:val="00191640"/>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13D9"/>
    <w:rsid w:val="001C5288"/>
    <w:rsid w:val="001C5B03"/>
    <w:rsid w:val="001C5BB5"/>
    <w:rsid w:val="001C7BCC"/>
    <w:rsid w:val="001D4CE4"/>
    <w:rsid w:val="001D6D96"/>
    <w:rsid w:val="001E4C8B"/>
    <w:rsid w:val="001E5621"/>
    <w:rsid w:val="001F3239"/>
    <w:rsid w:val="001F3EF9"/>
    <w:rsid w:val="001F4547"/>
    <w:rsid w:val="001F627D"/>
    <w:rsid w:val="001F6622"/>
    <w:rsid w:val="001F6F38"/>
    <w:rsid w:val="00200EFE"/>
    <w:rsid w:val="0020126C"/>
    <w:rsid w:val="00202A85"/>
    <w:rsid w:val="00202B65"/>
    <w:rsid w:val="00202EA3"/>
    <w:rsid w:val="002100FC"/>
    <w:rsid w:val="00213890"/>
    <w:rsid w:val="00214AB2"/>
    <w:rsid w:val="00214E52"/>
    <w:rsid w:val="00217431"/>
    <w:rsid w:val="002207C0"/>
    <w:rsid w:val="0022380D"/>
    <w:rsid w:val="00224B93"/>
    <w:rsid w:val="002329C3"/>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90805"/>
    <w:rsid w:val="00290C2A"/>
    <w:rsid w:val="00293084"/>
    <w:rsid w:val="002931DD"/>
    <w:rsid w:val="00295140"/>
    <w:rsid w:val="002A0E7C"/>
    <w:rsid w:val="002A0EED"/>
    <w:rsid w:val="002A21ED"/>
    <w:rsid w:val="002A2EB9"/>
    <w:rsid w:val="002A3F88"/>
    <w:rsid w:val="002A710D"/>
    <w:rsid w:val="002B0F11"/>
    <w:rsid w:val="002B2E17"/>
    <w:rsid w:val="002B6560"/>
    <w:rsid w:val="002C1F27"/>
    <w:rsid w:val="002C3FA8"/>
    <w:rsid w:val="002C450F"/>
    <w:rsid w:val="002C55FF"/>
    <w:rsid w:val="002C592B"/>
    <w:rsid w:val="002C7B14"/>
    <w:rsid w:val="002D300D"/>
    <w:rsid w:val="002E0CD4"/>
    <w:rsid w:val="002E3A90"/>
    <w:rsid w:val="002E4142"/>
    <w:rsid w:val="002E46CC"/>
    <w:rsid w:val="002E4F48"/>
    <w:rsid w:val="002E57C8"/>
    <w:rsid w:val="002E62CB"/>
    <w:rsid w:val="002E6DF1"/>
    <w:rsid w:val="002E6ED9"/>
    <w:rsid w:val="002F0957"/>
    <w:rsid w:val="002F3A7F"/>
    <w:rsid w:val="002F41AD"/>
    <w:rsid w:val="002F43F6"/>
    <w:rsid w:val="002F5B43"/>
    <w:rsid w:val="002F6651"/>
    <w:rsid w:val="002F6DAA"/>
    <w:rsid w:val="002F6EE3"/>
    <w:rsid w:val="002F71D5"/>
    <w:rsid w:val="00300583"/>
    <w:rsid w:val="003020BB"/>
    <w:rsid w:val="00302266"/>
    <w:rsid w:val="0030237C"/>
    <w:rsid w:val="00304393"/>
    <w:rsid w:val="00305AB2"/>
    <w:rsid w:val="0031032B"/>
    <w:rsid w:val="00316E87"/>
    <w:rsid w:val="00321502"/>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5C0D"/>
    <w:rsid w:val="00366F56"/>
    <w:rsid w:val="003737C8"/>
    <w:rsid w:val="00373828"/>
    <w:rsid w:val="0037589D"/>
    <w:rsid w:val="00376BB1"/>
    <w:rsid w:val="00377E23"/>
    <w:rsid w:val="00380765"/>
    <w:rsid w:val="0038103E"/>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A31B9"/>
    <w:rsid w:val="003A3E2F"/>
    <w:rsid w:val="003A6CCB"/>
    <w:rsid w:val="003A7608"/>
    <w:rsid w:val="003B0F22"/>
    <w:rsid w:val="003B10C4"/>
    <w:rsid w:val="003B48EB"/>
    <w:rsid w:val="003B5973"/>
    <w:rsid w:val="003B5CD1"/>
    <w:rsid w:val="003C14DD"/>
    <w:rsid w:val="003C33FF"/>
    <w:rsid w:val="003C3E0E"/>
    <w:rsid w:val="003C426E"/>
    <w:rsid w:val="003C64A5"/>
    <w:rsid w:val="003C72C6"/>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677F"/>
    <w:rsid w:val="003F7394"/>
    <w:rsid w:val="004008F6"/>
    <w:rsid w:val="00407C22"/>
    <w:rsid w:val="00412BBE"/>
    <w:rsid w:val="00414B20"/>
    <w:rsid w:val="0041628A"/>
    <w:rsid w:val="00417DE3"/>
    <w:rsid w:val="00420850"/>
    <w:rsid w:val="0042356A"/>
    <w:rsid w:val="00423968"/>
    <w:rsid w:val="00427054"/>
    <w:rsid w:val="004304B1"/>
    <w:rsid w:val="00432DA8"/>
    <w:rsid w:val="0043320A"/>
    <w:rsid w:val="004332E3"/>
    <w:rsid w:val="00433C8D"/>
    <w:rsid w:val="0043586F"/>
    <w:rsid w:val="004371A3"/>
    <w:rsid w:val="0044626C"/>
    <w:rsid w:val="00446960"/>
    <w:rsid w:val="00446F37"/>
    <w:rsid w:val="004518A6"/>
    <w:rsid w:val="00453E1D"/>
    <w:rsid w:val="00454589"/>
    <w:rsid w:val="00456ED0"/>
    <w:rsid w:val="00457550"/>
    <w:rsid w:val="00457B74"/>
    <w:rsid w:val="00461B2A"/>
    <w:rsid w:val="004620A4"/>
    <w:rsid w:val="00474191"/>
    <w:rsid w:val="00474C50"/>
    <w:rsid w:val="004768DB"/>
    <w:rsid w:val="004771F9"/>
    <w:rsid w:val="00486006"/>
    <w:rsid w:val="00486BAD"/>
    <w:rsid w:val="00486BBE"/>
    <w:rsid w:val="00487123"/>
    <w:rsid w:val="00495A75"/>
    <w:rsid w:val="00495CAE"/>
    <w:rsid w:val="004A005B"/>
    <w:rsid w:val="004A1BD5"/>
    <w:rsid w:val="004A3D57"/>
    <w:rsid w:val="004A473C"/>
    <w:rsid w:val="004A61E1"/>
    <w:rsid w:val="004B1A75"/>
    <w:rsid w:val="004B2344"/>
    <w:rsid w:val="004B5797"/>
    <w:rsid w:val="004B5DDC"/>
    <w:rsid w:val="004B66C0"/>
    <w:rsid w:val="004B798E"/>
    <w:rsid w:val="004C0568"/>
    <w:rsid w:val="004C2ABD"/>
    <w:rsid w:val="004C5F62"/>
    <w:rsid w:val="004C6678"/>
    <w:rsid w:val="004D01F8"/>
    <w:rsid w:val="004D2601"/>
    <w:rsid w:val="004D3E58"/>
    <w:rsid w:val="004D6746"/>
    <w:rsid w:val="004D767B"/>
    <w:rsid w:val="004E0274"/>
    <w:rsid w:val="004E0711"/>
    <w:rsid w:val="004E0F32"/>
    <w:rsid w:val="004E185A"/>
    <w:rsid w:val="004E23A1"/>
    <w:rsid w:val="004E493C"/>
    <w:rsid w:val="004E623E"/>
    <w:rsid w:val="004E7092"/>
    <w:rsid w:val="004E7ECE"/>
    <w:rsid w:val="004F4DB1"/>
    <w:rsid w:val="004F6F64"/>
    <w:rsid w:val="005004EC"/>
    <w:rsid w:val="00506AAE"/>
    <w:rsid w:val="00507FCE"/>
    <w:rsid w:val="00513B81"/>
    <w:rsid w:val="00515FDE"/>
    <w:rsid w:val="00516EE0"/>
    <w:rsid w:val="00517756"/>
    <w:rsid w:val="005202C6"/>
    <w:rsid w:val="00523C53"/>
    <w:rsid w:val="005272F4"/>
    <w:rsid w:val="00527B8F"/>
    <w:rsid w:val="00527F41"/>
    <w:rsid w:val="00536031"/>
    <w:rsid w:val="0054134B"/>
    <w:rsid w:val="00542012"/>
    <w:rsid w:val="00543C44"/>
    <w:rsid w:val="00543DF5"/>
    <w:rsid w:val="00545A61"/>
    <w:rsid w:val="00551871"/>
    <w:rsid w:val="0055260D"/>
    <w:rsid w:val="00555422"/>
    <w:rsid w:val="00555810"/>
    <w:rsid w:val="00555CB0"/>
    <w:rsid w:val="00555DBE"/>
    <w:rsid w:val="00562715"/>
    <w:rsid w:val="00562DCA"/>
    <w:rsid w:val="0056568F"/>
    <w:rsid w:val="0057436C"/>
    <w:rsid w:val="00575DE3"/>
    <w:rsid w:val="00582578"/>
    <w:rsid w:val="00585343"/>
    <w:rsid w:val="0058621D"/>
    <w:rsid w:val="00587D9C"/>
    <w:rsid w:val="005A4CBE"/>
    <w:rsid w:val="005B04A8"/>
    <w:rsid w:val="005B0F1F"/>
    <w:rsid w:val="005B1FD0"/>
    <w:rsid w:val="005B28AD"/>
    <w:rsid w:val="005B328D"/>
    <w:rsid w:val="005B3503"/>
    <w:rsid w:val="005B3EE7"/>
    <w:rsid w:val="005B4DCD"/>
    <w:rsid w:val="005B4FAD"/>
    <w:rsid w:val="005B5301"/>
    <w:rsid w:val="005C276A"/>
    <w:rsid w:val="005C6C67"/>
    <w:rsid w:val="005D380C"/>
    <w:rsid w:val="005D3F79"/>
    <w:rsid w:val="005D6E04"/>
    <w:rsid w:val="005D7A12"/>
    <w:rsid w:val="005E53EE"/>
    <w:rsid w:val="005E66FC"/>
    <w:rsid w:val="005F0542"/>
    <w:rsid w:val="005F0F72"/>
    <w:rsid w:val="005F1C1F"/>
    <w:rsid w:val="005F346D"/>
    <w:rsid w:val="005F38FB"/>
    <w:rsid w:val="00602D3B"/>
    <w:rsid w:val="0060326F"/>
    <w:rsid w:val="00605ED0"/>
    <w:rsid w:val="00606EA1"/>
    <w:rsid w:val="006128F0"/>
    <w:rsid w:val="0061726B"/>
    <w:rsid w:val="00617B81"/>
    <w:rsid w:val="0062387A"/>
    <w:rsid w:val="006326D8"/>
    <w:rsid w:val="0063377D"/>
    <w:rsid w:val="006344BE"/>
    <w:rsid w:val="00634A66"/>
    <w:rsid w:val="00640336"/>
    <w:rsid w:val="00640FC9"/>
    <w:rsid w:val="006414D3"/>
    <w:rsid w:val="0064285A"/>
    <w:rsid w:val="006432F2"/>
    <w:rsid w:val="00650CA3"/>
    <w:rsid w:val="0065234F"/>
    <w:rsid w:val="0065320F"/>
    <w:rsid w:val="00653D64"/>
    <w:rsid w:val="00654E13"/>
    <w:rsid w:val="00665E8B"/>
    <w:rsid w:val="00666450"/>
    <w:rsid w:val="00667489"/>
    <w:rsid w:val="00670D44"/>
    <w:rsid w:val="00671F8D"/>
    <w:rsid w:val="006723F6"/>
    <w:rsid w:val="00673F4C"/>
    <w:rsid w:val="00676AFC"/>
    <w:rsid w:val="006807CD"/>
    <w:rsid w:val="006825BD"/>
    <w:rsid w:val="00682D43"/>
    <w:rsid w:val="00685BAF"/>
    <w:rsid w:val="00690463"/>
    <w:rsid w:val="00693DE5"/>
    <w:rsid w:val="006A0D03"/>
    <w:rsid w:val="006A2436"/>
    <w:rsid w:val="006A3176"/>
    <w:rsid w:val="006A41E9"/>
    <w:rsid w:val="006A5017"/>
    <w:rsid w:val="006A7C98"/>
    <w:rsid w:val="006B12CB"/>
    <w:rsid w:val="006B2030"/>
    <w:rsid w:val="006B30BD"/>
    <w:rsid w:val="006B5916"/>
    <w:rsid w:val="006C4775"/>
    <w:rsid w:val="006C4F4A"/>
    <w:rsid w:val="006C5E80"/>
    <w:rsid w:val="006C6ABC"/>
    <w:rsid w:val="006C7CEE"/>
    <w:rsid w:val="006D075E"/>
    <w:rsid w:val="006D09DC"/>
    <w:rsid w:val="006D3509"/>
    <w:rsid w:val="006D7C6E"/>
    <w:rsid w:val="006E0637"/>
    <w:rsid w:val="006E15A2"/>
    <w:rsid w:val="006E2F95"/>
    <w:rsid w:val="006F148B"/>
    <w:rsid w:val="006F4F61"/>
    <w:rsid w:val="007027C7"/>
    <w:rsid w:val="00705EAF"/>
    <w:rsid w:val="0070773E"/>
    <w:rsid w:val="007101CC"/>
    <w:rsid w:val="00711081"/>
    <w:rsid w:val="00715C55"/>
    <w:rsid w:val="00724E3B"/>
    <w:rsid w:val="00725EEA"/>
    <w:rsid w:val="007264EA"/>
    <w:rsid w:val="007276B6"/>
    <w:rsid w:val="00730908"/>
    <w:rsid w:val="00730CE9"/>
    <w:rsid w:val="00731D0A"/>
    <w:rsid w:val="0073373D"/>
    <w:rsid w:val="00737A52"/>
    <w:rsid w:val="007439DB"/>
    <w:rsid w:val="007464DA"/>
    <w:rsid w:val="0075453C"/>
    <w:rsid w:val="007568D8"/>
    <w:rsid w:val="007616B4"/>
    <w:rsid w:val="00765316"/>
    <w:rsid w:val="00766C7B"/>
    <w:rsid w:val="007708C8"/>
    <w:rsid w:val="00776424"/>
    <w:rsid w:val="0077719D"/>
    <w:rsid w:val="00780DF0"/>
    <w:rsid w:val="007810B7"/>
    <w:rsid w:val="00782F0F"/>
    <w:rsid w:val="00782F83"/>
    <w:rsid w:val="0078538F"/>
    <w:rsid w:val="00787482"/>
    <w:rsid w:val="00787AD0"/>
    <w:rsid w:val="00791DE5"/>
    <w:rsid w:val="007A286D"/>
    <w:rsid w:val="007A314D"/>
    <w:rsid w:val="007A38DF"/>
    <w:rsid w:val="007B00E5"/>
    <w:rsid w:val="007B20CF"/>
    <w:rsid w:val="007B21C2"/>
    <w:rsid w:val="007B2499"/>
    <w:rsid w:val="007B3CF5"/>
    <w:rsid w:val="007B72E1"/>
    <w:rsid w:val="007B783A"/>
    <w:rsid w:val="007C1B95"/>
    <w:rsid w:val="007C3DF3"/>
    <w:rsid w:val="007C796D"/>
    <w:rsid w:val="007D27AB"/>
    <w:rsid w:val="007D73FB"/>
    <w:rsid w:val="007D7608"/>
    <w:rsid w:val="007E2F2D"/>
    <w:rsid w:val="007F1433"/>
    <w:rsid w:val="007F1491"/>
    <w:rsid w:val="007F16DD"/>
    <w:rsid w:val="007F2F03"/>
    <w:rsid w:val="007F42CE"/>
    <w:rsid w:val="00800FE0"/>
    <w:rsid w:val="0080514E"/>
    <w:rsid w:val="008066AD"/>
    <w:rsid w:val="00812CD8"/>
    <w:rsid w:val="00812FF3"/>
    <w:rsid w:val="008145D9"/>
    <w:rsid w:val="00814AF1"/>
    <w:rsid w:val="0081517F"/>
    <w:rsid w:val="00815370"/>
    <w:rsid w:val="0082153D"/>
    <w:rsid w:val="008255AA"/>
    <w:rsid w:val="00830FF3"/>
    <w:rsid w:val="008323F7"/>
    <w:rsid w:val="008334BF"/>
    <w:rsid w:val="0083510F"/>
    <w:rsid w:val="00836B8C"/>
    <w:rsid w:val="00840062"/>
    <w:rsid w:val="008410C5"/>
    <w:rsid w:val="00846C08"/>
    <w:rsid w:val="00850794"/>
    <w:rsid w:val="008530E7"/>
    <w:rsid w:val="00856BDB"/>
    <w:rsid w:val="00857675"/>
    <w:rsid w:val="00861F86"/>
    <w:rsid w:val="00865422"/>
    <w:rsid w:val="00865CEA"/>
    <w:rsid w:val="00867FD3"/>
    <w:rsid w:val="00872C48"/>
    <w:rsid w:val="00875EC3"/>
    <w:rsid w:val="008763E7"/>
    <w:rsid w:val="008808C5"/>
    <w:rsid w:val="00881A7C"/>
    <w:rsid w:val="00883C78"/>
    <w:rsid w:val="00883F30"/>
    <w:rsid w:val="0088440A"/>
    <w:rsid w:val="00885159"/>
    <w:rsid w:val="00885214"/>
    <w:rsid w:val="00887615"/>
    <w:rsid w:val="00890052"/>
    <w:rsid w:val="0089317C"/>
    <w:rsid w:val="008947AE"/>
    <w:rsid w:val="00894E3A"/>
    <w:rsid w:val="00895426"/>
    <w:rsid w:val="00895A2F"/>
    <w:rsid w:val="00896EBD"/>
    <w:rsid w:val="008A026F"/>
    <w:rsid w:val="008A0EB2"/>
    <w:rsid w:val="008A5665"/>
    <w:rsid w:val="008B24A8"/>
    <w:rsid w:val="008B25E4"/>
    <w:rsid w:val="008B3D78"/>
    <w:rsid w:val="008C261B"/>
    <w:rsid w:val="008C4FCA"/>
    <w:rsid w:val="008C5C9C"/>
    <w:rsid w:val="008C606F"/>
    <w:rsid w:val="008C7882"/>
    <w:rsid w:val="008D2261"/>
    <w:rsid w:val="008D4C28"/>
    <w:rsid w:val="008D577B"/>
    <w:rsid w:val="008D7A98"/>
    <w:rsid w:val="008E17C4"/>
    <w:rsid w:val="008E45C4"/>
    <w:rsid w:val="008E64B1"/>
    <w:rsid w:val="008E64FA"/>
    <w:rsid w:val="008E74ED"/>
    <w:rsid w:val="008E7ED6"/>
    <w:rsid w:val="008F4C42"/>
    <w:rsid w:val="008F4DEF"/>
    <w:rsid w:val="00903D0D"/>
    <w:rsid w:val="009048E1"/>
    <w:rsid w:val="0090598C"/>
    <w:rsid w:val="00905CAB"/>
    <w:rsid w:val="00906E14"/>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57251"/>
    <w:rsid w:val="0096057B"/>
    <w:rsid w:val="00961156"/>
    <w:rsid w:val="00964F03"/>
    <w:rsid w:val="00966F1F"/>
    <w:rsid w:val="00975676"/>
    <w:rsid w:val="00976467"/>
    <w:rsid w:val="00976D32"/>
    <w:rsid w:val="00976F9C"/>
    <w:rsid w:val="00981E02"/>
    <w:rsid w:val="009844F7"/>
    <w:rsid w:val="009938F7"/>
    <w:rsid w:val="009A05AA"/>
    <w:rsid w:val="009A2D5A"/>
    <w:rsid w:val="009A6509"/>
    <w:rsid w:val="009A6E2F"/>
    <w:rsid w:val="009B0101"/>
    <w:rsid w:val="009B2969"/>
    <w:rsid w:val="009B2C7E"/>
    <w:rsid w:val="009B62FB"/>
    <w:rsid w:val="009B6DBD"/>
    <w:rsid w:val="009C108A"/>
    <w:rsid w:val="009C2E47"/>
    <w:rsid w:val="009C6BFB"/>
    <w:rsid w:val="009D0C05"/>
    <w:rsid w:val="009D4827"/>
    <w:rsid w:val="009E24B7"/>
    <w:rsid w:val="009E2C00"/>
    <w:rsid w:val="009E49AD"/>
    <w:rsid w:val="009E4CC5"/>
    <w:rsid w:val="009E59E2"/>
    <w:rsid w:val="009E66FE"/>
    <w:rsid w:val="009E70F4"/>
    <w:rsid w:val="009E72A3"/>
    <w:rsid w:val="009F17ED"/>
    <w:rsid w:val="009F1AD2"/>
    <w:rsid w:val="00A00C78"/>
    <w:rsid w:val="00A0471A"/>
    <w:rsid w:val="00A0479E"/>
    <w:rsid w:val="00A07979"/>
    <w:rsid w:val="00A11755"/>
    <w:rsid w:val="00A16BAC"/>
    <w:rsid w:val="00A207FB"/>
    <w:rsid w:val="00A24016"/>
    <w:rsid w:val="00A265BF"/>
    <w:rsid w:val="00A26F44"/>
    <w:rsid w:val="00A34FAB"/>
    <w:rsid w:val="00A42C43"/>
    <w:rsid w:val="00A4313D"/>
    <w:rsid w:val="00A50120"/>
    <w:rsid w:val="00A53CB9"/>
    <w:rsid w:val="00A561A1"/>
    <w:rsid w:val="00A60351"/>
    <w:rsid w:val="00A61C6D"/>
    <w:rsid w:val="00A63015"/>
    <w:rsid w:val="00A6387B"/>
    <w:rsid w:val="00A6430E"/>
    <w:rsid w:val="00A66254"/>
    <w:rsid w:val="00A678B4"/>
    <w:rsid w:val="00A704A3"/>
    <w:rsid w:val="00A73495"/>
    <w:rsid w:val="00A75E23"/>
    <w:rsid w:val="00A8016E"/>
    <w:rsid w:val="00A82AA0"/>
    <w:rsid w:val="00A82F8A"/>
    <w:rsid w:val="00A84622"/>
    <w:rsid w:val="00A84BF0"/>
    <w:rsid w:val="00A9226B"/>
    <w:rsid w:val="00A92B93"/>
    <w:rsid w:val="00A9575C"/>
    <w:rsid w:val="00A95B56"/>
    <w:rsid w:val="00A969AF"/>
    <w:rsid w:val="00AA7C29"/>
    <w:rsid w:val="00AB0398"/>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75D6"/>
    <w:rsid w:val="00B113B9"/>
    <w:rsid w:val="00B119A2"/>
    <w:rsid w:val="00B13B6D"/>
    <w:rsid w:val="00B1569E"/>
    <w:rsid w:val="00B160C8"/>
    <w:rsid w:val="00B177F2"/>
    <w:rsid w:val="00B201F1"/>
    <w:rsid w:val="00B20D53"/>
    <w:rsid w:val="00B2603F"/>
    <w:rsid w:val="00B304E7"/>
    <w:rsid w:val="00B318B6"/>
    <w:rsid w:val="00B3499B"/>
    <w:rsid w:val="00B36E65"/>
    <w:rsid w:val="00B41D57"/>
    <w:rsid w:val="00B41F47"/>
    <w:rsid w:val="00B44468"/>
    <w:rsid w:val="00B60AC9"/>
    <w:rsid w:val="00B660D6"/>
    <w:rsid w:val="00B67323"/>
    <w:rsid w:val="00B715F2"/>
    <w:rsid w:val="00B73C3A"/>
    <w:rsid w:val="00B74071"/>
    <w:rsid w:val="00B7428E"/>
    <w:rsid w:val="00B744D3"/>
    <w:rsid w:val="00B74508"/>
    <w:rsid w:val="00B74B67"/>
    <w:rsid w:val="00B75580"/>
    <w:rsid w:val="00B75E81"/>
    <w:rsid w:val="00B77015"/>
    <w:rsid w:val="00B779AA"/>
    <w:rsid w:val="00B81C95"/>
    <w:rsid w:val="00B82330"/>
    <w:rsid w:val="00B82ED4"/>
    <w:rsid w:val="00B8424F"/>
    <w:rsid w:val="00B85DA3"/>
    <w:rsid w:val="00B86896"/>
    <w:rsid w:val="00B875A6"/>
    <w:rsid w:val="00B93C16"/>
    <w:rsid w:val="00B93E4C"/>
    <w:rsid w:val="00B94A1B"/>
    <w:rsid w:val="00BA5C89"/>
    <w:rsid w:val="00BB04EB"/>
    <w:rsid w:val="00BB2539"/>
    <w:rsid w:val="00BB4CE2"/>
    <w:rsid w:val="00BB5EF0"/>
    <w:rsid w:val="00BB6724"/>
    <w:rsid w:val="00BC0EFB"/>
    <w:rsid w:val="00BC1DF1"/>
    <w:rsid w:val="00BC2E39"/>
    <w:rsid w:val="00BD2364"/>
    <w:rsid w:val="00BD24A1"/>
    <w:rsid w:val="00BD28E3"/>
    <w:rsid w:val="00BE117E"/>
    <w:rsid w:val="00BE3261"/>
    <w:rsid w:val="00BE569B"/>
    <w:rsid w:val="00BF00EF"/>
    <w:rsid w:val="00BF58FC"/>
    <w:rsid w:val="00C01F77"/>
    <w:rsid w:val="00C01FFC"/>
    <w:rsid w:val="00C025E5"/>
    <w:rsid w:val="00C03252"/>
    <w:rsid w:val="00C05321"/>
    <w:rsid w:val="00C06AE4"/>
    <w:rsid w:val="00C114FF"/>
    <w:rsid w:val="00C11D49"/>
    <w:rsid w:val="00C12F42"/>
    <w:rsid w:val="00C15B76"/>
    <w:rsid w:val="00C171A1"/>
    <w:rsid w:val="00C171A4"/>
    <w:rsid w:val="00C17D7A"/>
    <w:rsid w:val="00C17F12"/>
    <w:rsid w:val="00C20734"/>
    <w:rsid w:val="00C21C1A"/>
    <w:rsid w:val="00C237E9"/>
    <w:rsid w:val="00C32989"/>
    <w:rsid w:val="00C32BD1"/>
    <w:rsid w:val="00C352F7"/>
    <w:rsid w:val="00C36883"/>
    <w:rsid w:val="00C40928"/>
    <w:rsid w:val="00C40CFF"/>
    <w:rsid w:val="00C42697"/>
    <w:rsid w:val="00C42971"/>
    <w:rsid w:val="00C43F01"/>
    <w:rsid w:val="00C47552"/>
    <w:rsid w:val="00C5192E"/>
    <w:rsid w:val="00C52CCC"/>
    <w:rsid w:val="00C56F31"/>
    <w:rsid w:val="00C57A81"/>
    <w:rsid w:val="00C60193"/>
    <w:rsid w:val="00C6288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8748B"/>
    <w:rsid w:val="00C90EDA"/>
    <w:rsid w:val="00C959E7"/>
    <w:rsid w:val="00CA28D8"/>
    <w:rsid w:val="00CA5902"/>
    <w:rsid w:val="00CC1E65"/>
    <w:rsid w:val="00CC1EF7"/>
    <w:rsid w:val="00CC567A"/>
    <w:rsid w:val="00CC720B"/>
    <w:rsid w:val="00CD145F"/>
    <w:rsid w:val="00CD2524"/>
    <w:rsid w:val="00CD2CD1"/>
    <w:rsid w:val="00CD4059"/>
    <w:rsid w:val="00CD4E5A"/>
    <w:rsid w:val="00CD6AFD"/>
    <w:rsid w:val="00CE03CE"/>
    <w:rsid w:val="00CE0F5D"/>
    <w:rsid w:val="00CE1A6A"/>
    <w:rsid w:val="00CF069C"/>
    <w:rsid w:val="00CF0DFF"/>
    <w:rsid w:val="00CF3084"/>
    <w:rsid w:val="00D00DCD"/>
    <w:rsid w:val="00D028A9"/>
    <w:rsid w:val="00D0359D"/>
    <w:rsid w:val="00D04539"/>
    <w:rsid w:val="00D04DED"/>
    <w:rsid w:val="00D1089A"/>
    <w:rsid w:val="00D116BD"/>
    <w:rsid w:val="00D16FE0"/>
    <w:rsid w:val="00D2001A"/>
    <w:rsid w:val="00D20684"/>
    <w:rsid w:val="00D2545D"/>
    <w:rsid w:val="00D26B62"/>
    <w:rsid w:val="00D32624"/>
    <w:rsid w:val="00D36901"/>
    <w:rsid w:val="00D3691A"/>
    <w:rsid w:val="00D377E2"/>
    <w:rsid w:val="00D378EB"/>
    <w:rsid w:val="00D403E9"/>
    <w:rsid w:val="00D42DCB"/>
    <w:rsid w:val="00D44A37"/>
    <w:rsid w:val="00D45482"/>
    <w:rsid w:val="00D46DF2"/>
    <w:rsid w:val="00D47674"/>
    <w:rsid w:val="00D5338C"/>
    <w:rsid w:val="00D55C5B"/>
    <w:rsid w:val="00D606B2"/>
    <w:rsid w:val="00D625A7"/>
    <w:rsid w:val="00D63575"/>
    <w:rsid w:val="00D64074"/>
    <w:rsid w:val="00D65777"/>
    <w:rsid w:val="00D728A0"/>
    <w:rsid w:val="00D73634"/>
    <w:rsid w:val="00D74018"/>
    <w:rsid w:val="00D7566A"/>
    <w:rsid w:val="00D774A4"/>
    <w:rsid w:val="00D83661"/>
    <w:rsid w:val="00D9216A"/>
    <w:rsid w:val="00D95BBB"/>
    <w:rsid w:val="00D97E7D"/>
    <w:rsid w:val="00DA30CB"/>
    <w:rsid w:val="00DB2647"/>
    <w:rsid w:val="00DB3439"/>
    <w:rsid w:val="00DB3618"/>
    <w:rsid w:val="00DB468A"/>
    <w:rsid w:val="00DC2946"/>
    <w:rsid w:val="00DC2A41"/>
    <w:rsid w:val="00DC2CE3"/>
    <w:rsid w:val="00DC4340"/>
    <w:rsid w:val="00DC550F"/>
    <w:rsid w:val="00DC64FD"/>
    <w:rsid w:val="00DD3501"/>
    <w:rsid w:val="00DD53C3"/>
    <w:rsid w:val="00DD669D"/>
    <w:rsid w:val="00DE127F"/>
    <w:rsid w:val="00DE424A"/>
    <w:rsid w:val="00DE4419"/>
    <w:rsid w:val="00DE5F81"/>
    <w:rsid w:val="00DE67C4"/>
    <w:rsid w:val="00DF0ACA"/>
    <w:rsid w:val="00DF2245"/>
    <w:rsid w:val="00DF35C8"/>
    <w:rsid w:val="00DF4CE9"/>
    <w:rsid w:val="00DF77CF"/>
    <w:rsid w:val="00E0068C"/>
    <w:rsid w:val="00E0107F"/>
    <w:rsid w:val="00E026E8"/>
    <w:rsid w:val="00E060F7"/>
    <w:rsid w:val="00E11096"/>
    <w:rsid w:val="00E1267F"/>
    <w:rsid w:val="00E1280C"/>
    <w:rsid w:val="00E14C47"/>
    <w:rsid w:val="00E22698"/>
    <w:rsid w:val="00E25B7C"/>
    <w:rsid w:val="00E3076B"/>
    <w:rsid w:val="00E3725B"/>
    <w:rsid w:val="00E434D1"/>
    <w:rsid w:val="00E56CBB"/>
    <w:rsid w:val="00E61950"/>
    <w:rsid w:val="00E61E51"/>
    <w:rsid w:val="00E65154"/>
    <w:rsid w:val="00E6552A"/>
    <w:rsid w:val="00E65731"/>
    <w:rsid w:val="00E66A9B"/>
    <w:rsid w:val="00E6707D"/>
    <w:rsid w:val="00E67BAF"/>
    <w:rsid w:val="00E70337"/>
    <w:rsid w:val="00E70E7C"/>
    <w:rsid w:val="00E71313"/>
    <w:rsid w:val="00E72606"/>
    <w:rsid w:val="00E73C3E"/>
    <w:rsid w:val="00E74050"/>
    <w:rsid w:val="00E82496"/>
    <w:rsid w:val="00E834CD"/>
    <w:rsid w:val="00E846DC"/>
    <w:rsid w:val="00E84E9D"/>
    <w:rsid w:val="00E86CEE"/>
    <w:rsid w:val="00E87E4E"/>
    <w:rsid w:val="00E935AF"/>
    <w:rsid w:val="00E939C2"/>
    <w:rsid w:val="00E945C6"/>
    <w:rsid w:val="00E968C4"/>
    <w:rsid w:val="00E9765B"/>
    <w:rsid w:val="00EA308C"/>
    <w:rsid w:val="00EB0E20"/>
    <w:rsid w:val="00EB1682"/>
    <w:rsid w:val="00EB1A80"/>
    <w:rsid w:val="00EB457B"/>
    <w:rsid w:val="00EC0A72"/>
    <w:rsid w:val="00EC0C6B"/>
    <w:rsid w:val="00EC47C4"/>
    <w:rsid w:val="00EC4F3A"/>
    <w:rsid w:val="00EC5045"/>
    <w:rsid w:val="00EC5E74"/>
    <w:rsid w:val="00ED594D"/>
    <w:rsid w:val="00EE36E1"/>
    <w:rsid w:val="00EE6228"/>
    <w:rsid w:val="00EE7AC7"/>
    <w:rsid w:val="00EE7B3F"/>
    <w:rsid w:val="00EF3A8A"/>
    <w:rsid w:val="00F0054D"/>
    <w:rsid w:val="00F02467"/>
    <w:rsid w:val="00F04D0E"/>
    <w:rsid w:val="00F11AC7"/>
    <w:rsid w:val="00F12214"/>
    <w:rsid w:val="00F12565"/>
    <w:rsid w:val="00F144BE"/>
    <w:rsid w:val="00F14ACA"/>
    <w:rsid w:val="00F172F5"/>
    <w:rsid w:val="00F17A0C"/>
    <w:rsid w:val="00F23025"/>
    <w:rsid w:val="00F23927"/>
    <w:rsid w:val="00F26644"/>
    <w:rsid w:val="00F26A05"/>
    <w:rsid w:val="00F307CE"/>
    <w:rsid w:val="00F343C8"/>
    <w:rsid w:val="00F345A8"/>
    <w:rsid w:val="00F354C5"/>
    <w:rsid w:val="00F37108"/>
    <w:rsid w:val="00F40449"/>
    <w:rsid w:val="00F40632"/>
    <w:rsid w:val="00F45B8E"/>
    <w:rsid w:val="00F47BAA"/>
    <w:rsid w:val="00F50315"/>
    <w:rsid w:val="00F520FE"/>
    <w:rsid w:val="00F52EAB"/>
    <w:rsid w:val="00F55A04"/>
    <w:rsid w:val="00F55E08"/>
    <w:rsid w:val="00F572EF"/>
    <w:rsid w:val="00F57696"/>
    <w:rsid w:val="00F57EFB"/>
    <w:rsid w:val="00F6063E"/>
    <w:rsid w:val="00F61A31"/>
    <w:rsid w:val="00F62DEC"/>
    <w:rsid w:val="00F63434"/>
    <w:rsid w:val="00F66F00"/>
    <w:rsid w:val="00F67A2D"/>
    <w:rsid w:val="00F70A1B"/>
    <w:rsid w:val="00F72FDF"/>
    <w:rsid w:val="00F75960"/>
    <w:rsid w:val="00F801AF"/>
    <w:rsid w:val="00F82526"/>
    <w:rsid w:val="00F84672"/>
    <w:rsid w:val="00F84802"/>
    <w:rsid w:val="00F87448"/>
    <w:rsid w:val="00F95A8C"/>
    <w:rsid w:val="00FA06FD"/>
    <w:rsid w:val="00FA515B"/>
    <w:rsid w:val="00FA6B90"/>
    <w:rsid w:val="00FA70F9"/>
    <w:rsid w:val="00FA74CB"/>
    <w:rsid w:val="00FB0FC3"/>
    <w:rsid w:val="00FB207A"/>
    <w:rsid w:val="00FB2886"/>
    <w:rsid w:val="00FB2C3B"/>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395A"/>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paragraph" w:customStyle="1" w:styleId="spc2Char">
    <w:name w:val="spc2 Char"/>
    <w:basedOn w:val="Normln"/>
    <w:rsid w:val="00605ED0"/>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lang w:val="en-US"/>
    </w:rPr>
  </w:style>
  <w:style w:type="paragraph" w:customStyle="1" w:styleId="Retrait1cm">
    <w:name w:val="Retrait1cm"/>
    <w:basedOn w:val="Normln"/>
    <w:autoRedefine/>
    <w:rsid w:val="001C13D9"/>
    <w:pPr>
      <w:tabs>
        <w:tab w:val="clear" w:pos="567"/>
        <w:tab w:val="left" w:leader="dot" w:pos="6804"/>
        <w:tab w:val="left" w:pos="7938"/>
      </w:tabs>
      <w:spacing w:line="240" w:lineRule="auto"/>
      <w:ind w:left="567"/>
      <w:jc w:val="both"/>
    </w:pPr>
    <w:rPr>
      <w:szCs w:val="22"/>
      <w:lang w:eastAsia="cs-CZ"/>
    </w:rPr>
  </w:style>
  <w:style w:type="character" w:customStyle="1" w:styleId="markedcontent">
    <w:name w:val="markedcontent"/>
    <w:basedOn w:val="Standardnpsmoodstavce"/>
    <w:rsid w:val="007D27AB"/>
  </w:style>
  <w:style w:type="paragraph" w:styleId="Odstavecseseznamem">
    <w:name w:val="List Paragraph"/>
    <w:basedOn w:val="Normln"/>
    <w:uiPriority w:val="34"/>
    <w:qFormat/>
    <w:rsid w:val="008C606F"/>
    <w:pPr>
      <w:ind w:left="720"/>
      <w:contextualSpacing/>
    </w:pPr>
  </w:style>
  <w:style w:type="paragraph" w:styleId="FormtovanvHTML">
    <w:name w:val="HTML Preformatted"/>
    <w:basedOn w:val="Normln"/>
    <w:link w:val="FormtovanvHTMLChar"/>
    <w:semiHidden/>
    <w:unhideWhenUsed/>
    <w:rsid w:val="008C606F"/>
    <w:pPr>
      <w:spacing w:line="240" w:lineRule="auto"/>
    </w:pPr>
    <w:rPr>
      <w:rFonts w:ascii="Consolas" w:hAnsi="Consolas"/>
      <w:sz w:val="20"/>
    </w:rPr>
  </w:style>
  <w:style w:type="character" w:customStyle="1" w:styleId="FormtovanvHTMLChar">
    <w:name w:val="Formátovaný v HTML Char"/>
    <w:basedOn w:val="Standardnpsmoodstavce"/>
    <w:link w:val="FormtovanvHTML"/>
    <w:semiHidden/>
    <w:rsid w:val="008C606F"/>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97">
      <w:bodyDiv w:val="1"/>
      <w:marLeft w:val="0"/>
      <w:marRight w:val="0"/>
      <w:marTop w:val="0"/>
      <w:marBottom w:val="0"/>
      <w:divBdr>
        <w:top w:val="none" w:sz="0" w:space="0" w:color="auto"/>
        <w:left w:val="none" w:sz="0" w:space="0" w:color="auto"/>
        <w:bottom w:val="none" w:sz="0" w:space="0" w:color="auto"/>
        <w:right w:val="none" w:sz="0" w:space="0" w:color="auto"/>
      </w:divBdr>
    </w:div>
    <w:div w:id="267006320">
      <w:bodyDiv w:val="1"/>
      <w:marLeft w:val="0"/>
      <w:marRight w:val="0"/>
      <w:marTop w:val="0"/>
      <w:marBottom w:val="0"/>
      <w:divBdr>
        <w:top w:val="none" w:sz="0" w:space="0" w:color="auto"/>
        <w:left w:val="none" w:sz="0" w:space="0" w:color="auto"/>
        <w:bottom w:val="none" w:sz="0" w:space="0" w:color="auto"/>
        <w:right w:val="none" w:sz="0" w:space="0" w:color="auto"/>
      </w:divBdr>
    </w:div>
    <w:div w:id="292365217">
      <w:bodyDiv w:val="1"/>
      <w:marLeft w:val="0"/>
      <w:marRight w:val="0"/>
      <w:marTop w:val="0"/>
      <w:marBottom w:val="0"/>
      <w:divBdr>
        <w:top w:val="none" w:sz="0" w:space="0" w:color="auto"/>
        <w:left w:val="none" w:sz="0" w:space="0" w:color="auto"/>
        <w:bottom w:val="none" w:sz="0" w:space="0" w:color="auto"/>
        <w:right w:val="none" w:sz="0" w:space="0" w:color="auto"/>
      </w:divBdr>
    </w:div>
    <w:div w:id="360008810">
      <w:bodyDiv w:val="1"/>
      <w:marLeft w:val="0"/>
      <w:marRight w:val="0"/>
      <w:marTop w:val="0"/>
      <w:marBottom w:val="0"/>
      <w:divBdr>
        <w:top w:val="none" w:sz="0" w:space="0" w:color="auto"/>
        <w:left w:val="none" w:sz="0" w:space="0" w:color="auto"/>
        <w:bottom w:val="none" w:sz="0" w:space="0" w:color="auto"/>
        <w:right w:val="none" w:sz="0" w:space="0" w:color="auto"/>
      </w:divBdr>
    </w:div>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285574235">
      <w:bodyDiv w:val="1"/>
      <w:marLeft w:val="0"/>
      <w:marRight w:val="0"/>
      <w:marTop w:val="0"/>
      <w:marBottom w:val="0"/>
      <w:divBdr>
        <w:top w:val="none" w:sz="0" w:space="0" w:color="auto"/>
        <w:left w:val="none" w:sz="0" w:space="0" w:color="auto"/>
        <w:bottom w:val="none" w:sz="0" w:space="0" w:color="auto"/>
        <w:right w:val="none" w:sz="0" w:space="0" w:color="auto"/>
      </w:divBdr>
    </w:div>
    <w:div w:id="1338801518">
      <w:bodyDiv w:val="1"/>
      <w:marLeft w:val="0"/>
      <w:marRight w:val="0"/>
      <w:marTop w:val="0"/>
      <w:marBottom w:val="0"/>
      <w:divBdr>
        <w:top w:val="none" w:sz="0" w:space="0" w:color="auto"/>
        <w:left w:val="none" w:sz="0" w:space="0" w:color="auto"/>
        <w:bottom w:val="none" w:sz="0" w:space="0" w:color="auto"/>
        <w:right w:val="none" w:sz="0" w:space="0" w:color="auto"/>
      </w:divBdr>
    </w:div>
    <w:div w:id="1596353717">
      <w:bodyDiv w:val="1"/>
      <w:marLeft w:val="0"/>
      <w:marRight w:val="0"/>
      <w:marTop w:val="0"/>
      <w:marBottom w:val="0"/>
      <w:divBdr>
        <w:top w:val="none" w:sz="0" w:space="0" w:color="auto"/>
        <w:left w:val="none" w:sz="0" w:space="0" w:color="auto"/>
        <w:bottom w:val="none" w:sz="0" w:space="0" w:color="auto"/>
        <w:right w:val="none" w:sz="0" w:space="0" w:color="auto"/>
      </w:divBdr>
    </w:div>
    <w:div w:id="1662272642">
      <w:bodyDiv w:val="1"/>
      <w:marLeft w:val="0"/>
      <w:marRight w:val="0"/>
      <w:marTop w:val="0"/>
      <w:marBottom w:val="0"/>
      <w:divBdr>
        <w:top w:val="none" w:sz="0" w:space="0" w:color="auto"/>
        <w:left w:val="none" w:sz="0" w:space="0" w:color="auto"/>
        <w:bottom w:val="none" w:sz="0" w:space="0" w:color="auto"/>
        <w:right w:val="none" w:sz="0" w:space="0" w:color="auto"/>
      </w:divBdr>
    </w:div>
    <w:div w:id="1777674987">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51056-7255-4814-929F-1A77465E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5850</TotalTime>
  <Pages>7</Pages>
  <Words>1857</Words>
  <Characters>10958</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127</cp:revision>
  <cp:lastPrinted>2024-04-24T12:55:00Z</cp:lastPrinted>
  <dcterms:created xsi:type="dcterms:W3CDTF">2022-06-10T09:47:00Z</dcterms:created>
  <dcterms:modified xsi:type="dcterms:W3CDTF">2024-04-24T12:58:00Z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