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383932" w:rsidRDefault="00C114FF" w:rsidP="00383932">
      <w:pPr>
        <w:tabs>
          <w:tab w:val="clear" w:pos="567"/>
        </w:tabs>
        <w:spacing w:line="240" w:lineRule="auto"/>
        <w:ind w:right="-1"/>
        <w:rPr>
          <w:szCs w:val="22"/>
        </w:rPr>
      </w:pPr>
    </w:p>
    <w:p w14:paraId="14C30FB3" w14:textId="77777777" w:rsidR="00C114FF" w:rsidRPr="00383932" w:rsidRDefault="00C114FF" w:rsidP="00383932">
      <w:pPr>
        <w:tabs>
          <w:tab w:val="clear" w:pos="567"/>
        </w:tabs>
        <w:spacing w:line="240" w:lineRule="auto"/>
        <w:ind w:right="-1"/>
        <w:rPr>
          <w:szCs w:val="22"/>
        </w:rPr>
      </w:pPr>
    </w:p>
    <w:p w14:paraId="14C30FB4" w14:textId="77777777" w:rsidR="00C114FF" w:rsidRPr="00383932" w:rsidRDefault="00C114FF" w:rsidP="00383932">
      <w:pPr>
        <w:tabs>
          <w:tab w:val="clear" w:pos="567"/>
        </w:tabs>
        <w:spacing w:line="240" w:lineRule="auto"/>
        <w:ind w:right="-1"/>
        <w:rPr>
          <w:szCs w:val="22"/>
        </w:rPr>
      </w:pPr>
    </w:p>
    <w:p w14:paraId="14C30FB5" w14:textId="77777777" w:rsidR="00C114FF" w:rsidRPr="00383932" w:rsidRDefault="00C114FF" w:rsidP="00383932">
      <w:pPr>
        <w:tabs>
          <w:tab w:val="clear" w:pos="567"/>
        </w:tabs>
        <w:spacing w:line="240" w:lineRule="auto"/>
        <w:ind w:right="-1"/>
        <w:rPr>
          <w:szCs w:val="22"/>
        </w:rPr>
      </w:pPr>
    </w:p>
    <w:p w14:paraId="14C30FB6" w14:textId="77777777" w:rsidR="00C114FF" w:rsidRPr="00383932" w:rsidRDefault="00C114FF" w:rsidP="00383932">
      <w:pPr>
        <w:tabs>
          <w:tab w:val="clear" w:pos="567"/>
        </w:tabs>
        <w:spacing w:line="240" w:lineRule="auto"/>
        <w:ind w:right="-1"/>
        <w:rPr>
          <w:szCs w:val="22"/>
        </w:rPr>
      </w:pPr>
    </w:p>
    <w:p w14:paraId="14C30FB7" w14:textId="77777777" w:rsidR="00C114FF" w:rsidRPr="00383932" w:rsidRDefault="00C114FF" w:rsidP="00383932">
      <w:pPr>
        <w:tabs>
          <w:tab w:val="clear" w:pos="567"/>
        </w:tabs>
        <w:spacing w:line="240" w:lineRule="auto"/>
        <w:ind w:right="-1"/>
        <w:rPr>
          <w:szCs w:val="22"/>
        </w:rPr>
      </w:pPr>
    </w:p>
    <w:p w14:paraId="14C30FB8" w14:textId="77777777" w:rsidR="00C114FF" w:rsidRPr="00383932" w:rsidRDefault="00C114FF" w:rsidP="00383932">
      <w:pPr>
        <w:tabs>
          <w:tab w:val="clear" w:pos="567"/>
        </w:tabs>
        <w:spacing w:line="240" w:lineRule="auto"/>
        <w:ind w:right="-1"/>
        <w:rPr>
          <w:szCs w:val="22"/>
        </w:rPr>
      </w:pPr>
    </w:p>
    <w:p w14:paraId="14C30FB9" w14:textId="77777777" w:rsidR="00C114FF" w:rsidRPr="00383932" w:rsidRDefault="00C114FF" w:rsidP="00383932">
      <w:pPr>
        <w:tabs>
          <w:tab w:val="clear" w:pos="567"/>
        </w:tabs>
        <w:spacing w:line="240" w:lineRule="auto"/>
        <w:ind w:right="-1"/>
        <w:rPr>
          <w:szCs w:val="22"/>
        </w:rPr>
      </w:pPr>
    </w:p>
    <w:p w14:paraId="14C30FBA" w14:textId="77777777" w:rsidR="00C114FF" w:rsidRPr="00383932" w:rsidRDefault="00C114FF" w:rsidP="00383932">
      <w:pPr>
        <w:tabs>
          <w:tab w:val="clear" w:pos="567"/>
        </w:tabs>
        <w:spacing w:line="240" w:lineRule="auto"/>
        <w:ind w:right="-1"/>
        <w:rPr>
          <w:szCs w:val="22"/>
        </w:rPr>
      </w:pPr>
    </w:p>
    <w:p w14:paraId="14C30FBB" w14:textId="77777777" w:rsidR="00C114FF" w:rsidRPr="00383932" w:rsidRDefault="00C114FF" w:rsidP="00383932">
      <w:pPr>
        <w:tabs>
          <w:tab w:val="clear" w:pos="567"/>
        </w:tabs>
        <w:spacing w:line="240" w:lineRule="auto"/>
        <w:ind w:right="-1"/>
        <w:rPr>
          <w:szCs w:val="22"/>
        </w:rPr>
      </w:pPr>
    </w:p>
    <w:p w14:paraId="14C30FBC" w14:textId="77777777" w:rsidR="00C114FF" w:rsidRPr="00383932" w:rsidRDefault="00C114FF" w:rsidP="00383932">
      <w:pPr>
        <w:tabs>
          <w:tab w:val="clear" w:pos="567"/>
        </w:tabs>
        <w:spacing w:line="240" w:lineRule="auto"/>
        <w:ind w:right="-1"/>
        <w:rPr>
          <w:szCs w:val="22"/>
        </w:rPr>
      </w:pPr>
    </w:p>
    <w:p w14:paraId="14C30FBD" w14:textId="77777777" w:rsidR="00C114FF" w:rsidRPr="00383932" w:rsidRDefault="00C114FF" w:rsidP="00383932">
      <w:pPr>
        <w:tabs>
          <w:tab w:val="clear" w:pos="567"/>
        </w:tabs>
        <w:spacing w:line="240" w:lineRule="auto"/>
        <w:ind w:right="-1"/>
        <w:rPr>
          <w:szCs w:val="22"/>
        </w:rPr>
      </w:pPr>
    </w:p>
    <w:p w14:paraId="14C30FBE" w14:textId="77777777" w:rsidR="00C114FF" w:rsidRPr="00383932" w:rsidRDefault="00C114FF" w:rsidP="00383932">
      <w:pPr>
        <w:tabs>
          <w:tab w:val="clear" w:pos="567"/>
        </w:tabs>
        <w:spacing w:line="240" w:lineRule="auto"/>
        <w:ind w:right="-1"/>
        <w:rPr>
          <w:szCs w:val="22"/>
        </w:rPr>
      </w:pPr>
    </w:p>
    <w:p w14:paraId="14C30FBF" w14:textId="77777777" w:rsidR="00C114FF" w:rsidRPr="00383932" w:rsidRDefault="00C114FF" w:rsidP="00383932">
      <w:pPr>
        <w:tabs>
          <w:tab w:val="clear" w:pos="567"/>
        </w:tabs>
        <w:spacing w:line="240" w:lineRule="auto"/>
        <w:ind w:right="-1"/>
        <w:rPr>
          <w:szCs w:val="22"/>
        </w:rPr>
      </w:pPr>
    </w:p>
    <w:p w14:paraId="14C30FC0" w14:textId="77777777" w:rsidR="00C114FF" w:rsidRPr="00383932" w:rsidRDefault="00C114FF" w:rsidP="00383932">
      <w:pPr>
        <w:tabs>
          <w:tab w:val="clear" w:pos="567"/>
        </w:tabs>
        <w:spacing w:line="240" w:lineRule="auto"/>
        <w:ind w:right="-1"/>
        <w:rPr>
          <w:szCs w:val="22"/>
        </w:rPr>
      </w:pPr>
    </w:p>
    <w:p w14:paraId="14C30FC1" w14:textId="77777777" w:rsidR="00C114FF" w:rsidRPr="00383932" w:rsidRDefault="00C114FF" w:rsidP="00383932">
      <w:pPr>
        <w:tabs>
          <w:tab w:val="clear" w:pos="567"/>
        </w:tabs>
        <w:spacing w:line="240" w:lineRule="auto"/>
        <w:ind w:right="-1"/>
        <w:rPr>
          <w:szCs w:val="22"/>
        </w:rPr>
      </w:pPr>
    </w:p>
    <w:p w14:paraId="14C30FC2" w14:textId="77777777" w:rsidR="00C114FF" w:rsidRPr="00383932" w:rsidRDefault="00C114FF" w:rsidP="00383932">
      <w:pPr>
        <w:tabs>
          <w:tab w:val="clear" w:pos="567"/>
        </w:tabs>
        <w:spacing w:line="240" w:lineRule="auto"/>
        <w:ind w:right="-1"/>
        <w:rPr>
          <w:szCs w:val="22"/>
        </w:rPr>
      </w:pPr>
    </w:p>
    <w:p w14:paraId="14C30FC3" w14:textId="77777777" w:rsidR="00C114FF" w:rsidRPr="00383932" w:rsidRDefault="00C114FF" w:rsidP="00383932">
      <w:pPr>
        <w:tabs>
          <w:tab w:val="clear" w:pos="567"/>
        </w:tabs>
        <w:spacing w:line="240" w:lineRule="auto"/>
        <w:ind w:right="-1"/>
        <w:rPr>
          <w:szCs w:val="22"/>
        </w:rPr>
      </w:pPr>
    </w:p>
    <w:p w14:paraId="14C30FC4" w14:textId="77777777" w:rsidR="00C114FF" w:rsidRPr="00383932" w:rsidRDefault="00C114FF" w:rsidP="00383932">
      <w:pPr>
        <w:tabs>
          <w:tab w:val="clear" w:pos="567"/>
        </w:tabs>
        <w:spacing w:line="240" w:lineRule="auto"/>
        <w:ind w:right="-1"/>
        <w:rPr>
          <w:szCs w:val="22"/>
        </w:rPr>
      </w:pPr>
    </w:p>
    <w:p w14:paraId="14C30FC5" w14:textId="77777777" w:rsidR="00C114FF" w:rsidRPr="00383932" w:rsidRDefault="00C114FF" w:rsidP="00383932">
      <w:pPr>
        <w:tabs>
          <w:tab w:val="clear" w:pos="567"/>
        </w:tabs>
        <w:spacing w:line="240" w:lineRule="auto"/>
        <w:ind w:right="-1"/>
        <w:rPr>
          <w:szCs w:val="22"/>
        </w:rPr>
      </w:pPr>
    </w:p>
    <w:p w14:paraId="14C30FC6" w14:textId="77777777" w:rsidR="00C114FF" w:rsidRPr="00383932" w:rsidRDefault="00C114FF" w:rsidP="00383932">
      <w:pPr>
        <w:tabs>
          <w:tab w:val="clear" w:pos="567"/>
        </w:tabs>
        <w:spacing w:line="240" w:lineRule="auto"/>
        <w:ind w:right="-1"/>
        <w:rPr>
          <w:szCs w:val="22"/>
        </w:rPr>
      </w:pPr>
    </w:p>
    <w:p w14:paraId="14C30FC7" w14:textId="77777777" w:rsidR="00C114FF" w:rsidRPr="00383932" w:rsidRDefault="00C114FF" w:rsidP="00383932">
      <w:pPr>
        <w:tabs>
          <w:tab w:val="clear" w:pos="567"/>
        </w:tabs>
        <w:spacing w:line="240" w:lineRule="auto"/>
        <w:ind w:right="-1"/>
        <w:rPr>
          <w:szCs w:val="22"/>
        </w:rPr>
      </w:pPr>
    </w:p>
    <w:p w14:paraId="14C30FC8" w14:textId="77777777" w:rsidR="00C114FF" w:rsidRPr="00383932" w:rsidRDefault="006C6ABC" w:rsidP="00383932">
      <w:pPr>
        <w:tabs>
          <w:tab w:val="clear" w:pos="567"/>
        </w:tabs>
        <w:spacing w:line="240" w:lineRule="auto"/>
        <w:ind w:right="-1"/>
        <w:jc w:val="center"/>
        <w:rPr>
          <w:b/>
          <w:szCs w:val="22"/>
        </w:rPr>
      </w:pPr>
      <w:r w:rsidRPr="00383932">
        <w:rPr>
          <w:b/>
          <w:szCs w:val="22"/>
        </w:rPr>
        <w:t>PŘÍLOHA I</w:t>
      </w:r>
    </w:p>
    <w:p w14:paraId="14C30FC9" w14:textId="77777777" w:rsidR="00C114FF" w:rsidRPr="00383932" w:rsidRDefault="00C114FF" w:rsidP="00383932">
      <w:pPr>
        <w:tabs>
          <w:tab w:val="clear" w:pos="567"/>
        </w:tabs>
        <w:spacing w:line="240" w:lineRule="auto"/>
        <w:ind w:right="-1"/>
        <w:rPr>
          <w:szCs w:val="22"/>
        </w:rPr>
      </w:pPr>
    </w:p>
    <w:p w14:paraId="14C30FCA" w14:textId="77777777" w:rsidR="00C114FF" w:rsidRPr="00383932" w:rsidRDefault="006C6ABC" w:rsidP="00383932">
      <w:pPr>
        <w:tabs>
          <w:tab w:val="clear" w:pos="567"/>
        </w:tabs>
        <w:spacing w:line="240" w:lineRule="auto"/>
        <w:ind w:right="-1"/>
        <w:jc w:val="center"/>
        <w:rPr>
          <w:b/>
          <w:szCs w:val="22"/>
        </w:rPr>
      </w:pPr>
      <w:r w:rsidRPr="00383932">
        <w:rPr>
          <w:b/>
          <w:szCs w:val="22"/>
        </w:rPr>
        <w:t>SOUHRN ÚDAJŮ O PŘÍPRAVKU</w:t>
      </w:r>
    </w:p>
    <w:p w14:paraId="14C30FCB" w14:textId="77777777" w:rsidR="00C114FF" w:rsidRPr="00383932" w:rsidRDefault="006C6ABC" w:rsidP="00383932">
      <w:pPr>
        <w:pStyle w:val="Style1"/>
        <w:ind w:right="-1"/>
      </w:pPr>
      <w:r w:rsidRPr="00383932">
        <w:br w:type="page"/>
      </w:r>
      <w:r w:rsidRPr="00383932">
        <w:lastRenderedPageBreak/>
        <w:t>1.</w:t>
      </w:r>
      <w:r w:rsidRPr="00383932">
        <w:tab/>
        <w:t>NÁZEV VETERINÁRNÍHO LÉČIVÉHO PŘÍPRAVKU</w:t>
      </w:r>
    </w:p>
    <w:p w14:paraId="14C30FCC" w14:textId="77777777" w:rsidR="00C114FF" w:rsidRPr="00383932" w:rsidRDefault="00C114FF" w:rsidP="00383932">
      <w:pPr>
        <w:tabs>
          <w:tab w:val="clear" w:pos="567"/>
        </w:tabs>
        <w:spacing w:line="240" w:lineRule="auto"/>
        <w:ind w:right="-1"/>
        <w:rPr>
          <w:szCs w:val="22"/>
        </w:rPr>
      </w:pPr>
    </w:p>
    <w:p w14:paraId="34EA7207" w14:textId="378AF790" w:rsidR="000F2EE2" w:rsidRPr="00383932" w:rsidRDefault="000F2EE2" w:rsidP="00383932">
      <w:pPr>
        <w:ind w:right="-1"/>
        <w:rPr>
          <w:bCs/>
          <w:szCs w:val="22"/>
        </w:rPr>
      </w:pPr>
      <w:r w:rsidRPr="00383932">
        <w:rPr>
          <w:bCs/>
          <w:szCs w:val="22"/>
        </w:rPr>
        <w:t>Nobilis R</w:t>
      </w:r>
      <w:r w:rsidR="00FB35B2" w:rsidRPr="00383932">
        <w:rPr>
          <w:bCs/>
          <w:szCs w:val="22"/>
        </w:rPr>
        <w:t>eo</w:t>
      </w:r>
      <w:r w:rsidRPr="00383932">
        <w:rPr>
          <w:bCs/>
          <w:szCs w:val="22"/>
        </w:rPr>
        <w:t xml:space="preserve"> injekční emulze</w:t>
      </w:r>
      <w:r w:rsidR="00FB35B2" w:rsidRPr="00383932">
        <w:rPr>
          <w:bCs/>
          <w:szCs w:val="22"/>
        </w:rPr>
        <w:t xml:space="preserve"> pro kura domácího</w:t>
      </w:r>
    </w:p>
    <w:p w14:paraId="14C30FCF" w14:textId="116F5F33" w:rsidR="00C114FF" w:rsidRPr="00383932" w:rsidRDefault="00C114FF" w:rsidP="00383932">
      <w:pPr>
        <w:tabs>
          <w:tab w:val="clear" w:pos="567"/>
        </w:tabs>
        <w:spacing w:line="240" w:lineRule="auto"/>
        <w:ind w:right="-1"/>
        <w:rPr>
          <w:szCs w:val="22"/>
        </w:rPr>
      </w:pPr>
    </w:p>
    <w:p w14:paraId="78A3EDF5" w14:textId="77777777" w:rsidR="005C6C67" w:rsidRPr="00383932" w:rsidRDefault="005C6C67" w:rsidP="00383932">
      <w:pPr>
        <w:tabs>
          <w:tab w:val="clear" w:pos="567"/>
        </w:tabs>
        <w:spacing w:line="240" w:lineRule="auto"/>
        <w:ind w:right="-1"/>
        <w:rPr>
          <w:szCs w:val="22"/>
        </w:rPr>
      </w:pPr>
    </w:p>
    <w:p w14:paraId="14C30FD0" w14:textId="77777777" w:rsidR="00C114FF" w:rsidRPr="00383932" w:rsidRDefault="006C6ABC" w:rsidP="00383932">
      <w:pPr>
        <w:pStyle w:val="Style1"/>
        <w:ind w:right="-1"/>
      </w:pPr>
      <w:r w:rsidRPr="00383932">
        <w:t>2.</w:t>
      </w:r>
      <w:r w:rsidRPr="00383932">
        <w:tab/>
        <w:t>KVALITATIVNÍ A KVANTITATIVNÍ SLOŽENÍ</w:t>
      </w:r>
    </w:p>
    <w:p w14:paraId="14C30FD1" w14:textId="1C651E7C" w:rsidR="00C114FF" w:rsidRPr="00383932" w:rsidRDefault="00C114FF" w:rsidP="00383932">
      <w:pPr>
        <w:tabs>
          <w:tab w:val="clear" w:pos="567"/>
        </w:tabs>
        <w:spacing w:line="240" w:lineRule="auto"/>
        <w:ind w:right="-1"/>
        <w:rPr>
          <w:szCs w:val="22"/>
        </w:rPr>
      </w:pPr>
    </w:p>
    <w:p w14:paraId="73252965" w14:textId="11E95D20" w:rsidR="00FB35B2" w:rsidRPr="00383932" w:rsidRDefault="00FB35B2" w:rsidP="00383932">
      <w:pPr>
        <w:ind w:right="-1"/>
        <w:rPr>
          <w:bCs/>
        </w:rPr>
      </w:pPr>
      <w:r w:rsidRPr="00383932">
        <w:rPr>
          <w:bCs/>
        </w:rPr>
        <w:t>Každá dávka (0,5 ml) obsahuje:</w:t>
      </w:r>
    </w:p>
    <w:p w14:paraId="6E4F4C0B" w14:textId="77777777" w:rsidR="00FB35B2" w:rsidRPr="00383932" w:rsidRDefault="00FB35B2" w:rsidP="00383932">
      <w:pPr>
        <w:tabs>
          <w:tab w:val="clear" w:pos="567"/>
        </w:tabs>
        <w:spacing w:line="240" w:lineRule="auto"/>
        <w:ind w:right="-1"/>
        <w:rPr>
          <w:szCs w:val="22"/>
        </w:rPr>
      </w:pPr>
    </w:p>
    <w:p w14:paraId="2A5C1C91" w14:textId="77777777" w:rsidR="000F2EE2" w:rsidRPr="00383932" w:rsidRDefault="000F2EE2" w:rsidP="00383932">
      <w:pPr>
        <w:ind w:right="-1"/>
        <w:rPr>
          <w:b/>
        </w:rPr>
      </w:pPr>
      <w:r w:rsidRPr="00383932">
        <w:rPr>
          <w:b/>
        </w:rPr>
        <w:t>Léčivá látka:</w:t>
      </w:r>
    </w:p>
    <w:p w14:paraId="3C33E154" w14:textId="4F855271" w:rsidR="000F2EE2" w:rsidRPr="00383932" w:rsidRDefault="000F2EE2" w:rsidP="00383932">
      <w:pPr>
        <w:ind w:right="-1"/>
      </w:pPr>
      <w:r w:rsidRPr="00383932">
        <w:t>Reovirus avium 1733 et 2408 inac. indukující            ≥ 7,4 log</w:t>
      </w:r>
      <w:r w:rsidRPr="00383932">
        <w:rPr>
          <w:vertAlign w:val="subscript"/>
        </w:rPr>
        <w:t>2</w:t>
      </w:r>
      <w:r w:rsidRPr="00383932">
        <w:t xml:space="preserve"> E.U.* (dle příslušného testu účinnosti) </w:t>
      </w:r>
    </w:p>
    <w:p w14:paraId="6E8B881B" w14:textId="77777777" w:rsidR="000F2EE2" w:rsidRPr="00383932" w:rsidRDefault="000F2EE2" w:rsidP="00383932">
      <w:pPr>
        <w:tabs>
          <w:tab w:val="left" w:pos="1701"/>
        </w:tabs>
        <w:ind w:right="-1"/>
        <w:rPr>
          <w:sz w:val="20"/>
        </w:rPr>
      </w:pPr>
    </w:p>
    <w:p w14:paraId="2D582C15" w14:textId="18A4D60E" w:rsidR="000F2EE2" w:rsidRPr="00383932" w:rsidRDefault="000F2EE2" w:rsidP="00383932">
      <w:pPr>
        <w:tabs>
          <w:tab w:val="left" w:pos="1701"/>
        </w:tabs>
        <w:ind w:right="-1"/>
        <w:rPr>
          <w:sz w:val="20"/>
        </w:rPr>
      </w:pPr>
      <w:r w:rsidRPr="00383932">
        <w:rPr>
          <w:sz w:val="20"/>
        </w:rPr>
        <w:t xml:space="preserve">* E.U. – ELISA jednotka </w:t>
      </w:r>
    </w:p>
    <w:p w14:paraId="2D1D418F" w14:textId="5668DE91" w:rsidR="00877714" w:rsidRPr="00383932" w:rsidRDefault="00877714" w:rsidP="00383932">
      <w:pPr>
        <w:tabs>
          <w:tab w:val="left" w:pos="1701"/>
        </w:tabs>
        <w:ind w:right="-1"/>
        <w:rPr>
          <w:sz w:val="20"/>
        </w:rPr>
      </w:pPr>
    </w:p>
    <w:p w14:paraId="102F55CB" w14:textId="1BF3C9BB" w:rsidR="00877714" w:rsidRPr="00383932" w:rsidRDefault="00877714" w:rsidP="00383932">
      <w:pPr>
        <w:tabs>
          <w:tab w:val="left" w:pos="1701"/>
        </w:tabs>
        <w:ind w:right="-1"/>
        <w:rPr>
          <w:b/>
          <w:szCs w:val="22"/>
        </w:rPr>
      </w:pPr>
      <w:r w:rsidRPr="00383932">
        <w:rPr>
          <w:b/>
          <w:szCs w:val="22"/>
        </w:rPr>
        <w:t xml:space="preserve">Adjuvans: </w:t>
      </w:r>
      <w:r w:rsidR="00C15B70" w:rsidRPr="00383932">
        <w:rPr>
          <w:b/>
          <w:szCs w:val="22"/>
        </w:rPr>
        <w:t xml:space="preserve"> </w:t>
      </w:r>
    </w:p>
    <w:p w14:paraId="728ED2DD" w14:textId="54D99A3D" w:rsidR="00C15B70" w:rsidRPr="00383932" w:rsidRDefault="00C15B70" w:rsidP="00383932">
      <w:pPr>
        <w:tabs>
          <w:tab w:val="left" w:pos="1701"/>
        </w:tabs>
        <w:ind w:right="-1"/>
        <w:rPr>
          <w:szCs w:val="22"/>
        </w:rPr>
      </w:pPr>
      <w:r w:rsidRPr="00383932">
        <w:rPr>
          <w:szCs w:val="22"/>
        </w:rPr>
        <w:t>Tekutý parafín:</w:t>
      </w:r>
      <w:r w:rsidRPr="00383932">
        <w:rPr>
          <w:szCs w:val="22"/>
        </w:rPr>
        <w:tab/>
        <w:t>214,4 mg</w:t>
      </w:r>
    </w:p>
    <w:p w14:paraId="14C30FD5" w14:textId="77777777" w:rsidR="00C114FF" w:rsidRPr="00383932" w:rsidRDefault="00C114FF" w:rsidP="00383932">
      <w:pPr>
        <w:tabs>
          <w:tab w:val="clear" w:pos="567"/>
        </w:tabs>
        <w:spacing w:line="240" w:lineRule="auto"/>
        <w:ind w:right="-1"/>
        <w:rPr>
          <w:szCs w:val="22"/>
        </w:rPr>
      </w:pPr>
    </w:p>
    <w:p w14:paraId="14C30FD6" w14:textId="684E1B3B" w:rsidR="00C114FF" w:rsidRPr="00383932" w:rsidRDefault="006C6ABC" w:rsidP="00383932">
      <w:pPr>
        <w:tabs>
          <w:tab w:val="clear" w:pos="567"/>
        </w:tabs>
        <w:spacing w:line="240" w:lineRule="auto"/>
        <w:ind w:right="-1"/>
        <w:rPr>
          <w:szCs w:val="22"/>
        </w:rPr>
      </w:pPr>
      <w:r w:rsidRPr="00383932">
        <w:rPr>
          <w:b/>
          <w:szCs w:val="22"/>
        </w:rPr>
        <w:t>Pomocné látky:</w:t>
      </w:r>
    </w:p>
    <w:p w14:paraId="14C30FD7" w14:textId="77777777" w:rsidR="00C114FF" w:rsidRPr="00383932" w:rsidRDefault="00C114FF" w:rsidP="00383932">
      <w:pPr>
        <w:tabs>
          <w:tab w:val="clear" w:pos="567"/>
        </w:tabs>
        <w:spacing w:line="240" w:lineRule="auto"/>
        <w:ind w:right="-1"/>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tblGrid>
      <w:tr w:rsidR="00383932" w:rsidRPr="00383932" w14:paraId="14C30FDA" w14:textId="106F79F7" w:rsidTr="00775084">
        <w:tc>
          <w:tcPr>
            <w:tcW w:w="4528" w:type="dxa"/>
            <w:shd w:val="clear" w:color="auto" w:fill="auto"/>
            <w:vAlign w:val="center"/>
          </w:tcPr>
          <w:p w14:paraId="14C30FD8" w14:textId="3528D38A" w:rsidR="00C15B70" w:rsidRPr="00383932" w:rsidRDefault="00C15B70" w:rsidP="00383932">
            <w:pPr>
              <w:spacing w:before="60" w:after="60"/>
              <w:ind w:right="-1"/>
              <w:rPr>
                <w:b/>
                <w:bCs/>
                <w:iCs/>
                <w:szCs w:val="22"/>
              </w:rPr>
            </w:pPr>
            <w:r w:rsidRPr="00383932">
              <w:rPr>
                <w:b/>
                <w:bCs/>
                <w:iCs/>
                <w:szCs w:val="22"/>
              </w:rPr>
              <w:t>Kvalitativní složení pomocných látek a dalších složek</w:t>
            </w:r>
          </w:p>
        </w:tc>
      </w:tr>
      <w:tr w:rsidR="00383932" w:rsidRPr="00383932" w14:paraId="14C30FE0" w14:textId="3C5A1B58" w:rsidTr="00775084">
        <w:tc>
          <w:tcPr>
            <w:tcW w:w="4528" w:type="dxa"/>
            <w:tcBorders>
              <w:top w:val="single" w:sz="4" w:space="0" w:color="auto"/>
            </w:tcBorders>
            <w:shd w:val="clear" w:color="auto" w:fill="auto"/>
            <w:vAlign w:val="center"/>
          </w:tcPr>
          <w:p w14:paraId="14C30FDE" w14:textId="21D74A2A" w:rsidR="00C15B70" w:rsidRPr="00383932" w:rsidRDefault="00C15B70" w:rsidP="00383932">
            <w:pPr>
              <w:ind w:right="-1"/>
              <w:rPr>
                <w:iCs/>
                <w:szCs w:val="22"/>
              </w:rPr>
            </w:pPr>
            <w:r w:rsidRPr="00383932">
              <w:t>Polysorbát 80</w:t>
            </w:r>
          </w:p>
        </w:tc>
      </w:tr>
      <w:tr w:rsidR="00383932" w:rsidRPr="00383932" w14:paraId="14C30FE3" w14:textId="6034DCE5" w:rsidTr="00775084">
        <w:tc>
          <w:tcPr>
            <w:tcW w:w="4528" w:type="dxa"/>
            <w:shd w:val="clear" w:color="auto" w:fill="auto"/>
            <w:vAlign w:val="center"/>
          </w:tcPr>
          <w:p w14:paraId="14C30FE1" w14:textId="64FB8647" w:rsidR="00C15B70" w:rsidRPr="00383932" w:rsidRDefault="00C15B70" w:rsidP="00383932">
            <w:pPr>
              <w:ind w:right="-1"/>
              <w:rPr>
                <w:iCs/>
                <w:szCs w:val="22"/>
              </w:rPr>
            </w:pPr>
            <w:r w:rsidRPr="00383932">
              <w:t>Sorbitan oleát</w:t>
            </w:r>
          </w:p>
        </w:tc>
      </w:tr>
      <w:tr w:rsidR="00383932" w:rsidRPr="00383932" w14:paraId="14C30FE6" w14:textId="2FD2BBD4" w:rsidTr="00775084">
        <w:tc>
          <w:tcPr>
            <w:tcW w:w="4528" w:type="dxa"/>
            <w:shd w:val="clear" w:color="auto" w:fill="auto"/>
            <w:vAlign w:val="center"/>
          </w:tcPr>
          <w:p w14:paraId="14C30FE4" w14:textId="6E59CDEB" w:rsidR="00C15B70" w:rsidRPr="00383932" w:rsidRDefault="00C15B70" w:rsidP="00383932">
            <w:pPr>
              <w:ind w:right="-1"/>
              <w:rPr>
                <w:b/>
                <w:bCs/>
                <w:iCs/>
                <w:szCs w:val="22"/>
              </w:rPr>
            </w:pPr>
            <w:r w:rsidRPr="00383932">
              <w:t>Glycin</w:t>
            </w:r>
          </w:p>
        </w:tc>
      </w:tr>
      <w:tr w:rsidR="00383932" w:rsidRPr="00383932" w14:paraId="14C30FE9" w14:textId="3EA004A3" w:rsidTr="00775084">
        <w:tc>
          <w:tcPr>
            <w:tcW w:w="4528" w:type="dxa"/>
            <w:shd w:val="clear" w:color="auto" w:fill="auto"/>
            <w:vAlign w:val="center"/>
          </w:tcPr>
          <w:p w14:paraId="14C30FE7" w14:textId="4E37734B" w:rsidR="00C15B70" w:rsidRPr="00383932" w:rsidRDefault="00C15B70" w:rsidP="00383932">
            <w:pPr>
              <w:spacing w:before="60" w:after="60"/>
              <w:ind w:right="-1"/>
              <w:rPr>
                <w:iCs/>
                <w:szCs w:val="22"/>
              </w:rPr>
            </w:pPr>
            <w:r w:rsidRPr="00383932">
              <w:t>Formaldehyd</w:t>
            </w:r>
          </w:p>
        </w:tc>
      </w:tr>
      <w:tr w:rsidR="00C15B70" w:rsidRPr="00383932" w14:paraId="2B66F16E" w14:textId="4A8FBBB3" w:rsidTr="00775084">
        <w:tc>
          <w:tcPr>
            <w:tcW w:w="4528" w:type="dxa"/>
            <w:shd w:val="clear" w:color="auto" w:fill="auto"/>
            <w:vAlign w:val="center"/>
          </w:tcPr>
          <w:p w14:paraId="71DF2024" w14:textId="719E804A" w:rsidR="00C15B70" w:rsidRPr="00383932" w:rsidRDefault="00C15B70" w:rsidP="00383932">
            <w:pPr>
              <w:spacing w:before="60" w:after="60"/>
              <w:ind w:right="-1"/>
              <w:rPr>
                <w:iCs/>
                <w:szCs w:val="22"/>
              </w:rPr>
            </w:pPr>
            <w:r w:rsidRPr="00383932">
              <w:t>Voda pro injekci</w:t>
            </w:r>
          </w:p>
        </w:tc>
      </w:tr>
    </w:tbl>
    <w:p w14:paraId="14C30FEA" w14:textId="77777777" w:rsidR="00872C48" w:rsidRPr="00383932" w:rsidRDefault="00872C48" w:rsidP="00383932">
      <w:pPr>
        <w:tabs>
          <w:tab w:val="clear" w:pos="567"/>
        </w:tabs>
        <w:spacing w:line="240" w:lineRule="auto"/>
        <w:ind w:right="-1"/>
        <w:rPr>
          <w:szCs w:val="22"/>
        </w:rPr>
      </w:pPr>
    </w:p>
    <w:p w14:paraId="0583D641" w14:textId="68AC9236" w:rsidR="000F2EE2" w:rsidRPr="00383932" w:rsidRDefault="00FB35B2" w:rsidP="00383932">
      <w:pPr>
        <w:ind w:right="-1"/>
      </w:pPr>
      <w:r w:rsidRPr="00383932">
        <w:t>Homogenní bílá až špinavě bílá i</w:t>
      </w:r>
      <w:r w:rsidR="000F2EE2" w:rsidRPr="00383932">
        <w:t>njekční emulze.</w:t>
      </w:r>
    </w:p>
    <w:p w14:paraId="14C30FEB" w14:textId="351930D4" w:rsidR="00C114FF" w:rsidRPr="00383932" w:rsidRDefault="00C114FF" w:rsidP="00383932">
      <w:pPr>
        <w:tabs>
          <w:tab w:val="clear" w:pos="567"/>
        </w:tabs>
        <w:spacing w:line="240" w:lineRule="auto"/>
        <w:ind w:right="-1"/>
        <w:rPr>
          <w:szCs w:val="22"/>
        </w:rPr>
      </w:pPr>
    </w:p>
    <w:p w14:paraId="2272F30F" w14:textId="77777777" w:rsidR="000F2EE2" w:rsidRPr="00383932" w:rsidRDefault="000F2EE2" w:rsidP="00383932">
      <w:pPr>
        <w:tabs>
          <w:tab w:val="clear" w:pos="567"/>
        </w:tabs>
        <w:spacing w:line="240" w:lineRule="auto"/>
        <w:ind w:right="-1"/>
        <w:rPr>
          <w:szCs w:val="22"/>
        </w:rPr>
      </w:pPr>
    </w:p>
    <w:p w14:paraId="14C30FEC" w14:textId="77777777" w:rsidR="00C114FF" w:rsidRPr="00383932" w:rsidRDefault="006C6ABC" w:rsidP="00383932">
      <w:pPr>
        <w:pStyle w:val="Style1"/>
        <w:ind w:right="-1"/>
      </w:pPr>
      <w:r w:rsidRPr="00383932">
        <w:t>3.</w:t>
      </w:r>
      <w:r w:rsidRPr="00383932">
        <w:tab/>
        <w:t>KLINICKÉ INFORMACE</w:t>
      </w:r>
    </w:p>
    <w:p w14:paraId="14C30FED" w14:textId="77777777" w:rsidR="00C114FF" w:rsidRPr="00383932" w:rsidRDefault="00C114FF" w:rsidP="00383932">
      <w:pPr>
        <w:tabs>
          <w:tab w:val="clear" w:pos="567"/>
        </w:tabs>
        <w:spacing w:line="240" w:lineRule="auto"/>
        <w:ind w:right="-1"/>
        <w:rPr>
          <w:szCs w:val="22"/>
        </w:rPr>
      </w:pPr>
    </w:p>
    <w:p w14:paraId="14C30FEE" w14:textId="77777777" w:rsidR="00C114FF" w:rsidRPr="00383932" w:rsidRDefault="006C6ABC" w:rsidP="00383932">
      <w:pPr>
        <w:pStyle w:val="Style1"/>
        <w:ind w:right="-1"/>
      </w:pPr>
      <w:r w:rsidRPr="00383932">
        <w:t>3.1</w:t>
      </w:r>
      <w:r w:rsidRPr="00383932">
        <w:tab/>
        <w:t>Cílové druhy zvířat</w:t>
      </w:r>
    </w:p>
    <w:p w14:paraId="14C30FEF" w14:textId="679FA2EC" w:rsidR="00C114FF" w:rsidRPr="00383932" w:rsidRDefault="00C114FF" w:rsidP="00383932">
      <w:pPr>
        <w:tabs>
          <w:tab w:val="clear" w:pos="567"/>
        </w:tabs>
        <w:spacing w:line="240" w:lineRule="auto"/>
        <w:ind w:right="-1"/>
        <w:rPr>
          <w:szCs w:val="22"/>
        </w:rPr>
      </w:pPr>
    </w:p>
    <w:p w14:paraId="61B6F7BB" w14:textId="01AC0E83" w:rsidR="00C352F7" w:rsidRPr="00383932" w:rsidRDefault="00C352F7" w:rsidP="00383932">
      <w:pPr>
        <w:tabs>
          <w:tab w:val="clear" w:pos="567"/>
        </w:tabs>
        <w:spacing w:line="240" w:lineRule="auto"/>
        <w:ind w:right="-1"/>
        <w:rPr>
          <w:szCs w:val="22"/>
        </w:rPr>
      </w:pPr>
      <w:r w:rsidRPr="00383932">
        <w:rPr>
          <w:szCs w:val="22"/>
        </w:rPr>
        <w:t>Kur domácí.</w:t>
      </w:r>
    </w:p>
    <w:p w14:paraId="40B55962" w14:textId="0832DB60" w:rsidR="00C352F7" w:rsidRPr="00383932" w:rsidRDefault="00C352F7" w:rsidP="00383932">
      <w:pPr>
        <w:tabs>
          <w:tab w:val="clear" w:pos="567"/>
        </w:tabs>
        <w:spacing w:line="240" w:lineRule="auto"/>
        <w:ind w:right="-1"/>
        <w:rPr>
          <w:szCs w:val="22"/>
        </w:rPr>
      </w:pPr>
    </w:p>
    <w:p w14:paraId="14C30FF0" w14:textId="77777777" w:rsidR="00C114FF" w:rsidRPr="00383932" w:rsidRDefault="006C6ABC" w:rsidP="00383932">
      <w:pPr>
        <w:pStyle w:val="Style1"/>
        <w:ind w:right="-1"/>
      </w:pPr>
      <w:r w:rsidRPr="00383932">
        <w:t>3.2</w:t>
      </w:r>
      <w:r w:rsidRPr="00383932">
        <w:tab/>
        <w:t xml:space="preserve">Indikace pro použití pro každý cílový druh </w:t>
      </w:r>
      <w:r w:rsidR="0043586F" w:rsidRPr="00383932">
        <w:t>zvířat</w:t>
      </w:r>
    </w:p>
    <w:p w14:paraId="14C30FF1" w14:textId="77777777" w:rsidR="00C114FF" w:rsidRPr="00383932" w:rsidRDefault="00C114FF" w:rsidP="00383932">
      <w:pPr>
        <w:tabs>
          <w:tab w:val="clear" w:pos="567"/>
        </w:tabs>
        <w:spacing w:line="240" w:lineRule="auto"/>
        <w:ind w:right="-1"/>
        <w:rPr>
          <w:szCs w:val="22"/>
        </w:rPr>
      </w:pPr>
    </w:p>
    <w:p w14:paraId="68018978" w14:textId="3F722138" w:rsidR="000F2EE2" w:rsidRPr="00383932" w:rsidRDefault="000F2EE2" w:rsidP="00383932">
      <w:pPr>
        <w:ind w:right="-1"/>
      </w:pPr>
      <w:r w:rsidRPr="00383932">
        <w:t>Aktivní imunizace drůbeže proti onemocnění vyvolanému reovirovou infekc</w:t>
      </w:r>
      <w:r w:rsidR="001B5152" w:rsidRPr="00383932">
        <w:t>í</w:t>
      </w:r>
      <w:r w:rsidRPr="00383932">
        <w:t>.</w:t>
      </w:r>
    </w:p>
    <w:p w14:paraId="0F6196CC" w14:textId="61ACF961" w:rsidR="000F2EE2" w:rsidRPr="00383932" w:rsidRDefault="000F2EE2" w:rsidP="00383932">
      <w:pPr>
        <w:ind w:right="-1"/>
      </w:pPr>
      <w:r w:rsidRPr="00383932">
        <w:t>Vakcína se doporučuje pro revakcinaci rodičovského materiálu proti ptačímu reoviru za účelem ochrany jeho potomstva proti reovirovým infekcím.</w:t>
      </w:r>
    </w:p>
    <w:p w14:paraId="2D5702C2" w14:textId="77777777" w:rsidR="000F2EE2" w:rsidRPr="00383932" w:rsidRDefault="000F2EE2" w:rsidP="00383932">
      <w:pPr>
        <w:ind w:right="-1"/>
      </w:pPr>
    </w:p>
    <w:p w14:paraId="2DE2BB1F" w14:textId="77777777" w:rsidR="000F2EE2" w:rsidRPr="00383932" w:rsidRDefault="000F2EE2" w:rsidP="00383932">
      <w:pPr>
        <w:ind w:right="-1"/>
      </w:pPr>
      <w:r w:rsidRPr="00383932">
        <w:t>Nástup imunity: 4 týdny po vakcinaci.</w:t>
      </w:r>
    </w:p>
    <w:p w14:paraId="6E3151C6" w14:textId="77777777" w:rsidR="000F2EE2" w:rsidRPr="00383932" w:rsidRDefault="000F2EE2" w:rsidP="00383932">
      <w:pPr>
        <w:ind w:right="-1"/>
      </w:pPr>
      <w:r w:rsidRPr="00383932">
        <w:t xml:space="preserve">Trvání imunity: nastupující snáškové období. </w:t>
      </w:r>
    </w:p>
    <w:p w14:paraId="2A02E05E" w14:textId="77777777" w:rsidR="000F2EE2" w:rsidRPr="00383932" w:rsidRDefault="000F2EE2" w:rsidP="00383932">
      <w:pPr>
        <w:ind w:right="-1"/>
      </w:pPr>
    </w:p>
    <w:p w14:paraId="14C30FF5" w14:textId="43E7D66E" w:rsidR="00E86CEE" w:rsidRPr="00383932" w:rsidRDefault="000F2EE2" w:rsidP="00383932">
      <w:pPr>
        <w:ind w:right="-1"/>
      </w:pPr>
      <w:r w:rsidRPr="00383932">
        <w:t>Kuřata jsou chráněna proti reovirům prostřednictvím pasivních protilátek během prvních kritických týdnů života.</w:t>
      </w:r>
    </w:p>
    <w:p w14:paraId="53461117" w14:textId="77777777" w:rsidR="000F2EE2" w:rsidRPr="00383932" w:rsidRDefault="000F2EE2" w:rsidP="00383932">
      <w:pPr>
        <w:tabs>
          <w:tab w:val="clear" w:pos="567"/>
        </w:tabs>
        <w:spacing w:line="240" w:lineRule="auto"/>
        <w:ind w:right="-1"/>
        <w:rPr>
          <w:szCs w:val="22"/>
        </w:rPr>
      </w:pPr>
    </w:p>
    <w:p w14:paraId="14C30FF6" w14:textId="77777777" w:rsidR="00C114FF" w:rsidRPr="00383932" w:rsidRDefault="006C6ABC" w:rsidP="00383932">
      <w:pPr>
        <w:pStyle w:val="Style1"/>
        <w:ind w:right="-1"/>
      </w:pPr>
      <w:r w:rsidRPr="00383932">
        <w:t>3.3</w:t>
      </w:r>
      <w:r w:rsidRPr="00383932">
        <w:tab/>
        <w:t>Kontraindikace</w:t>
      </w:r>
    </w:p>
    <w:p w14:paraId="14C30FF7" w14:textId="77777777" w:rsidR="00C114FF" w:rsidRPr="00383932" w:rsidRDefault="00C114FF" w:rsidP="00383932">
      <w:pPr>
        <w:tabs>
          <w:tab w:val="clear" w:pos="567"/>
        </w:tabs>
        <w:spacing w:line="240" w:lineRule="auto"/>
        <w:ind w:right="-1"/>
        <w:rPr>
          <w:szCs w:val="22"/>
        </w:rPr>
      </w:pPr>
    </w:p>
    <w:p w14:paraId="11C43244" w14:textId="18714800" w:rsidR="000F2EE2" w:rsidRPr="00383932" w:rsidRDefault="00FB35B2" w:rsidP="00383932">
      <w:pPr>
        <w:pStyle w:val="Seznam"/>
        <w:widowControl/>
        <w:ind w:right="-1"/>
        <w:jc w:val="both"/>
        <w:rPr>
          <w:sz w:val="24"/>
          <w:szCs w:val="24"/>
        </w:rPr>
      </w:pPr>
      <w:r w:rsidRPr="00383932">
        <w:rPr>
          <w:sz w:val="24"/>
          <w:szCs w:val="24"/>
        </w:rPr>
        <w:t>Nejsou.</w:t>
      </w:r>
    </w:p>
    <w:p w14:paraId="14C30FFB" w14:textId="77777777" w:rsidR="00C114FF" w:rsidRPr="00383932" w:rsidRDefault="00C114FF" w:rsidP="00383932">
      <w:pPr>
        <w:tabs>
          <w:tab w:val="clear" w:pos="567"/>
        </w:tabs>
        <w:spacing w:line="240" w:lineRule="auto"/>
        <w:ind w:right="-1"/>
        <w:rPr>
          <w:szCs w:val="22"/>
        </w:rPr>
      </w:pPr>
    </w:p>
    <w:p w14:paraId="14C30FFC" w14:textId="77777777" w:rsidR="00C114FF" w:rsidRPr="00383932" w:rsidRDefault="006C6ABC" w:rsidP="00383932">
      <w:pPr>
        <w:pStyle w:val="Style1"/>
        <w:ind w:right="-1"/>
      </w:pPr>
      <w:r w:rsidRPr="00383932">
        <w:t>3.4</w:t>
      </w:r>
      <w:r w:rsidRPr="00383932">
        <w:tab/>
        <w:t>Zvláštní upozornění</w:t>
      </w:r>
    </w:p>
    <w:p w14:paraId="14C30FFD" w14:textId="77777777" w:rsidR="00C114FF" w:rsidRPr="00383932" w:rsidRDefault="00C114FF" w:rsidP="00383932">
      <w:pPr>
        <w:tabs>
          <w:tab w:val="clear" w:pos="567"/>
        </w:tabs>
        <w:spacing w:line="240" w:lineRule="auto"/>
        <w:ind w:right="-1"/>
        <w:rPr>
          <w:szCs w:val="22"/>
        </w:rPr>
      </w:pPr>
    </w:p>
    <w:p w14:paraId="76F85501" w14:textId="77777777" w:rsidR="00FB35B2" w:rsidRPr="00383932" w:rsidRDefault="00FB35B2" w:rsidP="00383932">
      <w:pPr>
        <w:ind w:right="-1"/>
      </w:pPr>
      <w:r w:rsidRPr="00383932">
        <w:t>Vakcinovat pouze zdravá zvířata.</w:t>
      </w:r>
    </w:p>
    <w:p w14:paraId="14C31001" w14:textId="77777777" w:rsidR="00E86CEE" w:rsidRPr="00383932" w:rsidRDefault="00E86CEE" w:rsidP="00383932">
      <w:pPr>
        <w:tabs>
          <w:tab w:val="clear" w:pos="567"/>
        </w:tabs>
        <w:spacing w:line="240" w:lineRule="auto"/>
        <w:ind w:right="-1"/>
        <w:rPr>
          <w:szCs w:val="22"/>
        </w:rPr>
      </w:pPr>
    </w:p>
    <w:p w14:paraId="14C31002" w14:textId="77777777" w:rsidR="00C114FF" w:rsidRPr="00383932" w:rsidRDefault="006C6ABC" w:rsidP="00383932">
      <w:pPr>
        <w:pStyle w:val="Style1"/>
        <w:ind w:right="-1"/>
      </w:pPr>
      <w:r w:rsidRPr="00383932">
        <w:t>3.5</w:t>
      </w:r>
      <w:r w:rsidRPr="00383932">
        <w:tab/>
        <w:t>Zvláštní opatření pro použití</w:t>
      </w:r>
    </w:p>
    <w:p w14:paraId="14C31003" w14:textId="77777777" w:rsidR="00C114FF" w:rsidRPr="00383932" w:rsidRDefault="00C114FF" w:rsidP="00383932">
      <w:pPr>
        <w:tabs>
          <w:tab w:val="clear" w:pos="567"/>
        </w:tabs>
        <w:spacing w:line="240" w:lineRule="auto"/>
        <w:ind w:right="-1"/>
        <w:rPr>
          <w:szCs w:val="22"/>
        </w:rPr>
      </w:pPr>
    </w:p>
    <w:p w14:paraId="14C31004" w14:textId="77777777" w:rsidR="00C114FF" w:rsidRPr="00383932" w:rsidRDefault="006C6ABC" w:rsidP="00383932">
      <w:pPr>
        <w:tabs>
          <w:tab w:val="clear" w:pos="567"/>
        </w:tabs>
        <w:spacing w:line="240" w:lineRule="auto"/>
        <w:ind w:right="-1"/>
        <w:rPr>
          <w:szCs w:val="22"/>
          <w:u w:val="single"/>
        </w:rPr>
      </w:pPr>
      <w:r w:rsidRPr="00383932">
        <w:rPr>
          <w:szCs w:val="22"/>
          <w:u w:val="single"/>
        </w:rPr>
        <w:t>Zvláštní opatření pro bezpečné použití u cílových druhů zvířat:</w:t>
      </w:r>
    </w:p>
    <w:p w14:paraId="14C31005" w14:textId="77777777" w:rsidR="00C114FF" w:rsidRPr="00383932" w:rsidRDefault="00C114FF" w:rsidP="00383932">
      <w:pPr>
        <w:tabs>
          <w:tab w:val="clear" w:pos="567"/>
        </w:tabs>
        <w:spacing w:line="240" w:lineRule="auto"/>
        <w:ind w:right="-1"/>
        <w:rPr>
          <w:szCs w:val="22"/>
        </w:rPr>
      </w:pPr>
    </w:p>
    <w:p w14:paraId="22C53A96" w14:textId="77777777" w:rsidR="00FB35B2" w:rsidRPr="00383932" w:rsidRDefault="00FB35B2" w:rsidP="00383932">
      <w:pPr>
        <w:ind w:right="-1"/>
      </w:pPr>
      <w:r w:rsidRPr="00383932">
        <w:t>Neuplatňuje se.</w:t>
      </w:r>
    </w:p>
    <w:p w14:paraId="14C3100F" w14:textId="77777777" w:rsidR="00C114FF" w:rsidRPr="00383932" w:rsidRDefault="00C114FF" w:rsidP="00383932">
      <w:pPr>
        <w:tabs>
          <w:tab w:val="clear" w:pos="567"/>
        </w:tabs>
        <w:spacing w:line="240" w:lineRule="auto"/>
        <w:ind w:right="-1"/>
        <w:rPr>
          <w:szCs w:val="22"/>
        </w:rPr>
      </w:pPr>
    </w:p>
    <w:p w14:paraId="14C31010" w14:textId="77777777" w:rsidR="00C114FF" w:rsidRPr="00383932" w:rsidRDefault="006C6ABC" w:rsidP="00383932">
      <w:pPr>
        <w:tabs>
          <w:tab w:val="clear" w:pos="567"/>
        </w:tabs>
        <w:spacing w:line="240" w:lineRule="auto"/>
        <w:ind w:right="-1"/>
        <w:rPr>
          <w:szCs w:val="22"/>
          <w:u w:val="single"/>
        </w:rPr>
      </w:pPr>
      <w:r w:rsidRPr="00383932">
        <w:rPr>
          <w:szCs w:val="22"/>
          <w:u w:val="single"/>
        </w:rPr>
        <w:t>Zvláštní opatření pro osobu, která podává veterinární léčivý přípravek zvířatům:</w:t>
      </w:r>
    </w:p>
    <w:p w14:paraId="14C31011" w14:textId="77777777" w:rsidR="00C114FF" w:rsidRPr="00383932" w:rsidRDefault="00C114FF" w:rsidP="00383932">
      <w:pPr>
        <w:tabs>
          <w:tab w:val="clear" w:pos="567"/>
        </w:tabs>
        <w:spacing w:line="240" w:lineRule="auto"/>
        <w:ind w:right="-1"/>
        <w:rPr>
          <w:szCs w:val="22"/>
        </w:rPr>
      </w:pPr>
    </w:p>
    <w:p w14:paraId="14C31024" w14:textId="21178B76" w:rsidR="00C114FF" w:rsidRPr="00383932" w:rsidRDefault="006C6ABC" w:rsidP="00383932">
      <w:pPr>
        <w:tabs>
          <w:tab w:val="clear" w:pos="567"/>
        </w:tabs>
        <w:autoSpaceDE w:val="0"/>
        <w:autoSpaceDN w:val="0"/>
        <w:adjustRightInd w:val="0"/>
        <w:spacing w:line="240" w:lineRule="auto"/>
        <w:ind w:right="-1"/>
        <w:rPr>
          <w:szCs w:val="22"/>
        </w:rPr>
      </w:pPr>
      <w:r w:rsidRPr="00383932">
        <w:t>Pro uživatele:</w:t>
      </w:r>
    </w:p>
    <w:p w14:paraId="14C31025" w14:textId="77777777" w:rsidR="00C114FF" w:rsidRPr="00383932" w:rsidRDefault="006C6ABC" w:rsidP="00383932">
      <w:pPr>
        <w:tabs>
          <w:tab w:val="clear" w:pos="567"/>
        </w:tabs>
        <w:autoSpaceDE w:val="0"/>
        <w:autoSpaceDN w:val="0"/>
        <w:adjustRightInd w:val="0"/>
        <w:spacing w:line="240" w:lineRule="auto"/>
        <w:ind w:right="-1"/>
        <w:rPr>
          <w:szCs w:val="22"/>
        </w:rPr>
      </w:pPr>
      <w:r w:rsidRPr="00383932">
        <w:t xml:space="preserve">Tento veterinární léčivý přípravek obsahuje minerální olej. Náhodná injekce / náhodné sebepoškození injekčně </w:t>
      </w:r>
      <w:r w:rsidR="00F50315" w:rsidRPr="00383932">
        <w:t xml:space="preserve">podaným </w:t>
      </w:r>
      <w:r w:rsidRPr="00383932">
        <w:t>přípravkem může způsobit silné bolesti a otok, zvláště po injekčním podání do kloubu nebo prstu, a ve vzácných případech může vést k ztrátě postiženého prstu, pokud není poskytnuta rychlá lékařská péče. Pokud u vás došlo k náhodné injekci veterinárního léčivého přípravku, vyhledejte lékařskou pomoc, i když šlo jen o malé množství, a vezměte příbalovou informaci s sebou. Pokud bolest přetrvává více než 12 hodin po lékařské prohlídce, obraťte se na lékaře znovu.</w:t>
      </w:r>
    </w:p>
    <w:p w14:paraId="14C31026" w14:textId="77777777" w:rsidR="00C114FF" w:rsidRPr="00383932" w:rsidRDefault="00C114FF" w:rsidP="00383932">
      <w:pPr>
        <w:tabs>
          <w:tab w:val="clear" w:pos="567"/>
        </w:tabs>
        <w:autoSpaceDE w:val="0"/>
        <w:autoSpaceDN w:val="0"/>
        <w:adjustRightInd w:val="0"/>
        <w:spacing w:line="240" w:lineRule="auto"/>
        <w:ind w:right="-1"/>
        <w:rPr>
          <w:szCs w:val="22"/>
        </w:rPr>
      </w:pPr>
    </w:p>
    <w:p w14:paraId="14C31027" w14:textId="77777777" w:rsidR="00C114FF" w:rsidRPr="00383932" w:rsidRDefault="006C6ABC" w:rsidP="00383932">
      <w:pPr>
        <w:tabs>
          <w:tab w:val="clear" w:pos="567"/>
        </w:tabs>
        <w:autoSpaceDE w:val="0"/>
        <w:autoSpaceDN w:val="0"/>
        <w:adjustRightInd w:val="0"/>
        <w:spacing w:line="240" w:lineRule="auto"/>
        <w:ind w:right="-1"/>
        <w:rPr>
          <w:szCs w:val="22"/>
        </w:rPr>
      </w:pPr>
      <w:r w:rsidRPr="00383932">
        <w:t>Pro lékaře:</w:t>
      </w:r>
    </w:p>
    <w:p w14:paraId="14C31028" w14:textId="1F4DFD25" w:rsidR="00C114FF" w:rsidRPr="00383932" w:rsidRDefault="006C6ABC" w:rsidP="00383932">
      <w:pPr>
        <w:tabs>
          <w:tab w:val="clear" w:pos="567"/>
        </w:tabs>
        <w:autoSpaceDE w:val="0"/>
        <w:autoSpaceDN w:val="0"/>
        <w:adjustRightInd w:val="0"/>
        <w:spacing w:line="240" w:lineRule="auto"/>
        <w:ind w:right="-1"/>
        <w:rPr>
          <w:szCs w:val="22"/>
        </w:rPr>
      </w:pPr>
      <w:r w:rsidRPr="00383932">
        <w:t xml:space="preserve">Tento veterinární léčivý přípravek obsahuje minerální olej. I když bylo injekčně </w:t>
      </w:r>
      <w:r w:rsidR="00F50315" w:rsidRPr="00383932">
        <w:t xml:space="preserve">podané </w:t>
      </w:r>
      <w:r w:rsidRPr="00383932">
        <w:t xml:space="preserve">malé množství, náhodná injekce tohoto </w:t>
      </w:r>
      <w:r w:rsidR="00CC1EF7" w:rsidRPr="00383932">
        <w:t xml:space="preserve">veterinárního léčivého </w:t>
      </w:r>
      <w:r w:rsidRPr="00383932">
        <w:t>přípravku může vyvolat intenzivní otok, který může např. končit ischemickou nekrózou</w:t>
      </w:r>
      <w:r w:rsidR="00CC1EF7" w:rsidRPr="00383932">
        <w:t>,</w:t>
      </w:r>
      <w:r w:rsidRPr="00383932">
        <w:t xml:space="preserve"> a dokonce i ztrátou prstu. Odborná, RYCHLÁ chirurgická péče je nutná a může vyžadovat včasné chirurgické otevření a výplach místa, kam byla injekce podána, zvláště tam, kde je zasažena pulpa prstu nebo šlacha.</w:t>
      </w:r>
    </w:p>
    <w:p w14:paraId="14C31029" w14:textId="77777777" w:rsidR="00C114FF" w:rsidRPr="00383932" w:rsidRDefault="00C114FF" w:rsidP="00383932">
      <w:pPr>
        <w:tabs>
          <w:tab w:val="clear" w:pos="567"/>
        </w:tabs>
        <w:spacing w:line="240" w:lineRule="auto"/>
        <w:ind w:right="-1"/>
        <w:rPr>
          <w:szCs w:val="22"/>
        </w:rPr>
      </w:pPr>
    </w:p>
    <w:p w14:paraId="12C18DEF" w14:textId="77777777" w:rsidR="00D774A4" w:rsidRPr="00383932" w:rsidRDefault="00D774A4" w:rsidP="00383932">
      <w:pPr>
        <w:tabs>
          <w:tab w:val="clear" w:pos="567"/>
        </w:tabs>
        <w:spacing w:line="240" w:lineRule="auto"/>
        <w:ind w:right="-1"/>
        <w:rPr>
          <w:szCs w:val="22"/>
          <w:u w:val="single"/>
        </w:rPr>
      </w:pPr>
      <w:r w:rsidRPr="00383932">
        <w:rPr>
          <w:szCs w:val="22"/>
          <w:u w:val="single"/>
        </w:rPr>
        <w:t>Zvláštní opatření pro ochranu životního prostředí:</w:t>
      </w:r>
    </w:p>
    <w:p w14:paraId="266EB9A1" w14:textId="77777777" w:rsidR="00D774A4" w:rsidRPr="00383932" w:rsidRDefault="00D774A4" w:rsidP="00383932">
      <w:pPr>
        <w:tabs>
          <w:tab w:val="clear" w:pos="567"/>
        </w:tabs>
        <w:spacing w:line="240" w:lineRule="auto"/>
        <w:ind w:right="-1"/>
        <w:rPr>
          <w:szCs w:val="22"/>
        </w:rPr>
      </w:pPr>
    </w:p>
    <w:p w14:paraId="00D42AFC" w14:textId="77777777" w:rsidR="00D774A4" w:rsidRPr="00383932" w:rsidRDefault="00D774A4" w:rsidP="00383932">
      <w:pPr>
        <w:tabs>
          <w:tab w:val="clear" w:pos="567"/>
        </w:tabs>
        <w:spacing w:line="240" w:lineRule="auto"/>
        <w:ind w:right="-1"/>
        <w:rPr>
          <w:szCs w:val="22"/>
        </w:rPr>
      </w:pPr>
      <w:r w:rsidRPr="00383932">
        <w:t>Neuplatňuje se.</w:t>
      </w:r>
    </w:p>
    <w:p w14:paraId="14C3102D" w14:textId="77777777" w:rsidR="00295140" w:rsidRPr="00383932" w:rsidRDefault="00295140" w:rsidP="00383932">
      <w:pPr>
        <w:tabs>
          <w:tab w:val="clear" w:pos="567"/>
        </w:tabs>
        <w:spacing w:line="240" w:lineRule="auto"/>
        <w:ind w:right="-1"/>
        <w:rPr>
          <w:szCs w:val="22"/>
        </w:rPr>
      </w:pPr>
    </w:p>
    <w:p w14:paraId="14C31030" w14:textId="77777777" w:rsidR="00C114FF" w:rsidRPr="00383932" w:rsidRDefault="006C6ABC" w:rsidP="00383932">
      <w:pPr>
        <w:pStyle w:val="Style1"/>
        <w:ind w:right="-1"/>
      </w:pPr>
      <w:r w:rsidRPr="00383932">
        <w:t>3.6</w:t>
      </w:r>
      <w:r w:rsidRPr="00383932">
        <w:tab/>
        <w:t>Nežádoucí účinky</w:t>
      </w:r>
    </w:p>
    <w:p w14:paraId="36ABCD71" w14:textId="77777777" w:rsidR="000F2EE2" w:rsidRPr="00383932" w:rsidRDefault="000F2EE2" w:rsidP="00383932">
      <w:pPr>
        <w:tabs>
          <w:tab w:val="clear" w:pos="567"/>
        </w:tabs>
        <w:spacing w:line="240" w:lineRule="auto"/>
        <w:ind w:right="-1"/>
        <w:rPr>
          <w:szCs w:val="22"/>
        </w:rPr>
      </w:pPr>
    </w:p>
    <w:p w14:paraId="14C31032" w14:textId="3B43AAFB" w:rsidR="00AD0710" w:rsidRPr="00383932" w:rsidRDefault="000F2EE2" w:rsidP="00383932">
      <w:pPr>
        <w:tabs>
          <w:tab w:val="clear" w:pos="567"/>
        </w:tabs>
        <w:spacing w:line="240" w:lineRule="auto"/>
        <w:ind w:right="-1"/>
        <w:rPr>
          <w:szCs w:val="22"/>
        </w:rPr>
      </w:pPr>
      <w:r w:rsidRPr="00383932">
        <w:t>Kur domácí</w:t>
      </w:r>
      <w:r w:rsidR="006C6ABC" w:rsidRPr="00383932">
        <w:t>:</w:t>
      </w:r>
    </w:p>
    <w:p w14:paraId="14C31033" w14:textId="77777777" w:rsidR="00295140" w:rsidRPr="00383932" w:rsidRDefault="00295140" w:rsidP="00383932">
      <w:pPr>
        <w:ind w:right="-1"/>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746"/>
      </w:tblGrid>
      <w:tr w:rsidR="00383932" w:rsidRPr="00383932" w14:paraId="4311D4EC" w14:textId="77777777" w:rsidTr="00A401ED">
        <w:trPr>
          <w:trHeight w:val="458"/>
        </w:trPr>
        <w:tc>
          <w:tcPr>
            <w:tcW w:w="2381" w:type="pct"/>
          </w:tcPr>
          <w:p w14:paraId="57211250" w14:textId="77777777" w:rsidR="005C54A1" w:rsidRPr="00383932" w:rsidRDefault="005C54A1" w:rsidP="00383932">
            <w:pPr>
              <w:spacing w:before="60" w:after="60"/>
              <w:ind w:right="-1"/>
            </w:pPr>
            <w:r w:rsidRPr="00383932">
              <w:t xml:space="preserve">Velmi časté </w:t>
            </w:r>
          </w:p>
          <w:p w14:paraId="2AC87176" w14:textId="77777777" w:rsidR="005C54A1" w:rsidRPr="00383932" w:rsidRDefault="005C54A1" w:rsidP="00383932">
            <w:pPr>
              <w:spacing w:before="60" w:after="60"/>
              <w:ind w:right="-1"/>
              <w:rPr>
                <w:szCs w:val="22"/>
              </w:rPr>
            </w:pPr>
            <w:r w:rsidRPr="00383932">
              <w:t>(&gt; 1 zvíře / 10 ošetřených zvířat):</w:t>
            </w:r>
          </w:p>
        </w:tc>
        <w:tc>
          <w:tcPr>
            <w:tcW w:w="2619" w:type="pct"/>
          </w:tcPr>
          <w:p w14:paraId="66B59302" w14:textId="77777777" w:rsidR="005C54A1" w:rsidRPr="00383932" w:rsidRDefault="005C54A1" w:rsidP="00383932">
            <w:pPr>
              <w:spacing w:before="60" w:after="60"/>
              <w:ind w:right="-1"/>
              <w:rPr>
                <w:szCs w:val="22"/>
              </w:rPr>
            </w:pPr>
            <w:r w:rsidRPr="00383932">
              <w:rPr>
                <w:iCs/>
                <w:szCs w:val="22"/>
              </w:rPr>
              <w:t>Otok v místě injekčního podání</w:t>
            </w:r>
            <w:r w:rsidRPr="00383932">
              <w:rPr>
                <w:szCs w:val="22"/>
                <w:vertAlign w:val="superscript"/>
              </w:rPr>
              <w:t>1</w:t>
            </w:r>
          </w:p>
          <w:p w14:paraId="5ED59714" w14:textId="77777777" w:rsidR="005C54A1" w:rsidRPr="00383932" w:rsidRDefault="005C54A1" w:rsidP="00383932">
            <w:pPr>
              <w:spacing w:before="60" w:after="60"/>
              <w:ind w:right="-1"/>
              <w:rPr>
                <w:iCs/>
                <w:szCs w:val="22"/>
              </w:rPr>
            </w:pPr>
          </w:p>
        </w:tc>
      </w:tr>
    </w:tbl>
    <w:p w14:paraId="1E2248D7" w14:textId="77777777" w:rsidR="005C54A1" w:rsidRPr="00383932" w:rsidRDefault="005C54A1" w:rsidP="00383932">
      <w:pPr>
        <w:tabs>
          <w:tab w:val="clear" w:pos="567"/>
        </w:tabs>
        <w:spacing w:line="240" w:lineRule="auto"/>
        <w:ind w:right="-1"/>
        <w:rPr>
          <w:rFonts w:ascii="TimesNewRomanPSMT" w:hAnsi="TimesNewRomanPSMT" w:cs="TimesNewRomanPSMT"/>
          <w:sz w:val="20"/>
          <w:lang w:eastAsia="nl-NL"/>
        </w:rPr>
      </w:pPr>
      <w:r w:rsidRPr="00383932">
        <w:rPr>
          <w:sz w:val="20"/>
          <w:vertAlign w:val="superscript"/>
        </w:rPr>
        <w:t>1</w:t>
      </w:r>
      <w:r w:rsidRPr="00383932">
        <w:rPr>
          <w:sz w:val="20"/>
        </w:rPr>
        <w:t xml:space="preserve"> M</w:t>
      </w:r>
      <w:r w:rsidRPr="00383932">
        <w:rPr>
          <w:rFonts w:ascii="TimesNewRomanPSMT" w:hAnsi="TimesNewRomanPSMT" w:cs="TimesNewRomanPSMT"/>
          <w:sz w:val="20"/>
          <w:lang w:eastAsia="nl-NL"/>
        </w:rPr>
        <w:t>írný otok může být pozorován po dobu několika týdnů.</w:t>
      </w:r>
    </w:p>
    <w:p w14:paraId="14C31048" w14:textId="77777777" w:rsidR="00295140" w:rsidRPr="00383932" w:rsidRDefault="00295140" w:rsidP="00383932">
      <w:pPr>
        <w:tabs>
          <w:tab w:val="clear" w:pos="567"/>
        </w:tabs>
        <w:spacing w:line="240" w:lineRule="auto"/>
        <w:ind w:right="-1"/>
        <w:rPr>
          <w:szCs w:val="22"/>
        </w:rPr>
      </w:pPr>
    </w:p>
    <w:p w14:paraId="69EF0D6E" w14:textId="2D2B8F98" w:rsidR="00E92F59" w:rsidRPr="00383932" w:rsidRDefault="00D774A4" w:rsidP="00383932">
      <w:pPr>
        <w:ind w:right="-1"/>
      </w:pPr>
      <w:bookmarkStart w:id="0" w:name="_Hlk66891708"/>
      <w:r w:rsidRPr="00383932">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w:t>
      </w:r>
      <w:bookmarkEnd w:id="0"/>
      <w:r w:rsidR="00E92F59" w:rsidRPr="00383932">
        <w:t>Podrobné kontaktní údaje naleznete v bodě „Kontaktní údaje“ příbalové informace.</w:t>
      </w:r>
    </w:p>
    <w:p w14:paraId="269C3639" w14:textId="77777777" w:rsidR="00B160C8" w:rsidRPr="00383932" w:rsidRDefault="00B160C8" w:rsidP="00383932">
      <w:pPr>
        <w:ind w:right="-1"/>
        <w:rPr>
          <w:szCs w:val="22"/>
        </w:rPr>
      </w:pPr>
    </w:p>
    <w:p w14:paraId="14C3104B" w14:textId="77777777" w:rsidR="00C114FF" w:rsidRPr="00383932" w:rsidRDefault="006C6ABC" w:rsidP="00383932">
      <w:pPr>
        <w:pStyle w:val="Style1"/>
        <w:ind w:right="-1"/>
      </w:pPr>
      <w:r w:rsidRPr="00383932">
        <w:t>3.7</w:t>
      </w:r>
      <w:r w:rsidRPr="00383932">
        <w:tab/>
        <w:t>Použití v průběhu březosti, laktace nebo snášky</w:t>
      </w:r>
    </w:p>
    <w:p w14:paraId="14C3104C" w14:textId="77777777" w:rsidR="00C114FF" w:rsidRPr="00383932" w:rsidRDefault="00C114FF" w:rsidP="00383932">
      <w:pPr>
        <w:tabs>
          <w:tab w:val="clear" w:pos="567"/>
        </w:tabs>
        <w:spacing w:line="240" w:lineRule="auto"/>
        <w:ind w:right="-1"/>
        <w:rPr>
          <w:szCs w:val="22"/>
        </w:rPr>
      </w:pPr>
    </w:p>
    <w:p w14:paraId="14C3105C" w14:textId="57BEB4C5" w:rsidR="00C114FF" w:rsidRPr="00383932" w:rsidRDefault="006C6ABC" w:rsidP="00383932">
      <w:pPr>
        <w:tabs>
          <w:tab w:val="clear" w:pos="567"/>
        </w:tabs>
        <w:spacing w:line="240" w:lineRule="auto"/>
        <w:ind w:right="-1"/>
        <w:rPr>
          <w:szCs w:val="22"/>
        </w:rPr>
      </w:pPr>
      <w:r w:rsidRPr="00383932">
        <w:rPr>
          <w:szCs w:val="22"/>
          <w:u w:val="single"/>
        </w:rPr>
        <w:t>Nosnice</w:t>
      </w:r>
      <w:r w:rsidRPr="00383932">
        <w:t>:</w:t>
      </w:r>
    </w:p>
    <w:p w14:paraId="24661BC0" w14:textId="1E916C27" w:rsidR="000F2EE2" w:rsidRPr="00383932" w:rsidRDefault="000F2EE2" w:rsidP="00383932">
      <w:pPr>
        <w:ind w:right="-1"/>
      </w:pPr>
      <w:r w:rsidRPr="00383932">
        <w:t xml:space="preserve">Nepoužívat během snášky. Nepoužívat 4 týdny před </w:t>
      </w:r>
      <w:r w:rsidR="00E92F59" w:rsidRPr="00383932">
        <w:rPr>
          <w:bCs/>
        </w:rPr>
        <w:t>počátkem snášky.</w:t>
      </w:r>
    </w:p>
    <w:p w14:paraId="14C3105E" w14:textId="77777777" w:rsidR="00C114FF" w:rsidRPr="00383932" w:rsidRDefault="00C114FF" w:rsidP="00383932">
      <w:pPr>
        <w:tabs>
          <w:tab w:val="clear" w:pos="567"/>
        </w:tabs>
        <w:spacing w:line="240" w:lineRule="auto"/>
        <w:ind w:right="-1"/>
        <w:rPr>
          <w:szCs w:val="22"/>
        </w:rPr>
      </w:pPr>
    </w:p>
    <w:p w14:paraId="14C31062" w14:textId="77777777" w:rsidR="00C114FF" w:rsidRPr="00383932" w:rsidRDefault="006C6ABC" w:rsidP="00383932">
      <w:pPr>
        <w:pStyle w:val="Style1"/>
        <w:ind w:right="-1"/>
      </w:pPr>
      <w:r w:rsidRPr="00383932">
        <w:t>3.8</w:t>
      </w:r>
      <w:r w:rsidRPr="00383932">
        <w:tab/>
        <w:t>Interakce s jinými léčivými přípravky a další formy interakce</w:t>
      </w:r>
    </w:p>
    <w:p w14:paraId="14C31063" w14:textId="77777777" w:rsidR="00C114FF" w:rsidRPr="00383932" w:rsidRDefault="00C114FF" w:rsidP="00383932">
      <w:pPr>
        <w:tabs>
          <w:tab w:val="clear" w:pos="567"/>
        </w:tabs>
        <w:spacing w:line="240" w:lineRule="auto"/>
        <w:ind w:right="-1"/>
        <w:rPr>
          <w:szCs w:val="22"/>
        </w:rPr>
      </w:pPr>
    </w:p>
    <w:p w14:paraId="7FC8FB09" w14:textId="0FF8273A" w:rsidR="00615D5E" w:rsidRPr="00383932" w:rsidRDefault="00615D5E" w:rsidP="00383932">
      <w:pPr>
        <w:tabs>
          <w:tab w:val="clear" w:pos="567"/>
        </w:tabs>
        <w:spacing w:line="240" w:lineRule="auto"/>
        <w:ind w:right="-1"/>
      </w:pPr>
      <w:r w:rsidRPr="00383932">
        <w:rPr>
          <w:szCs w:val="22"/>
        </w:rPr>
        <w:t>Dostupné údaje o bezpečnosti a účinnosti dokládají, že vakcínu lze podávat ve stejný den, ale nemísit, s ostatními inaktivovanými vakcínami řady Nobilis. Vakcíny musí být podány do odlišných míst.</w:t>
      </w:r>
      <w:r w:rsidRPr="00383932">
        <w:t xml:space="preserve"> </w:t>
      </w:r>
    </w:p>
    <w:p w14:paraId="5C539030" w14:textId="77777777" w:rsidR="00615D5E" w:rsidRPr="00383932" w:rsidRDefault="00615D5E" w:rsidP="00383932">
      <w:pPr>
        <w:pStyle w:val="Style1"/>
        <w:ind w:right="-1"/>
      </w:pPr>
    </w:p>
    <w:p w14:paraId="0CCF6E76" w14:textId="77777777" w:rsidR="00615D5E" w:rsidRPr="00383932" w:rsidRDefault="00615D5E" w:rsidP="00383932">
      <w:pPr>
        <w:tabs>
          <w:tab w:val="clear" w:pos="567"/>
        </w:tabs>
        <w:spacing w:line="240" w:lineRule="auto"/>
        <w:ind w:right="-1"/>
        <w:rPr>
          <w:szCs w:val="22"/>
        </w:rPr>
      </w:pPr>
      <w:r w:rsidRPr="00383932">
        <w:t xml:space="preserve">Nejsou dostupné informace o bezpečnosti a účinnosti tohoto imunologického veterinárního léčivého přípravku, pokud se používá zároveň s jiným veterinárním léčivým přípravkem, vyjma výše zmíněných přípravků. Rozhodnutí o použití tohoto imunologického veterinárního léčivého přípravku </w:t>
      </w:r>
      <w:r w:rsidRPr="00383932">
        <w:lastRenderedPageBreak/>
        <w:t>před nebo po jakémkoliv jiném veterinárním léčivém přípravku musí být provedeno na základě zvážení jednotlivých případů.</w:t>
      </w:r>
    </w:p>
    <w:p w14:paraId="14C31072" w14:textId="77777777" w:rsidR="00C90EDA" w:rsidRPr="00383932" w:rsidRDefault="00C90EDA" w:rsidP="00383932">
      <w:pPr>
        <w:tabs>
          <w:tab w:val="clear" w:pos="567"/>
        </w:tabs>
        <w:spacing w:line="240" w:lineRule="auto"/>
        <w:ind w:right="-1"/>
        <w:rPr>
          <w:szCs w:val="22"/>
        </w:rPr>
      </w:pPr>
    </w:p>
    <w:p w14:paraId="14C31073" w14:textId="77777777" w:rsidR="00C114FF" w:rsidRPr="00383932" w:rsidRDefault="006C6ABC" w:rsidP="00383932">
      <w:pPr>
        <w:pStyle w:val="Style1"/>
        <w:ind w:right="-1"/>
      </w:pPr>
      <w:r w:rsidRPr="00383932">
        <w:t>3.9</w:t>
      </w:r>
      <w:r w:rsidRPr="00383932">
        <w:tab/>
        <w:t>Cesty podání a dávkování</w:t>
      </w:r>
    </w:p>
    <w:p w14:paraId="14C31074" w14:textId="77777777" w:rsidR="00145D34" w:rsidRPr="00383932" w:rsidRDefault="00145D34" w:rsidP="00383932">
      <w:pPr>
        <w:tabs>
          <w:tab w:val="clear" w:pos="567"/>
        </w:tabs>
        <w:spacing w:line="240" w:lineRule="auto"/>
        <w:ind w:right="-1"/>
        <w:rPr>
          <w:szCs w:val="22"/>
        </w:rPr>
      </w:pPr>
    </w:p>
    <w:p w14:paraId="54BFF705" w14:textId="2E70D52B" w:rsidR="000F2EE2" w:rsidRPr="00383932" w:rsidRDefault="000F2EE2" w:rsidP="00383932">
      <w:pPr>
        <w:ind w:right="-1"/>
      </w:pPr>
      <w:r w:rsidRPr="00383932">
        <w:t>Dávka 0,5 ml se aplikuje subkutánně nebo intramuskulárně</w:t>
      </w:r>
      <w:r w:rsidR="00615D5E" w:rsidRPr="00383932">
        <w:t>.</w:t>
      </w:r>
    </w:p>
    <w:p w14:paraId="61E18DDC" w14:textId="77777777" w:rsidR="00615D5E" w:rsidRPr="00383932" w:rsidRDefault="00615D5E" w:rsidP="00383932">
      <w:pPr>
        <w:ind w:right="-1"/>
      </w:pPr>
    </w:p>
    <w:p w14:paraId="5547B753" w14:textId="44CC037C" w:rsidR="00FB35B2" w:rsidRPr="00383932" w:rsidRDefault="00FB35B2" w:rsidP="00383932">
      <w:pPr>
        <w:ind w:right="-1"/>
      </w:pPr>
      <w:r w:rsidRPr="00383932">
        <w:t xml:space="preserve">Před použitím nechte vakcínu dosáhnout pokojové teploty (15 °C </w:t>
      </w:r>
      <w:r w:rsidR="006F5476" w:rsidRPr="00383932">
        <w:t>–</w:t>
      </w:r>
      <w:r w:rsidRPr="00383932">
        <w:t xml:space="preserve"> 25</w:t>
      </w:r>
      <w:r w:rsidR="006F5476" w:rsidRPr="00383932">
        <w:t xml:space="preserve"> </w:t>
      </w:r>
      <w:r w:rsidRPr="00383932">
        <w:t>°C) a řádně protřep</w:t>
      </w:r>
      <w:r w:rsidR="006B5F6E" w:rsidRPr="00383932">
        <w:t>ej</w:t>
      </w:r>
      <w:r w:rsidRPr="00383932">
        <w:t xml:space="preserve">te. </w:t>
      </w:r>
    </w:p>
    <w:p w14:paraId="3B50D95F" w14:textId="250C2104" w:rsidR="00FB35B2" w:rsidRPr="00383932" w:rsidRDefault="00FB35B2" w:rsidP="00383932">
      <w:pPr>
        <w:ind w:right="-1"/>
      </w:pPr>
      <w:r w:rsidRPr="00383932">
        <w:t>Používejte sterilní injekční jehly a stříkačky.</w:t>
      </w:r>
    </w:p>
    <w:p w14:paraId="5D5B661A" w14:textId="77777777" w:rsidR="00615D5E" w:rsidRPr="00383932" w:rsidRDefault="00615D5E" w:rsidP="00383932">
      <w:pPr>
        <w:ind w:right="-1"/>
      </w:pPr>
    </w:p>
    <w:p w14:paraId="0272F09A" w14:textId="3C27F79E" w:rsidR="000F2EE2" w:rsidRPr="00383932" w:rsidRDefault="000F2EE2" w:rsidP="00383932">
      <w:pPr>
        <w:ind w:right="-1"/>
      </w:pPr>
      <w:r w:rsidRPr="00383932">
        <w:t>Vakcína se aplikuje ve věku 16</w:t>
      </w:r>
      <w:r w:rsidR="0093635A" w:rsidRPr="00383932">
        <w:t xml:space="preserve"> </w:t>
      </w:r>
      <w:r w:rsidRPr="00383932">
        <w:t>-</w:t>
      </w:r>
      <w:r w:rsidR="0093635A" w:rsidRPr="00383932">
        <w:t xml:space="preserve"> </w:t>
      </w:r>
      <w:r w:rsidRPr="00383932">
        <w:t>20 týdnů, nejpozději 4 týdny před očekávaným nástupem snášky.</w:t>
      </w:r>
    </w:p>
    <w:p w14:paraId="6F50BDF9" w14:textId="68B9747C" w:rsidR="00FB35B2" w:rsidRPr="00383932" w:rsidRDefault="00FB35B2" w:rsidP="00383932">
      <w:pPr>
        <w:ind w:right="-1"/>
      </w:pPr>
      <w:r w:rsidRPr="00383932">
        <w:t xml:space="preserve">Nejlepší </w:t>
      </w:r>
      <w:r w:rsidR="00615D5E" w:rsidRPr="00383932">
        <w:t xml:space="preserve">imunity </w:t>
      </w:r>
      <w:r w:rsidRPr="00383932">
        <w:t>se dosáhne, pokud se drůbež primovakcinuje proti ptačímu reoviru živou vakcínou a následně revakcinuje inaktivovanou vakcínou za 6 a více týdnů. Tento interval se nedoporučuje zkrátit na méně než 4 týdny.</w:t>
      </w:r>
    </w:p>
    <w:p w14:paraId="14C3107E" w14:textId="77777777" w:rsidR="00247A48" w:rsidRPr="00383932" w:rsidRDefault="00247A48" w:rsidP="00383932">
      <w:pPr>
        <w:tabs>
          <w:tab w:val="clear" w:pos="567"/>
        </w:tabs>
        <w:spacing w:line="240" w:lineRule="auto"/>
        <w:ind w:right="-1"/>
        <w:rPr>
          <w:szCs w:val="22"/>
        </w:rPr>
      </w:pPr>
    </w:p>
    <w:p w14:paraId="14C3107F" w14:textId="77777777" w:rsidR="00C114FF" w:rsidRPr="00383932" w:rsidRDefault="006C6ABC" w:rsidP="00383932">
      <w:pPr>
        <w:pStyle w:val="Style1"/>
        <w:ind w:right="-1"/>
      </w:pPr>
      <w:r w:rsidRPr="00383932">
        <w:t>3.10</w:t>
      </w:r>
      <w:r w:rsidRPr="00383932">
        <w:tab/>
        <w:t xml:space="preserve">Příznaky předávkování </w:t>
      </w:r>
      <w:r w:rsidR="00EC5045" w:rsidRPr="00383932">
        <w:t>(</w:t>
      </w:r>
      <w:r w:rsidRPr="00383932">
        <w:t xml:space="preserve">a </w:t>
      </w:r>
      <w:r w:rsidR="00202A85" w:rsidRPr="00383932">
        <w:t>kde</w:t>
      </w:r>
      <w:r w:rsidR="005E66FC" w:rsidRPr="00383932">
        <w:t xml:space="preserve"> </w:t>
      </w:r>
      <w:r w:rsidR="00202A85" w:rsidRPr="00383932">
        <w:t>je</w:t>
      </w:r>
      <w:r w:rsidR="005E66FC" w:rsidRPr="00383932">
        <w:t xml:space="preserve"> </w:t>
      </w:r>
      <w:r w:rsidR="00FB6F2F" w:rsidRPr="00383932">
        <w:t>relevantní</w:t>
      </w:r>
      <w:r w:rsidR="00202A85" w:rsidRPr="00383932">
        <w:t>, první pomoc</w:t>
      </w:r>
      <w:r w:rsidRPr="00383932">
        <w:t xml:space="preserve"> a antidota</w:t>
      </w:r>
      <w:r w:rsidR="00202A85" w:rsidRPr="00383932">
        <w:t>)</w:t>
      </w:r>
      <w:r w:rsidRPr="00383932">
        <w:t xml:space="preserve"> </w:t>
      </w:r>
    </w:p>
    <w:p w14:paraId="14C31080" w14:textId="4E726D59" w:rsidR="00C114FF" w:rsidRPr="00383932" w:rsidRDefault="00C114FF" w:rsidP="00383932">
      <w:pPr>
        <w:tabs>
          <w:tab w:val="clear" w:pos="567"/>
        </w:tabs>
        <w:spacing w:line="240" w:lineRule="auto"/>
        <w:ind w:right="-1"/>
        <w:rPr>
          <w:szCs w:val="22"/>
        </w:rPr>
      </w:pPr>
    </w:p>
    <w:p w14:paraId="09EABA31" w14:textId="3729AAD9" w:rsidR="00373828" w:rsidRPr="00383932" w:rsidRDefault="00373828" w:rsidP="00383932">
      <w:pPr>
        <w:tabs>
          <w:tab w:val="clear" w:pos="567"/>
        </w:tabs>
        <w:spacing w:line="240" w:lineRule="auto"/>
        <w:ind w:right="-1"/>
        <w:rPr>
          <w:szCs w:val="22"/>
        </w:rPr>
      </w:pPr>
      <w:bookmarkStart w:id="1" w:name="_Hlk146520445"/>
      <w:r w:rsidRPr="00383932">
        <w:rPr>
          <w:szCs w:val="22"/>
        </w:rPr>
        <w:t xml:space="preserve">Po podání </w:t>
      </w:r>
      <w:r w:rsidR="000F2EE2" w:rsidRPr="00383932">
        <w:rPr>
          <w:szCs w:val="22"/>
        </w:rPr>
        <w:t>dvojnásobné</w:t>
      </w:r>
      <w:r w:rsidRPr="00383932">
        <w:rPr>
          <w:szCs w:val="22"/>
        </w:rPr>
        <w:t xml:space="preserve"> dávky se neobjevují žádné jiné nežádoucí účinky než ty, které jsou uvedeny v</w:t>
      </w:r>
      <w:r w:rsidR="00383932">
        <w:rPr>
          <w:szCs w:val="22"/>
        </w:rPr>
        <w:t> </w:t>
      </w:r>
      <w:r w:rsidRPr="00383932">
        <w:rPr>
          <w:szCs w:val="22"/>
        </w:rPr>
        <w:t>bodě 3.6.</w:t>
      </w:r>
    </w:p>
    <w:bookmarkEnd w:id="1"/>
    <w:p w14:paraId="16D9DA08" w14:textId="77777777" w:rsidR="00373828" w:rsidRPr="00383932" w:rsidRDefault="00373828" w:rsidP="00383932">
      <w:pPr>
        <w:tabs>
          <w:tab w:val="clear" w:pos="567"/>
        </w:tabs>
        <w:spacing w:line="240" w:lineRule="auto"/>
        <w:ind w:right="-1"/>
        <w:rPr>
          <w:szCs w:val="22"/>
        </w:rPr>
      </w:pPr>
    </w:p>
    <w:p w14:paraId="14C31081" w14:textId="77777777" w:rsidR="009A6509" w:rsidRPr="00383932" w:rsidRDefault="006C6ABC" w:rsidP="00383932">
      <w:pPr>
        <w:pStyle w:val="Style1"/>
        <w:ind w:right="-1"/>
      </w:pPr>
      <w:r w:rsidRPr="00383932">
        <w:t>3.11</w:t>
      </w:r>
      <w:r w:rsidRPr="00383932">
        <w:tab/>
        <w:t>Zvláštní omezení pro použití a zvláštní podmínky pro použití, včetně omezení používání antimikrob</w:t>
      </w:r>
      <w:r w:rsidR="00202A85" w:rsidRPr="00383932">
        <w:t>ních</w:t>
      </w:r>
      <w:r w:rsidRPr="00383932">
        <w:t xml:space="preserve"> a antiparazitárních veterinárních léčivých přípravků, za účelem snížení rizika rozvoje rezistence</w:t>
      </w:r>
    </w:p>
    <w:p w14:paraId="14C31082" w14:textId="77777777" w:rsidR="009A6509" w:rsidRPr="00383932" w:rsidRDefault="009A6509" w:rsidP="00383932">
      <w:pPr>
        <w:tabs>
          <w:tab w:val="clear" w:pos="567"/>
        </w:tabs>
        <w:spacing w:line="240" w:lineRule="auto"/>
        <w:ind w:right="-1"/>
        <w:rPr>
          <w:szCs w:val="22"/>
        </w:rPr>
      </w:pPr>
    </w:p>
    <w:p w14:paraId="14C3108B" w14:textId="0911CD01" w:rsidR="009A6509" w:rsidRPr="00383932" w:rsidRDefault="006C6ABC" w:rsidP="00383932">
      <w:pPr>
        <w:tabs>
          <w:tab w:val="clear" w:pos="567"/>
        </w:tabs>
        <w:spacing w:line="240" w:lineRule="auto"/>
        <w:ind w:right="-1"/>
        <w:rPr>
          <w:szCs w:val="22"/>
        </w:rPr>
      </w:pPr>
      <w:r w:rsidRPr="00383932">
        <w:t>Neuplatňuje se.</w:t>
      </w:r>
    </w:p>
    <w:p w14:paraId="14C3108C" w14:textId="77777777" w:rsidR="009A6509" w:rsidRPr="00383932" w:rsidRDefault="009A6509" w:rsidP="00383932">
      <w:pPr>
        <w:tabs>
          <w:tab w:val="clear" w:pos="567"/>
        </w:tabs>
        <w:spacing w:line="240" w:lineRule="auto"/>
        <w:ind w:right="-1"/>
        <w:rPr>
          <w:szCs w:val="22"/>
        </w:rPr>
      </w:pPr>
    </w:p>
    <w:p w14:paraId="14C3108D" w14:textId="77777777" w:rsidR="00C114FF" w:rsidRPr="00383932" w:rsidRDefault="006C6ABC" w:rsidP="00383932">
      <w:pPr>
        <w:pStyle w:val="Style1"/>
        <w:ind w:right="-1"/>
      </w:pPr>
      <w:r w:rsidRPr="00383932">
        <w:t>3.12</w:t>
      </w:r>
      <w:r w:rsidRPr="00383932">
        <w:tab/>
        <w:t>Ochranné lhůty</w:t>
      </w:r>
    </w:p>
    <w:p w14:paraId="14C3108E" w14:textId="77777777" w:rsidR="00C114FF" w:rsidRPr="00383932" w:rsidRDefault="00C114FF" w:rsidP="00383932">
      <w:pPr>
        <w:tabs>
          <w:tab w:val="clear" w:pos="567"/>
        </w:tabs>
        <w:spacing w:line="240" w:lineRule="auto"/>
        <w:ind w:right="-1"/>
        <w:rPr>
          <w:szCs w:val="22"/>
        </w:rPr>
      </w:pPr>
    </w:p>
    <w:p w14:paraId="14C31090" w14:textId="2AA3896C" w:rsidR="00C114FF" w:rsidRPr="00383932" w:rsidRDefault="006C6ABC" w:rsidP="00383932">
      <w:pPr>
        <w:tabs>
          <w:tab w:val="clear" w:pos="567"/>
        </w:tabs>
        <w:spacing w:line="240" w:lineRule="auto"/>
        <w:ind w:right="-1"/>
        <w:rPr>
          <w:szCs w:val="22"/>
        </w:rPr>
      </w:pPr>
      <w:r w:rsidRPr="00383932">
        <w:t>Bez ochranných lhůt.</w:t>
      </w:r>
    </w:p>
    <w:p w14:paraId="2FA8F5A8" w14:textId="77777777" w:rsidR="00906E14" w:rsidRPr="00383932" w:rsidRDefault="00906E14" w:rsidP="00383932">
      <w:pPr>
        <w:tabs>
          <w:tab w:val="clear" w:pos="567"/>
        </w:tabs>
        <w:spacing w:line="240" w:lineRule="auto"/>
        <w:ind w:right="-1"/>
      </w:pPr>
    </w:p>
    <w:p w14:paraId="14C3109B" w14:textId="3C033249" w:rsidR="00C114FF" w:rsidRPr="00383932" w:rsidRDefault="006C6ABC" w:rsidP="00383932">
      <w:pPr>
        <w:pStyle w:val="Style1"/>
        <w:ind w:right="-1"/>
      </w:pPr>
      <w:r w:rsidRPr="00383932">
        <w:t>4.</w:t>
      </w:r>
      <w:r w:rsidRPr="00383932">
        <w:tab/>
      </w:r>
      <w:r w:rsidR="00383932" w:rsidRPr="00383932">
        <w:t>IMUNOLOGICKÉ INFORMACE</w:t>
      </w:r>
    </w:p>
    <w:p w14:paraId="14C3109C" w14:textId="356DC6C7" w:rsidR="00C114FF" w:rsidRPr="00383932" w:rsidRDefault="00C114FF" w:rsidP="00383932">
      <w:pPr>
        <w:tabs>
          <w:tab w:val="clear" w:pos="567"/>
        </w:tabs>
        <w:spacing w:line="240" w:lineRule="auto"/>
        <w:ind w:right="-1"/>
        <w:rPr>
          <w:szCs w:val="22"/>
        </w:rPr>
      </w:pPr>
    </w:p>
    <w:p w14:paraId="4F6F9F60" w14:textId="77777777" w:rsidR="001A2D21" w:rsidRPr="00383932" w:rsidRDefault="001A2D21" w:rsidP="00383932">
      <w:pPr>
        <w:tabs>
          <w:tab w:val="clear" w:pos="567"/>
        </w:tabs>
        <w:spacing w:line="240" w:lineRule="auto"/>
        <w:ind w:right="-1"/>
        <w:rPr>
          <w:szCs w:val="22"/>
        </w:rPr>
      </w:pPr>
    </w:p>
    <w:p w14:paraId="537AA4EF" w14:textId="06927507" w:rsidR="003859CC" w:rsidRPr="00383932" w:rsidRDefault="006C6ABC" w:rsidP="00383932">
      <w:pPr>
        <w:pStyle w:val="Style1"/>
        <w:ind w:right="-1"/>
        <w:rPr>
          <w:b w:val="0"/>
          <w:bCs/>
        </w:rPr>
      </w:pPr>
      <w:r w:rsidRPr="00383932">
        <w:t>4.1</w:t>
      </w:r>
      <w:r w:rsidRPr="00383932">
        <w:tab/>
        <w:t>ATCvet kód:</w:t>
      </w:r>
      <w:r w:rsidR="003859CC" w:rsidRPr="00383932">
        <w:t xml:space="preserve"> </w:t>
      </w:r>
      <w:r w:rsidR="000F2EE2" w:rsidRPr="00383932">
        <w:rPr>
          <w:b w:val="0"/>
          <w:bCs/>
        </w:rPr>
        <w:t>QI01AA04</w:t>
      </w:r>
    </w:p>
    <w:p w14:paraId="14C3109D" w14:textId="2316469C" w:rsidR="005B04A8" w:rsidRPr="00383932" w:rsidRDefault="005B04A8" w:rsidP="00383932">
      <w:pPr>
        <w:pStyle w:val="Style1"/>
        <w:ind w:right="-1"/>
      </w:pPr>
    </w:p>
    <w:p w14:paraId="78C0EAFF" w14:textId="1B811E2E" w:rsidR="00647B8A" w:rsidRPr="00383932" w:rsidRDefault="00647B8A" w:rsidP="00383932">
      <w:pPr>
        <w:pStyle w:val="Zkladntext"/>
        <w:ind w:right="-1"/>
      </w:pPr>
      <w:r w:rsidRPr="00383932">
        <w:t xml:space="preserve">Tekutá, inaktivovaná vakcína obsahující inaktivované kmeny 1733 a 2408 ptačího reoviru, které navozují </w:t>
      </w:r>
      <w:r w:rsidR="00615D5E" w:rsidRPr="00383932">
        <w:t xml:space="preserve">imunitu </w:t>
      </w:r>
      <w:r w:rsidRPr="00383932">
        <w:t>drůbeže proti</w:t>
      </w:r>
      <w:r w:rsidRPr="00383932">
        <w:rPr>
          <w:snapToGrid w:val="0"/>
        </w:rPr>
        <w:t xml:space="preserve"> reovirové infekci.</w:t>
      </w:r>
      <w:r w:rsidRPr="00383932">
        <w:t xml:space="preserve"> Antigeny jsou včleněny do vodní fáze olejové emulze k prodloužení stimulace imunity.</w:t>
      </w:r>
    </w:p>
    <w:p w14:paraId="51C255D7" w14:textId="2A902359" w:rsidR="00647B8A" w:rsidRPr="00383932" w:rsidRDefault="00647B8A" w:rsidP="00383932">
      <w:pPr>
        <w:ind w:right="-1"/>
      </w:pPr>
      <w:r w:rsidRPr="00383932">
        <w:t xml:space="preserve">Přípravek stimuluje rozvoj aktivní specifické imunity proti infekci způsobené reoviry. Po aplikaci do těla vakcinovaného jedince se aktivuje celá řada obranných mechanismů organismu zabraňujících následnému rozvinutí onemocnění po nakažení terénní infekcí. </w:t>
      </w:r>
    </w:p>
    <w:p w14:paraId="6CDA7231" w14:textId="35835820" w:rsidR="00647B8A" w:rsidRPr="00383932" w:rsidRDefault="00647B8A" w:rsidP="00383932">
      <w:pPr>
        <w:ind w:right="-1"/>
      </w:pPr>
      <w:r w:rsidRPr="00383932">
        <w:t xml:space="preserve">Pokud se primovakcinace živou vakcínou proti reovirové infekci a následná revakcinace provedou správně, vytvoří si chovné hejno do 3 týdnů po aplikaci inaktivované vakcíny takové hladiny protilátek, že má za běžných terénních podmínek jeho potomstvo, narozené kdykoliv během snášky, dostatek mateřských protilátek, aby bylo chráněno proti reovirové infekci během prvních týdnů života. </w:t>
      </w:r>
    </w:p>
    <w:p w14:paraId="122B963F" w14:textId="77777777" w:rsidR="00647B8A" w:rsidRPr="00383932" w:rsidRDefault="00647B8A" w:rsidP="00383932">
      <w:pPr>
        <w:pStyle w:val="Style1"/>
        <w:ind w:right="-1"/>
        <w:rPr>
          <w:b w:val="0"/>
          <w:bCs/>
        </w:rPr>
      </w:pPr>
    </w:p>
    <w:p w14:paraId="7F611906" w14:textId="77777777" w:rsidR="00647B8A" w:rsidRPr="00383932" w:rsidRDefault="00647B8A" w:rsidP="00383932">
      <w:pPr>
        <w:pStyle w:val="Style1"/>
        <w:ind w:right="-1"/>
      </w:pPr>
    </w:p>
    <w:p w14:paraId="14C310A7" w14:textId="53EE7DE8" w:rsidR="00C114FF" w:rsidRPr="00383932" w:rsidRDefault="006C6ABC" w:rsidP="00383932">
      <w:pPr>
        <w:pStyle w:val="Style1"/>
        <w:ind w:right="-1"/>
      </w:pPr>
      <w:r w:rsidRPr="00383932">
        <w:t>5.</w:t>
      </w:r>
      <w:r w:rsidRPr="00383932">
        <w:tab/>
        <w:t>FARMACEUTICKÉ ÚDAJE</w:t>
      </w:r>
    </w:p>
    <w:p w14:paraId="14C310A8" w14:textId="77777777" w:rsidR="00C114FF" w:rsidRPr="00383932" w:rsidRDefault="00C114FF" w:rsidP="00383932">
      <w:pPr>
        <w:tabs>
          <w:tab w:val="clear" w:pos="567"/>
        </w:tabs>
        <w:spacing w:line="240" w:lineRule="auto"/>
        <w:ind w:right="-1"/>
        <w:rPr>
          <w:szCs w:val="22"/>
        </w:rPr>
      </w:pPr>
    </w:p>
    <w:p w14:paraId="14C310A9" w14:textId="77777777" w:rsidR="00C114FF" w:rsidRPr="00383932" w:rsidRDefault="006C6ABC" w:rsidP="00383932">
      <w:pPr>
        <w:pStyle w:val="Style1"/>
        <w:ind w:right="-1"/>
      </w:pPr>
      <w:r w:rsidRPr="00383932">
        <w:t>5.1</w:t>
      </w:r>
      <w:r w:rsidRPr="00383932">
        <w:tab/>
        <w:t>Hlavní inkompatibility</w:t>
      </w:r>
    </w:p>
    <w:p w14:paraId="14C310AA" w14:textId="77777777" w:rsidR="00C114FF" w:rsidRPr="00383932" w:rsidRDefault="00C114FF" w:rsidP="00383932">
      <w:pPr>
        <w:tabs>
          <w:tab w:val="clear" w:pos="567"/>
        </w:tabs>
        <w:spacing w:line="240" w:lineRule="auto"/>
        <w:ind w:right="-1"/>
        <w:rPr>
          <w:szCs w:val="22"/>
        </w:rPr>
      </w:pPr>
    </w:p>
    <w:p w14:paraId="38663DD3" w14:textId="77777777" w:rsidR="003859CC" w:rsidRPr="00383932" w:rsidRDefault="003859CC" w:rsidP="00383932">
      <w:pPr>
        <w:pStyle w:val="spc2"/>
        <w:ind w:left="0" w:right="-1"/>
        <w:jc w:val="both"/>
        <w:rPr>
          <w:szCs w:val="22"/>
          <w:lang w:val="cs-CZ"/>
        </w:rPr>
      </w:pPr>
      <w:r w:rsidRPr="00383932">
        <w:rPr>
          <w:szCs w:val="22"/>
          <w:lang w:val="cs-CZ"/>
        </w:rPr>
        <w:t>Nemísit s jiným veterinárním léčivým přípravkem.</w:t>
      </w:r>
    </w:p>
    <w:p w14:paraId="48BD4122" w14:textId="77777777" w:rsidR="003859CC" w:rsidRPr="00383932" w:rsidRDefault="003859CC" w:rsidP="00383932">
      <w:pPr>
        <w:tabs>
          <w:tab w:val="clear" w:pos="567"/>
        </w:tabs>
        <w:spacing w:line="240" w:lineRule="auto"/>
        <w:ind w:right="-1"/>
      </w:pPr>
    </w:p>
    <w:p w14:paraId="14C310B1" w14:textId="77777777" w:rsidR="00C114FF" w:rsidRPr="00383932" w:rsidRDefault="006C6ABC" w:rsidP="00383932">
      <w:pPr>
        <w:pStyle w:val="Style1"/>
        <w:ind w:right="-1"/>
      </w:pPr>
      <w:r w:rsidRPr="00383932">
        <w:t>5.2</w:t>
      </w:r>
      <w:r w:rsidRPr="00383932">
        <w:tab/>
        <w:t>Doba použitelnosti</w:t>
      </w:r>
    </w:p>
    <w:p w14:paraId="14C310B2" w14:textId="77777777" w:rsidR="00C114FF" w:rsidRPr="00383932" w:rsidRDefault="00C114FF" w:rsidP="00383932">
      <w:pPr>
        <w:tabs>
          <w:tab w:val="clear" w:pos="567"/>
        </w:tabs>
        <w:spacing w:line="240" w:lineRule="auto"/>
        <w:ind w:right="-1"/>
        <w:rPr>
          <w:szCs w:val="22"/>
        </w:rPr>
      </w:pPr>
    </w:p>
    <w:p w14:paraId="14C310B3" w14:textId="3436E74B" w:rsidR="00C114FF" w:rsidRPr="00383932" w:rsidRDefault="006C6ABC" w:rsidP="00383932">
      <w:pPr>
        <w:tabs>
          <w:tab w:val="clear" w:pos="567"/>
        </w:tabs>
        <w:spacing w:line="240" w:lineRule="auto"/>
        <w:ind w:right="-1"/>
        <w:rPr>
          <w:szCs w:val="22"/>
        </w:rPr>
      </w:pPr>
      <w:r w:rsidRPr="00383932">
        <w:t>Doba použitelnosti veterinárního léčivého přípravku v neporušeném obalu:</w:t>
      </w:r>
      <w:r w:rsidR="00647B8A" w:rsidRPr="00383932">
        <w:t xml:space="preserve"> 18 měsíců.</w:t>
      </w:r>
    </w:p>
    <w:p w14:paraId="14C310B4" w14:textId="33A636B7" w:rsidR="00C114FF" w:rsidRPr="00383932" w:rsidRDefault="006C6ABC" w:rsidP="00383932">
      <w:pPr>
        <w:tabs>
          <w:tab w:val="clear" w:pos="567"/>
        </w:tabs>
        <w:spacing w:line="240" w:lineRule="auto"/>
        <w:ind w:right="-1"/>
        <w:rPr>
          <w:szCs w:val="22"/>
        </w:rPr>
      </w:pPr>
      <w:bookmarkStart w:id="2" w:name="_Hlk127971164"/>
      <w:r w:rsidRPr="00383932">
        <w:t>Doba použitelnosti po prvním otevření vnitřního obalu:</w:t>
      </w:r>
      <w:bookmarkEnd w:id="2"/>
      <w:r w:rsidR="00647B8A" w:rsidRPr="00383932">
        <w:t xml:space="preserve"> 3 hodiny.</w:t>
      </w:r>
    </w:p>
    <w:p w14:paraId="5C89F6D4" w14:textId="77777777" w:rsidR="00647B8A" w:rsidRPr="00383932" w:rsidRDefault="00647B8A" w:rsidP="00383932">
      <w:pPr>
        <w:pStyle w:val="Style1"/>
        <w:ind w:right="-1"/>
      </w:pPr>
    </w:p>
    <w:p w14:paraId="14C310BA" w14:textId="6AB27D9E" w:rsidR="00C114FF" w:rsidRPr="00383932" w:rsidRDefault="006C6ABC" w:rsidP="00383932">
      <w:pPr>
        <w:pStyle w:val="Style1"/>
        <w:ind w:right="-1"/>
      </w:pPr>
      <w:r w:rsidRPr="00383932">
        <w:t>5.3</w:t>
      </w:r>
      <w:r w:rsidRPr="00383932">
        <w:tab/>
        <w:t>Zvláštní opatření pro uchovávání</w:t>
      </w:r>
    </w:p>
    <w:p w14:paraId="14C310BB" w14:textId="77777777" w:rsidR="00C114FF" w:rsidRPr="00383932" w:rsidRDefault="00C114FF" w:rsidP="00383932">
      <w:pPr>
        <w:tabs>
          <w:tab w:val="clear" w:pos="567"/>
        </w:tabs>
        <w:spacing w:line="240" w:lineRule="auto"/>
        <w:ind w:right="-1"/>
        <w:rPr>
          <w:szCs w:val="22"/>
        </w:rPr>
      </w:pPr>
    </w:p>
    <w:p w14:paraId="1184B99D" w14:textId="77777777" w:rsidR="00647B8A" w:rsidRPr="00383932" w:rsidRDefault="00647B8A" w:rsidP="00383932">
      <w:pPr>
        <w:ind w:right="-1"/>
      </w:pPr>
      <w:r w:rsidRPr="00383932">
        <w:t>Uchovávejte v chladničce (2</w:t>
      </w:r>
      <w:r w:rsidRPr="00383932">
        <w:sym w:font="Symbol" w:char="F0B0"/>
      </w:r>
      <w:r w:rsidRPr="00383932">
        <w:t>C – 8</w:t>
      </w:r>
      <w:r w:rsidRPr="00383932">
        <w:sym w:font="Symbol" w:char="F0B0"/>
      </w:r>
      <w:r w:rsidRPr="00383932">
        <w:t>C).</w:t>
      </w:r>
    </w:p>
    <w:p w14:paraId="2BD1665F" w14:textId="7A0967E9" w:rsidR="00647B8A" w:rsidRPr="00383932" w:rsidRDefault="00647B8A" w:rsidP="00383932">
      <w:pPr>
        <w:ind w:right="-1"/>
      </w:pPr>
      <w:r w:rsidRPr="00383932">
        <w:t>Chraňte před mrazem.</w:t>
      </w:r>
    </w:p>
    <w:p w14:paraId="55E4407E" w14:textId="7573BAD8" w:rsidR="002A4AB1" w:rsidRPr="00383932" w:rsidRDefault="002A4AB1" w:rsidP="00383932">
      <w:pPr>
        <w:ind w:right="-1"/>
      </w:pPr>
      <w:r w:rsidRPr="00383932">
        <w:t>Chraňte před světlem.</w:t>
      </w:r>
    </w:p>
    <w:p w14:paraId="14C310D0" w14:textId="77777777" w:rsidR="00C114FF" w:rsidRPr="00383932" w:rsidRDefault="00C114FF" w:rsidP="00383932">
      <w:pPr>
        <w:tabs>
          <w:tab w:val="clear" w:pos="567"/>
        </w:tabs>
        <w:spacing w:line="240" w:lineRule="auto"/>
        <w:ind w:right="-1"/>
        <w:rPr>
          <w:szCs w:val="22"/>
        </w:rPr>
      </w:pPr>
    </w:p>
    <w:p w14:paraId="14C310D7" w14:textId="77777777" w:rsidR="00C114FF" w:rsidRPr="00383932" w:rsidRDefault="006C6ABC" w:rsidP="00383932">
      <w:pPr>
        <w:pStyle w:val="Style1"/>
        <w:ind w:right="-1"/>
      </w:pPr>
      <w:r w:rsidRPr="00383932">
        <w:t>5.4</w:t>
      </w:r>
      <w:r w:rsidRPr="00383932">
        <w:tab/>
        <w:t>Druh a složení vnitřního obalu</w:t>
      </w:r>
    </w:p>
    <w:p w14:paraId="14C310D8" w14:textId="01A955C0" w:rsidR="00C114FF" w:rsidRPr="00383932" w:rsidRDefault="00C114FF" w:rsidP="00383932">
      <w:pPr>
        <w:pStyle w:val="Style1"/>
        <w:ind w:right="-1"/>
      </w:pPr>
    </w:p>
    <w:p w14:paraId="05440EBF" w14:textId="0AD88830" w:rsidR="00647B8A" w:rsidRPr="00383932" w:rsidRDefault="00647B8A" w:rsidP="00383932">
      <w:pPr>
        <w:tabs>
          <w:tab w:val="num" w:pos="0"/>
        </w:tabs>
        <w:ind w:right="-1"/>
      </w:pPr>
      <w:r w:rsidRPr="00383932">
        <w:t>Lékovka z polyethylentereftalátu (PET) uzavřená gumovou nitrylovou zátkou zajištěnou hliníkovou kódovanou pertlí.</w:t>
      </w:r>
    </w:p>
    <w:p w14:paraId="0C19E59A" w14:textId="77777777" w:rsidR="00615D5E" w:rsidRPr="00383932" w:rsidRDefault="00615D5E" w:rsidP="00383932">
      <w:pPr>
        <w:tabs>
          <w:tab w:val="num" w:pos="0"/>
        </w:tabs>
        <w:ind w:right="-1"/>
      </w:pPr>
    </w:p>
    <w:p w14:paraId="1EF6656B" w14:textId="7FCE6588" w:rsidR="00647B8A" w:rsidRPr="00383932" w:rsidRDefault="002A4AB1" w:rsidP="00383932">
      <w:pPr>
        <w:pStyle w:val="Zkladntext"/>
        <w:ind w:right="-1"/>
        <w:rPr>
          <w:sz w:val="24"/>
          <w:szCs w:val="24"/>
        </w:rPr>
      </w:pPr>
      <w:r w:rsidRPr="00383932">
        <w:rPr>
          <w:sz w:val="24"/>
          <w:szCs w:val="24"/>
        </w:rPr>
        <w:t>V</w:t>
      </w:r>
      <w:r w:rsidR="00647B8A" w:rsidRPr="00383932">
        <w:rPr>
          <w:sz w:val="24"/>
          <w:szCs w:val="24"/>
        </w:rPr>
        <w:t>elikosti balení:</w:t>
      </w:r>
    </w:p>
    <w:p w14:paraId="6D9D7DE7" w14:textId="2B273CA3" w:rsidR="00647B8A" w:rsidRPr="00383932" w:rsidRDefault="002A4AB1" w:rsidP="00383932">
      <w:pPr>
        <w:pStyle w:val="Zkladntext"/>
        <w:ind w:right="-1"/>
        <w:rPr>
          <w:sz w:val="24"/>
          <w:szCs w:val="24"/>
        </w:rPr>
      </w:pPr>
      <w:r w:rsidRPr="00383932">
        <w:rPr>
          <w:sz w:val="24"/>
          <w:szCs w:val="24"/>
        </w:rPr>
        <w:t xml:space="preserve">Kartonová krabička s lahví o objemu </w:t>
      </w:r>
      <w:r w:rsidR="00647B8A" w:rsidRPr="00383932">
        <w:rPr>
          <w:sz w:val="24"/>
          <w:szCs w:val="24"/>
        </w:rPr>
        <w:t>500 ml (1000 dávek)</w:t>
      </w:r>
      <w:r w:rsidRPr="00383932">
        <w:rPr>
          <w:sz w:val="24"/>
          <w:szCs w:val="24"/>
        </w:rPr>
        <w:t>.</w:t>
      </w:r>
    </w:p>
    <w:p w14:paraId="584B4672" w14:textId="77777777" w:rsidR="00647B8A" w:rsidRPr="00383932" w:rsidRDefault="00647B8A" w:rsidP="00383932">
      <w:pPr>
        <w:pStyle w:val="Style1"/>
        <w:ind w:right="-1"/>
      </w:pPr>
    </w:p>
    <w:p w14:paraId="11CB1209" w14:textId="77777777" w:rsidR="00CC1EF7" w:rsidRPr="00383932" w:rsidRDefault="006C6ABC" w:rsidP="00383932">
      <w:pPr>
        <w:pStyle w:val="Style1"/>
        <w:ind w:right="-1"/>
      </w:pPr>
      <w:r w:rsidRPr="00383932">
        <w:t>5.5</w:t>
      </w:r>
      <w:r w:rsidRPr="00383932">
        <w:tab/>
      </w:r>
      <w:bookmarkStart w:id="3" w:name="_Hlk121724767"/>
      <w:r w:rsidR="00CC1EF7" w:rsidRPr="00383932">
        <w:t>Zvláštní opatření pro likvidaci nepoužitých veterinárních léčivých přípravků nebo odpadů, které pochází z těchto přípravků</w:t>
      </w:r>
    </w:p>
    <w:bookmarkEnd w:id="3"/>
    <w:p w14:paraId="14C310DC" w14:textId="367F9D57" w:rsidR="00C114FF" w:rsidRPr="00383932" w:rsidRDefault="00C114FF" w:rsidP="00383932">
      <w:pPr>
        <w:pStyle w:val="Style1"/>
        <w:ind w:right="-1"/>
      </w:pPr>
    </w:p>
    <w:p w14:paraId="2996D51C" w14:textId="77777777" w:rsidR="00D774A4" w:rsidRPr="00383932" w:rsidRDefault="00D774A4" w:rsidP="00383932">
      <w:pPr>
        <w:ind w:right="-1"/>
        <w:rPr>
          <w:szCs w:val="22"/>
        </w:rPr>
      </w:pPr>
      <w:bookmarkStart w:id="4" w:name="_Hlk112846963"/>
      <w:r w:rsidRPr="00383932">
        <w:t>Léčivé přípravky se nesmí likvidovat prostřednictvím odpadní vody či domovního odpadu.</w:t>
      </w:r>
    </w:p>
    <w:p w14:paraId="1A7A6EF6" w14:textId="77777777" w:rsidR="00D774A4" w:rsidRPr="00383932" w:rsidRDefault="00D774A4" w:rsidP="00383932">
      <w:pPr>
        <w:tabs>
          <w:tab w:val="clear" w:pos="567"/>
        </w:tabs>
        <w:spacing w:line="240" w:lineRule="auto"/>
        <w:ind w:right="-1"/>
        <w:rPr>
          <w:szCs w:val="22"/>
        </w:rPr>
      </w:pPr>
    </w:p>
    <w:p w14:paraId="65FF9A66" w14:textId="77777777" w:rsidR="00D774A4" w:rsidRPr="00383932" w:rsidRDefault="00D774A4" w:rsidP="00383932">
      <w:pPr>
        <w:tabs>
          <w:tab w:val="clear" w:pos="567"/>
        </w:tabs>
        <w:spacing w:line="240" w:lineRule="auto"/>
        <w:ind w:right="-1"/>
        <w:rPr>
          <w:szCs w:val="22"/>
        </w:rPr>
      </w:pPr>
      <w:r w:rsidRPr="00383932">
        <w:t xml:space="preserve">Všechen nepoužitý veterinární léčivý přípravek nebo odpad, který pochází z tohoto přípravku, likvidujte odevzdáním v souladu s místními požadavky a národními systémy sběru, které jsou </w:t>
      </w:r>
      <w:bookmarkStart w:id="5" w:name="_GoBack"/>
      <w:bookmarkEnd w:id="5"/>
      <w:r w:rsidRPr="00383932">
        <w:t>platné pro příslušný veterinární léčivý přípravek.</w:t>
      </w:r>
    </w:p>
    <w:bookmarkEnd w:id="4"/>
    <w:p w14:paraId="14C310E2" w14:textId="77777777" w:rsidR="0078538F" w:rsidRPr="00383932" w:rsidRDefault="0078538F" w:rsidP="00383932">
      <w:pPr>
        <w:tabs>
          <w:tab w:val="clear" w:pos="567"/>
        </w:tabs>
        <w:spacing w:line="240" w:lineRule="auto"/>
        <w:ind w:right="-1"/>
        <w:rPr>
          <w:szCs w:val="22"/>
        </w:rPr>
      </w:pPr>
    </w:p>
    <w:p w14:paraId="14C310E5" w14:textId="77777777" w:rsidR="00C114FF" w:rsidRPr="00383932" w:rsidRDefault="00C114FF" w:rsidP="00383932">
      <w:pPr>
        <w:tabs>
          <w:tab w:val="clear" w:pos="567"/>
        </w:tabs>
        <w:spacing w:line="240" w:lineRule="auto"/>
        <w:ind w:right="-1"/>
        <w:rPr>
          <w:szCs w:val="22"/>
        </w:rPr>
      </w:pPr>
    </w:p>
    <w:p w14:paraId="14C310E6" w14:textId="77777777" w:rsidR="00C114FF" w:rsidRPr="00383932" w:rsidRDefault="006C6ABC" w:rsidP="00383932">
      <w:pPr>
        <w:pStyle w:val="Style1"/>
        <w:ind w:right="-1"/>
      </w:pPr>
      <w:r w:rsidRPr="00383932">
        <w:t>6.</w:t>
      </w:r>
      <w:r w:rsidRPr="00383932">
        <w:tab/>
        <w:t>JMÉNO DRŽITELE ROZHODNUTÍ O REGISTRACI</w:t>
      </w:r>
    </w:p>
    <w:p w14:paraId="14C310E7" w14:textId="77777777" w:rsidR="00C114FF" w:rsidRPr="00383932" w:rsidRDefault="00C114FF" w:rsidP="00383932">
      <w:pPr>
        <w:tabs>
          <w:tab w:val="clear" w:pos="567"/>
        </w:tabs>
        <w:spacing w:line="240" w:lineRule="auto"/>
        <w:ind w:right="-1"/>
        <w:rPr>
          <w:szCs w:val="22"/>
        </w:rPr>
      </w:pPr>
    </w:p>
    <w:p w14:paraId="440CE00D" w14:textId="77777777" w:rsidR="00543C44" w:rsidRPr="00383932" w:rsidRDefault="00543C44" w:rsidP="00383932">
      <w:pPr>
        <w:ind w:right="-1"/>
        <w:rPr>
          <w:szCs w:val="22"/>
        </w:rPr>
      </w:pPr>
      <w:r w:rsidRPr="00383932">
        <w:rPr>
          <w:szCs w:val="22"/>
        </w:rPr>
        <w:t>Intervet International B.V.</w:t>
      </w:r>
    </w:p>
    <w:p w14:paraId="14C310EA" w14:textId="7BEB7FD8" w:rsidR="00C114FF" w:rsidRPr="00383932" w:rsidRDefault="00C114FF" w:rsidP="00383932">
      <w:pPr>
        <w:tabs>
          <w:tab w:val="clear" w:pos="567"/>
        </w:tabs>
        <w:spacing w:line="240" w:lineRule="auto"/>
        <w:ind w:right="-1"/>
        <w:rPr>
          <w:szCs w:val="22"/>
        </w:rPr>
      </w:pPr>
    </w:p>
    <w:p w14:paraId="1494838C" w14:textId="77777777" w:rsidR="00D55C5B" w:rsidRPr="00383932" w:rsidRDefault="00D55C5B" w:rsidP="00383932">
      <w:pPr>
        <w:tabs>
          <w:tab w:val="clear" w:pos="567"/>
        </w:tabs>
        <w:spacing w:line="240" w:lineRule="auto"/>
        <w:ind w:right="-1"/>
        <w:rPr>
          <w:szCs w:val="22"/>
        </w:rPr>
      </w:pPr>
    </w:p>
    <w:p w14:paraId="14C310EB" w14:textId="77777777" w:rsidR="00C114FF" w:rsidRPr="00383932" w:rsidRDefault="006C6ABC" w:rsidP="00383932">
      <w:pPr>
        <w:pStyle w:val="Style1"/>
        <w:ind w:right="-1"/>
      </w:pPr>
      <w:r w:rsidRPr="00383932">
        <w:t>7.</w:t>
      </w:r>
      <w:r w:rsidRPr="00383932">
        <w:tab/>
        <w:t>REGISTRAČNÍ ČÍSLO(A)</w:t>
      </w:r>
    </w:p>
    <w:p w14:paraId="14C310EC" w14:textId="77777777" w:rsidR="00C114FF" w:rsidRPr="00383932" w:rsidRDefault="00C114FF" w:rsidP="00383932">
      <w:pPr>
        <w:tabs>
          <w:tab w:val="clear" w:pos="567"/>
        </w:tabs>
        <w:spacing w:line="240" w:lineRule="auto"/>
        <w:ind w:right="-1"/>
        <w:rPr>
          <w:szCs w:val="22"/>
        </w:rPr>
      </w:pPr>
    </w:p>
    <w:p w14:paraId="50F3E1FF" w14:textId="77777777" w:rsidR="00647B8A" w:rsidRPr="00383932" w:rsidRDefault="00647B8A" w:rsidP="00383932">
      <w:pPr>
        <w:ind w:right="-1"/>
      </w:pPr>
      <w:r w:rsidRPr="00383932">
        <w:t>97/054/95-C</w:t>
      </w:r>
    </w:p>
    <w:p w14:paraId="14C310ED" w14:textId="1E90BB3A" w:rsidR="00C114FF" w:rsidRPr="00383932" w:rsidRDefault="00C114FF" w:rsidP="00383932">
      <w:pPr>
        <w:tabs>
          <w:tab w:val="clear" w:pos="567"/>
        </w:tabs>
        <w:spacing w:line="240" w:lineRule="auto"/>
        <w:ind w:right="-1"/>
        <w:rPr>
          <w:szCs w:val="22"/>
        </w:rPr>
      </w:pPr>
    </w:p>
    <w:p w14:paraId="316B6634" w14:textId="77777777" w:rsidR="00647B8A" w:rsidRPr="00383932" w:rsidRDefault="00647B8A" w:rsidP="00383932">
      <w:pPr>
        <w:tabs>
          <w:tab w:val="clear" w:pos="567"/>
        </w:tabs>
        <w:spacing w:line="240" w:lineRule="auto"/>
        <w:ind w:right="-1"/>
        <w:rPr>
          <w:szCs w:val="22"/>
        </w:rPr>
      </w:pPr>
    </w:p>
    <w:p w14:paraId="14C310EE" w14:textId="77777777" w:rsidR="00C114FF" w:rsidRPr="00383932" w:rsidRDefault="006C6ABC" w:rsidP="00383932">
      <w:pPr>
        <w:pStyle w:val="Style1"/>
        <w:ind w:right="-1"/>
      </w:pPr>
      <w:r w:rsidRPr="00383932">
        <w:t>8.</w:t>
      </w:r>
      <w:r w:rsidRPr="00383932">
        <w:tab/>
        <w:t>DATUM PRVNÍ REGISTRACE</w:t>
      </w:r>
    </w:p>
    <w:p w14:paraId="14C310EF" w14:textId="77777777" w:rsidR="00C114FF" w:rsidRPr="00383932" w:rsidRDefault="00C114FF" w:rsidP="00383932">
      <w:pPr>
        <w:tabs>
          <w:tab w:val="clear" w:pos="567"/>
        </w:tabs>
        <w:spacing w:line="240" w:lineRule="auto"/>
        <w:ind w:right="-1"/>
        <w:rPr>
          <w:szCs w:val="22"/>
        </w:rPr>
      </w:pPr>
    </w:p>
    <w:p w14:paraId="14C310F2" w14:textId="29F7E3DF" w:rsidR="00D65777" w:rsidRPr="00383932" w:rsidRDefault="006C6ABC" w:rsidP="00383932">
      <w:pPr>
        <w:tabs>
          <w:tab w:val="clear" w:pos="567"/>
        </w:tabs>
        <w:spacing w:line="240" w:lineRule="auto"/>
        <w:ind w:right="-1"/>
        <w:rPr>
          <w:szCs w:val="22"/>
        </w:rPr>
      </w:pPr>
      <w:r w:rsidRPr="00383932">
        <w:t>Datum první registrace:</w:t>
      </w:r>
      <w:r w:rsidR="00EC0A72" w:rsidRPr="00383932">
        <w:t xml:space="preserve"> </w:t>
      </w:r>
      <w:r w:rsidR="00647B8A" w:rsidRPr="00383932">
        <w:t>01/1995</w:t>
      </w:r>
    </w:p>
    <w:p w14:paraId="14C310F3" w14:textId="208751ED" w:rsidR="00D65777" w:rsidRPr="00383932" w:rsidRDefault="00D65777" w:rsidP="00383932">
      <w:pPr>
        <w:tabs>
          <w:tab w:val="clear" w:pos="567"/>
        </w:tabs>
        <w:spacing w:line="240" w:lineRule="auto"/>
        <w:ind w:right="-1"/>
        <w:rPr>
          <w:szCs w:val="22"/>
        </w:rPr>
      </w:pPr>
    </w:p>
    <w:p w14:paraId="025EB031" w14:textId="77777777" w:rsidR="00D55C5B" w:rsidRPr="00383932" w:rsidRDefault="00D55C5B" w:rsidP="00383932">
      <w:pPr>
        <w:tabs>
          <w:tab w:val="clear" w:pos="567"/>
        </w:tabs>
        <w:spacing w:line="240" w:lineRule="auto"/>
        <w:ind w:right="-1"/>
        <w:rPr>
          <w:szCs w:val="22"/>
        </w:rPr>
      </w:pPr>
    </w:p>
    <w:p w14:paraId="14C310F4" w14:textId="77777777" w:rsidR="00C114FF" w:rsidRPr="00383932" w:rsidRDefault="006C6ABC" w:rsidP="00383932">
      <w:pPr>
        <w:pStyle w:val="Style1"/>
        <w:ind w:right="-1"/>
      </w:pPr>
      <w:r w:rsidRPr="00383932">
        <w:t>9.</w:t>
      </w:r>
      <w:r w:rsidRPr="00383932">
        <w:tab/>
        <w:t>DATUM POSLEDNÍ AKTUALIZACE SOUHRNU ÚDAJŮ O PŘÍPRAVKU</w:t>
      </w:r>
    </w:p>
    <w:p w14:paraId="14C310F5" w14:textId="77777777" w:rsidR="00C114FF" w:rsidRPr="00383932" w:rsidRDefault="00C114FF" w:rsidP="00383932">
      <w:pPr>
        <w:tabs>
          <w:tab w:val="clear" w:pos="567"/>
        </w:tabs>
        <w:spacing w:line="240" w:lineRule="auto"/>
        <w:ind w:right="-1"/>
        <w:rPr>
          <w:szCs w:val="22"/>
        </w:rPr>
      </w:pPr>
    </w:p>
    <w:p w14:paraId="14C310F9" w14:textId="2C1A15AF" w:rsidR="00C114FF" w:rsidRPr="00383932" w:rsidRDefault="00615D5E" w:rsidP="00383932">
      <w:pPr>
        <w:tabs>
          <w:tab w:val="clear" w:pos="567"/>
        </w:tabs>
        <w:spacing w:line="240" w:lineRule="auto"/>
        <w:ind w:right="-1"/>
        <w:rPr>
          <w:szCs w:val="22"/>
        </w:rPr>
      </w:pPr>
      <w:r w:rsidRPr="00383932">
        <w:t>1</w:t>
      </w:r>
      <w:r w:rsidR="00F83662" w:rsidRPr="00383932">
        <w:t>1</w:t>
      </w:r>
      <w:r w:rsidRPr="00383932">
        <w:t>/2023</w:t>
      </w:r>
    </w:p>
    <w:p w14:paraId="14C31101" w14:textId="0599F908" w:rsidR="00B113B9" w:rsidRPr="00383932" w:rsidRDefault="00B113B9" w:rsidP="00383932">
      <w:pPr>
        <w:tabs>
          <w:tab w:val="clear" w:pos="567"/>
        </w:tabs>
        <w:spacing w:line="240" w:lineRule="auto"/>
        <w:ind w:right="-1"/>
        <w:rPr>
          <w:szCs w:val="22"/>
        </w:rPr>
      </w:pPr>
    </w:p>
    <w:p w14:paraId="7EF36858" w14:textId="77777777" w:rsidR="00D55C5B" w:rsidRPr="00383932" w:rsidRDefault="00D55C5B" w:rsidP="00383932">
      <w:pPr>
        <w:tabs>
          <w:tab w:val="clear" w:pos="567"/>
        </w:tabs>
        <w:spacing w:line="240" w:lineRule="auto"/>
        <w:ind w:right="-1"/>
        <w:rPr>
          <w:szCs w:val="22"/>
        </w:rPr>
      </w:pPr>
    </w:p>
    <w:p w14:paraId="14C31102" w14:textId="77777777" w:rsidR="00C114FF" w:rsidRPr="00383932" w:rsidRDefault="006C6ABC" w:rsidP="00383932">
      <w:pPr>
        <w:pStyle w:val="Style1"/>
        <w:ind w:right="-1"/>
      </w:pPr>
      <w:r w:rsidRPr="00383932">
        <w:t>10.</w:t>
      </w:r>
      <w:r w:rsidRPr="00383932">
        <w:tab/>
        <w:t>KLASIFIKACE VETERINÁRNÍCH LÉČIVÝCH PŘÍPRAVKŮ</w:t>
      </w:r>
    </w:p>
    <w:p w14:paraId="14C31103" w14:textId="77777777" w:rsidR="0078538F" w:rsidRPr="00383932" w:rsidRDefault="0078538F" w:rsidP="00383932">
      <w:pPr>
        <w:tabs>
          <w:tab w:val="clear" w:pos="567"/>
        </w:tabs>
        <w:spacing w:line="240" w:lineRule="auto"/>
        <w:ind w:right="-1"/>
        <w:rPr>
          <w:szCs w:val="22"/>
        </w:rPr>
      </w:pPr>
    </w:p>
    <w:p w14:paraId="14C31107" w14:textId="4C3893E9" w:rsidR="0078538F" w:rsidRPr="00383932" w:rsidRDefault="006C6ABC" w:rsidP="00383932">
      <w:pPr>
        <w:numPr>
          <w:ilvl w:val="12"/>
          <w:numId w:val="0"/>
        </w:numPr>
        <w:ind w:right="-1"/>
      </w:pPr>
      <w:bookmarkStart w:id="6" w:name="_Hlk121724822"/>
      <w:r w:rsidRPr="00383932">
        <w:t>Veterinární léčivý přípravek je vydáván pouze na předpis.</w:t>
      </w:r>
    </w:p>
    <w:p w14:paraId="14C31108" w14:textId="596AB789" w:rsidR="0078538F" w:rsidRPr="00383932" w:rsidRDefault="006C6ABC" w:rsidP="00383932">
      <w:pPr>
        <w:ind w:right="-1"/>
        <w:rPr>
          <w:i/>
          <w:szCs w:val="22"/>
        </w:rPr>
      </w:pPr>
      <w:bookmarkStart w:id="7" w:name="_Hlk73467306"/>
      <w:r w:rsidRPr="00383932">
        <w:t>Podrobné informace o tomto veterinárním léčivém přípravku jsou k dispozici v databázi přípravků Unie</w:t>
      </w:r>
      <w:r w:rsidR="00CC1EF7" w:rsidRPr="00383932">
        <w:t xml:space="preserve"> </w:t>
      </w:r>
      <w:r w:rsidR="00CC1EF7" w:rsidRPr="00383932">
        <w:rPr>
          <w:szCs w:val="22"/>
        </w:rPr>
        <w:t>(</w:t>
      </w:r>
      <w:hyperlink r:id="rId8" w:history="1">
        <w:r w:rsidR="00CC1EF7" w:rsidRPr="00383932">
          <w:rPr>
            <w:rStyle w:val="Hypertextovodkaz"/>
            <w:szCs w:val="22"/>
          </w:rPr>
          <w:t>https://medicines.health.europa.eu/veterinary</w:t>
        </w:r>
      </w:hyperlink>
      <w:r w:rsidR="00CC1EF7" w:rsidRPr="00383932">
        <w:rPr>
          <w:szCs w:val="22"/>
        </w:rPr>
        <w:t>)</w:t>
      </w:r>
      <w:r w:rsidR="00CC1EF7" w:rsidRPr="00383932">
        <w:rPr>
          <w:i/>
          <w:szCs w:val="22"/>
        </w:rPr>
        <w:t>.</w:t>
      </w:r>
      <w:bookmarkEnd w:id="6"/>
      <w:bookmarkEnd w:id="7"/>
    </w:p>
    <w:p w14:paraId="6E0FF34F" w14:textId="6CC03807" w:rsidR="00615D5E" w:rsidRPr="00383932" w:rsidRDefault="00615D5E" w:rsidP="00383932">
      <w:pPr>
        <w:ind w:right="-1"/>
        <w:rPr>
          <w:szCs w:val="22"/>
        </w:rPr>
      </w:pPr>
    </w:p>
    <w:p w14:paraId="253260A0" w14:textId="66C46D6C" w:rsidR="00615D5E" w:rsidRPr="00383932" w:rsidRDefault="00615D5E" w:rsidP="00383932">
      <w:pPr>
        <w:ind w:right="-1"/>
        <w:rPr>
          <w:szCs w:val="22"/>
        </w:rPr>
      </w:pPr>
      <w:bookmarkStart w:id="8" w:name="_Hlk132285734"/>
      <w:r w:rsidRPr="00383932">
        <w:rPr>
          <w:rStyle w:val="markedcontent"/>
          <w:szCs w:val="22"/>
        </w:rPr>
        <w:t>Podrobné informace o tomto veterinárním léčivém přípravku naleznete také v národní databázi (</w:t>
      </w:r>
      <w:hyperlink r:id="rId9" w:history="1">
        <w:r w:rsidRPr="00383932">
          <w:rPr>
            <w:rStyle w:val="Hypertextovodkaz"/>
            <w:szCs w:val="22"/>
          </w:rPr>
          <w:t>https://www.uskvbl.cz</w:t>
        </w:r>
      </w:hyperlink>
      <w:r w:rsidRPr="00383932">
        <w:rPr>
          <w:rStyle w:val="markedcontent"/>
          <w:szCs w:val="22"/>
        </w:rPr>
        <w:t xml:space="preserve">). </w:t>
      </w:r>
      <w:bookmarkEnd w:id="8"/>
    </w:p>
    <w:sectPr w:rsidR="00615D5E" w:rsidRPr="00383932"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8499" w14:textId="77777777" w:rsidR="00F852BB" w:rsidRDefault="00F852BB">
      <w:pPr>
        <w:spacing w:line="240" w:lineRule="auto"/>
      </w:pPr>
      <w:r>
        <w:separator/>
      </w:r>
    </w:p>
  </w:endnote>
  <w:endnote w:type="continuationSeparator" w:id="0">
    <w:p w14:paraId="1C4725E1" w14:textId="77777777" w:rsidR="00F852BB" w:rsidRDefault="00F85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383932">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64E7" w14:textId="77777777" w:rsidR="00F852BB" w:rsidRDefault="00F852BB">
      <w:pPr>
        <w:spacing w:line="240" w:lineRule="auto"/>
      </w:pPr>
      <w:r>
        <w:separator/>
      </w:r>
    </w:p>
  </w:footnote>
  <w:footnote w:type="continuationSeparator" w:id="0">
    <w:p w14:paraId="3288E023" w14:textId="77777777" w:rsidR="00F852BB" w:rsidRDefault="00F852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97B"/>
    <w:rsid w:val="000A1DF5"/>
    <w:rsid w:val="000B7873"/>
    <w:rsid w:val="000C02A1"/>
    <w:rsid w:val="000C1D4F"/>
    <w:rsid w:val="000C3ED7"/>
    <w:rsid w:val="000C55E6"/>
    <w:rsid w:val="000C687A"/>
    <w:rsid w:val="000D67D0"/>
    <w:rsid w:val="000E115E"/>
    <w:rsid w:val="000E195C"/>
    <w:rsid w:val="000E3602"/>
    <w:rsid w:val="000E705A"/>
    <w:rsid w:val="000F2EE2"/>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37BCF"/>
    <w:rsid w:val="00140DF6"/>
    <w:rsid w:val="00145C3F"/>
    <w:rsid w:val="00145D34"/>
    <w:rsid w:val="00146284"/>
    <w:rsid w:val="0014690F"/>
    <w:rsid w:val="0015098E"/>
    <w:rsid w:val="00153B3A"/>
    <w:rsid w:val="00164543"/>
    <w:rsid w:val="00164C48"/>
    <w:rsid w:val="00165A09"/>
    <w:rsid w:val="001674D3"/>
    <w:rsid w:val="00174721"/>
    <w:rsid w:val="00175162"/>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408"/>
    <w:rsid w:val="001A28C9"/>
    <w:rsid w:val="001A2D21"/>
    <w:rsid w:val="001A34BC"/>
    <w:rsid w:val="001A621E"/>
    <w:rsid w:val="001B1C77"/>
    <w:rsid w:val="001B26EB"/>
    <w:rsid w:val="001B5152"/>
    <w:rsid w:val="001B6F4A"/>
    <w:rsid w:val="001B7B38"/>
    <w:rsid w:val="001C1261"/>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2B33"/>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4AB1"/>
    <w:rsid w:val="002A710D"/>
    <w:rsid w:val="002B0F11"/>
    <w:rsid w:val="002B2E17"/>
    <w:rsid w:val="002B6560"/>
    <w:rsid w:val="002C1F27"/>
    <w:rsid w:val="002C3FA8"/>
    <w:rsid w:val="002C450F"/>
    <w:rsid w:val="002C55FF"/>
    <w:rsid w:val="002C592B"/>
    <w:rsid w:val="002D300D"/>
    <w:rsid w:val="002D49B3"/>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08BD"/>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3932"/>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33FF"/>
    <w:rsid w:val="003C3E0E"/>
    <w:rsid w:val="003C426E"/>
    <w:rsid w:val="003C64A5"/>
    <w:rsid w:val="003D03CC"/>
    <w:rsid w:val="003D378C"/>
    <w:rsid w:val="003D3893"/>
    <w:rsid w:val="003D4BB7"/>
    <w:rsid w:val="003E0116"/>
    <w:rsid w:val="003E10EE"/>
    <w:rsid w:val="003E26C3"/>
    <w:rsid w:val="003E347F"/>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334B"/>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A4CBE"/>
    <w:rsid w:val="005B04A8"/>
    <w:rsid w:val="005B1FD0"/>
    <w:rsid w:val="005B28AD"/>
    <w:rsid w:val="005B328D"/>
    <w:rsid w:val="005B3503"/>
    <w:rsid w:val="005B3EE7"/>
    <w:rsid w:val="005B4DCD"/>
    <w:rsid w:val="005B4FAD"/>
    <w:rsid w:val="005B5301"/>
    <w:rsid w:val="005C276A"/>
    <w:rsid w:val="005C54A1"/>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5D5E"/>
    <w:rsid w:val="0061726B"/>
    <w:rsid w:val="00617B81"/>
    <w:rsid w:val="0062387A"/>
    <w:rsid w:val="006326D8"/>
    <w:rsid w:val="0063377D"/>
    <w:rsid w:val="006344BE"/>
    <w:rsid w:val="00634A66"/>
    <w:rsid w:val="00640336"/>
    <w:rsid w:val="00640FC9"/>
    <w:rsid w:val="006414D3"/>
    <w:rsid w:val="0064285A"/>
    <w:rsid w:val="006432F2"/>
    <w:rsid w:val="00647B8A"/>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B5F6E"/>
    <w:rsid w:val="006C4775"/>
    <w:rsid w:val="006C4F4A"/>
    <w:rsid w:val="006C5E80"/>
    <w:rsid w:val="006C6ABC"/>
    <w:rsid w:val="006C7CEE"/>
    <w:rsid w:val="006D075E"/>
    <w:rsid w:val="006D09DC"/>
    <w:rsid w:val="006D3509"/>
    <w:rsid w:val="006D7C6E"/>
    <w:rsid w:val="006E15A2"/>
    <w:rsid w:val="006E2F95"/>
    <w:rsid w:val="006F148B"/>
    <w:rsid w:val="006F5476"/>
    <w:rsid w:val="006F581C"/>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719D"/>
    <w:rsid w:val="00780DF0"/>
    <w:rsid w:val="007810B7"/>
    <w:rsid w:val="00782F0F"/>
    <w:rsid w:val="00782F83"/>
    <w:rsid w:val="0078538F"/>
    <w:rsid w:val="00787482"/>
    <w:rsid w:val="00787AD0"/>
    <w:rsid w:val="00791DE5"/>
    <w:rsid w:val="00794D1C"/>
    <w:rsid w:val="007A286D"/>
    <w:rsid w:val="007A314D"/>
    <w:rsid w:val="007A38DF"/>
    <w:rsid w:val="007B00E5"/>
    <w:rsid w:val="007B20CF"/>
    <w:rsid w:val="007B2499"/>
    <w:rsid w:val="007B3CF5"/>
    <w:rsid w:val="007B72E1"/>
    <w:rsid w:val="007B783A"/>
    <w:rsid w:val="007C1B95"/>
    <w:rsid w:val="007C3DF3"/>
    <w:rsid w:val="007C53DF"/>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51F8"/>
    <w:rsid w:val="00856BDB"/>
    <w:rsid w:val="00857675"/>
    <w:rsid w:val="00861F86"/>
    <w:rsid w:val="00862B13"/>
    <w:rsid w:val="00863252"/>
    <w:rsid w:val="00865CEA"/>
    <w:rsid w:val="00867FD3"/>
    <w:rsid w:val="00872C48"/>
    <w:rsid w:val="00875EC3"/>
    <w:rsid w:val="008763E7"/>
    <w:rsid w:val="00877714"/>
    <w:rsid w:val="008808C5"/>
    <w:rsid w:val="00881A7C"/>
    <w:rsid w:val="00883C78"/>
    <w:rsid w:val="00883F30"/>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1B5D"/>
    <w:rsid w:val="00903D0D"/>
    <w:rsid w:val="009048E1"/>
    <w:rsid w:val="0090598C"/>
    <w:rsid w:val="00905CAB"/>
    <w:rsid w:val="00906E14"/>
    <w:rsid w:val="009071BB"/>
    <w:rsid w:val="00913885"/>
    <w:rsid w:val="00915ABF"/>
    <w:rsid w:val="00921CAD"/>
    <w:rsid w:val="009311ED"/>
    <w:rsid w:val="00931D41"/>
    <w:rsid w:val="00933D18"/>
    <w:rsid w:val="0093635A"/>
    <w:rsid w:val="00942221"/>
    <w:rsid w:val="00950FBB"/>
    <w:rsid w:val="00951118"/>
    <w:rsid w:val="0095122F"/>
    <w:rsid w:val="00953349"/>
    <w:rsid w:val="00953E4C"/>
    <w:rsid w:val="00954E0C"/>
    <w:rsid w:val="00957251"/>
    <w:rsid w:val="00961156"/>
    <w:rsid w:val="009649CF"/>
    <w:rsid w:val="00964F03"/>
    <w:rsid w:val="00966F1F"/>
    <w:rsid w:val="009747A2"/>
    <w:rsid w:val="00975676"/>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3C74"/>
    <w:rsid w:val="00A34FAB"/>
    <w:rsid w:val="00A42C43"/>
    <w:rsid w:val="00A4313D"/>
    <w:rsid w:val="00A50120"/>
    <w:rsid w:val="00A561A1"/>
    <w:rsid w:val="00A60351"/>
    <w:rsid w:val="00A61C6D"/>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60D6"/>
    <w:rsid w:val="00B67323"/>
    <w:rsid w:val="00B7093F"/>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F77"/>
    <w:rsid w:val="00C01FFC"/>
    <w:rsid w:val="00C025E5"/>
    <w:rsid w:val="00C05321"/>
    <w:rsid w:val="00C06AE4"/>
    <w:rsid w:val="00C114FF"/>
    <w:rsid w:val="00C11D49"/>
    <w:rsid w:val="00C12D79"/>
    <w:rsid w:val="00C12F42"/>
    <w:rsid w:val="00C15B70"/>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495D"/>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3B81"/>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4694A"/>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2F59"/>
    <w:rsid w:val="00E935AF"/>
    <w:rsid w:val="00E939C2"/>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1A31"/>
    <w:rsid w:val="00F62DEC"/>
    <w:rsid w:val="00F66F00"/>
    <w:rsid w:val="00F67A2D"/>
    <w:rsid w:val="00F70A1B"/>
    <w:rsid w:val="00F72FDF"/>
    <w:rsid w:val="00F75960"/>
    <w:rsid w:val="00F801AF"/>
    <w:rsid w:val="00F82526"/>
    <w:rsid w:val="00F83662"/>
    <w:rsid w:val="00F84672"/>
    <w:rsid w:val="00F84802"/>
    <w:rsid w:val="00F852BB"/>
    <w:rsid w:val="00F95A8C"/>
    <w:rsid w:val="00FA06FD"/>
    <w:rsid w:val="00FA515B"/>
    <w:rsid w:val="00FA6B90"/>
    <w:rsid w:val="00FA70F9"/>
    <w:rsid w:val="00FA74CB"/>
    <w:rsid w:val="00FB207A"/>
    <w:rsid w:val="00FB2886"/>
    <w:rsid w:val="00FB35B2"/>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styleId="Seznam">
    <w:name w:val="List"/>
    <w:basedOn w:val="Normln"/>
    <w:rsid w:val="000F2EE2"/>
    <w:pPr>
      <w:widowControl w:val="0"/>
      <w:tabs>
        <w:tab w:val="clear" w:pos="567"/>
      </w:tabs>
      <w:spacing w:line="240" w:lineRule="auto"/>
      <w:ind w:left="283" w:hanging="283"/>
    </w:pPr>
    <w:rPr>
      <w:sz w:val="20"/>
      <w:lang w:eastAsia="cs-CZ"/>
    </w:rPr>
  </w:style>
  <w:style w:type="character" w:customStyle="1" w:styleId="markedcontent">
    <w:name w:val="markedcontent"/>
    <w:basedOn w:val="Standardnpsmoodstavce"/>
    <w:rsid w:val="0061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8297">
      <w:bodyDiv w:val="1"/>
      <w:marLeft w:val="0"/>
      <w:marRight w:val="0"/>
      <w:marTop w:val="0"/>
      <w:marBottom w:val="0"/>
      <w:divBdr>
        <w:top w:val="none" w:sz="0" w:space="0" w:color="auto"/>
        <w:left w:val="none" w:sz="0" w:space="0" w:color="auto"/>
        <w:bottom w:val="none" w:sz="0" w:space="0" w:color="auto"/>
        <w:right w:val="none" w:sz="0" w:space="0" w:color="auto"/>
      </w:divBdr>
    </w:div>
    <w:div w:id="150828682">
      <w:bodyDiv w:val="1"/>
      <w:marLeft w:val="0"/>
      <w:marRight w:val="0"/>
      <w:marTop w:val="0"/>
      <w:marBottom w:val="0"/>
      <w:divBdr>
        <w:top w:val="none" w:sz="0" w:space="0" w:color="auto"/>
        <w:left w:val="none" w:sz="0" w:space="0" w:color="auto"/>
        <w:bottom w:val="none" w:sz="0" w:space="0" w:color="auto"/>
        <w:right w:val="none" w:sz="0" w:space="0" w:color="auto"/>
      </w:divBdr>
    </w:div>
    <w:div w:id="189417302">
      <w:bodyDiv w:val="1"/>
      <w:marLeft w:val="0"/>
      <w:marRight w:val="0"/>
      <w:marTop w:val="0"/>
      <w:marBottom w:val="0"/>
      <w:divBdr>
        <w:top w:val="none" w:sz="0" w:space="0" w:color="auto"/>
        <w:left w:val="none" w:sz="0" w:space="0" w:color="auto"/>
        <w:bottom w:val="none" w:sz="0" w:space="0" w:color="auto"/>
        <w:right w:val="none" w:sz="0" w:space="0" w:color="auto"/>
      </w:divBdr>
    </w:div>
    <w:div w:id="503545557">
      <w:bodyDiv w:val="1"/>
      <w:marLeft w:val="0"/>
      <w:marRight w:val="0"/>
      <w:marTop w:val="0"/>
      <w:marBottom w:val="0"/>
      <w:divBdr>
        <w:top w:val="none" w:sz="0" w:space="0" w:color="auto"/>
        <w:left w:val="none" w:sz="0" w:space="0" w:color="auto"/>
        <w:bottom w:val="none" w:sz="0" w:space="0" w:color="auto"/>
        <w:right w:val="none" w:sz="0" w:space="0" w:color="auto"/>
      </w:divBdr>
    </w:div>
    <w:div w:id="831218750">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922102739">
      <w:bodyDiv w:val="1"/>
      <w:marLeft w:val="0"/>
      <w:marRight w:val="0"/>
      <w:marTop w:val="0"/>
      <w:marBottom w:val="0"/>
      <w:divBdr>
        <w:top w:val="none" w:sz="0" w:space="0" w:color="auto"/>
        <w:left w:val="none" w:sz="0" w:space="0" w:color="auto"/>
        <w:bottom w:val="none" w:sz="0" w:space="0" w:color="auto"/>
        <w:right w:val="none" w:sz="0" w:space="0" w:color="auto"/>
      </w:divBdr>
    </w:div>
    <w:div w:id="1050805248">
      <w:bodyDiv w:val="1"/>
      <w:marLeft w:val="0"/>
      <w:marRight w:val="0"/>
      <w:marTop w:val="0"/>
      <w:marBottom w:val="0"/>
      <w:divBdr>
        <w:top w:val="none" w:sz="0" w:space="0" w:color="auto"/>
        <w:left w:val="none" w:sz="0" w:space="0" w:color="auto"/>
        <w:bottom w:val="none" w:sz="0" w:space="0" w:color="auto"/>
        <w:right w:val="none" w:sz="0" w:space="0" w:color="auto"/>
      </w:divBdr>
    </w:div>
    <w:div w:id="1090929797">
      <w:bodyDiv w:val="1"/>
      <w:marLeft w:val="0"/>
      <w:marRight w:val="0"/>
      <w:marTop w:val="0"/>
      <w:marBottom w:val="0"/>
      <w:divBdr>
        <w:top w:val="none" w:sz="0" w:space="0" w:color="auto"/>
        <w:left w:val="none" w:sz="0" w:space="0" w:color="auto"/>
        <w:bottom w:val="none" w:sz="0" w:space="0" w:color="auto"/>
        <w:right w:val="none" w:sz="0" w:space="0" w:color="auto"/>
      </w:divBdr>
    </w:div>
    <w:div w:id="1473135658">
      <w:bodyDiv w:val="1"/>
      <w:marLeft w:val="0"/>
      <w:marRight w:val="0"/>
      <w:marTop w:val="0"/>
      <w:marBottom w:val="0"/>
      <w:divBdr>
        <w:top w:val="none" w:sz="0" w:space="0" w:color="auto"/>
        <w:left w:val="none" w:sz="0" w:space="0" w:color="auto"/>
        <w:bottom w:val="none" w:sz="0" w:space="0" w:color="auto"/>
        <w:right w:val="none" w:sz="0" w:space="0" w:color="auto"/>
      </w:divBdr>
    </w:div>
    <w:div w:id="1579904770">
      <w:bodyDiv w:val="1"/>
      <w:marLeft w:val="0"/>
      <w:marRight w:val="0"/>
      <w:marTop w:val="0"/>
      <w:marBottom w:val="0"/>
      <w:divBdr>
        <w:top w:val="none" w:sz="0" w:space="0" w:color="auto"/>
        <w:left w:val="none" w:sz="0" w:space="0" w:color="auto"/>
        <w:bottom w:val="none" w:sz="0" w:space="0" w:color="auto"/>
        <w:right w:val="none" w:sz="0" w:space="0" w:color="auto"/>
      </w:divBdr>
    </w:div>
    <w:div w:id="1797488161">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18329653">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E311-D702-44EB-B68D-8ED82137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5903</TotalTime>
  <Pages>5</Pages>
  <Words>1122</Words>
  <Characters>6625</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91</cp:revision>
  <cp:lastPrinted>2023-11-24T13:54:00Z</cp:lastPrinted>
  <dcterms:created xsi:type="dcterms:W3CDTF">2022-06-10T09:47:00Z</dcterms:created>
  <dcterms:modified xsi:type="dcterms:W3CDTF">2023-11-24T13:54:00Z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