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3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19779E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779E">
        <w:rPr>
          <w:b/>
          <w:szCs w:val="22"/>
        </w:rPr>
        <w:t>PŘÍLOHA I</w:t>
      </w:r>
    </w:p>
    <w:p w14:paraId="14C30FC9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19779E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779E">
        <w:rPr>
          <w:b/>
          <w:szCs w:val="22"/>
        </w:rPr>
        <w:t>SOUHRN ÚDAJŮ O PŘÍPRAVKU</w:t>
      </w:r>
    </w:p>
    <w:p w14:paraId="14C30FCB" w14:textId="77777777" w:rsidR="00C114FF" w:rsidRPr="0019779E" w:rsidRDefault="006C6ABC" w:rsidP="00B13B6D">
      <w:pPr>
        <w:pStyle w:val="Style1"/>
      </w:pPr>
      <w:r w:rsidRPr="0019779E">
        <w:br w:type="page"/>
      </w:r>
      <w:r w:rsidRPr="0019779E">
        <w:lastRenderedPageBreak/>
        <w:t>1.</w:t>
      </w:r>
      <w:r w:rsidRPr="0019779E">
        <w:tab/>
        <w:t>NÁZEV VETERINÁRNÍHO LÉČIVÉHO PŘÍPRAVKU</w:t>
      </w:r>
    </w:p>
    <w:p w14:paraId="14C30FCC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19B95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rPr>
          <w:bCs/>
        </w:rPr>
        <w:t>Nobivac KC</w:t>
      </w:r>
      <w:r w:rsidRPr="0019779E">
        <w:t xml:space="preserve"> </w:t>
      </w:r>
      <w:bookmarkStart w:id="0" w:name="_Hlk70607642"/>
      <w:r w:rsidRPr="0019779E">
        <w:t>nosní kapky, lyofilizát a rozpouštědlo pro suspenzi pro psy</w:t>
      </w:r>
      <w:bookmarkEnd w:id="0"/>
    </w:p>
    <w:p w14:paraId="14C30FCE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F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19779E" w:rsidRDefault="006C6ABC" w:rsidP="00B13B6D">
      <w:pPr>
        <w:pStyle w:val="Style1"/>
      </w:pPr>
      <w:r w:rsidRPr="0019779E">
        <w:t>2.</w:t>
      </w:r>
      <w:r w:rsidRPr="0019779E">
        <w:tab/>
        <w:t>KVALITATIVNÍ A KVANTITATIVNÍ SLOŽENÍ</w:t>
      </w:r>
    </w:p>
    <w:p w14:paraId="14C30FD1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FFD8CE" w14:textId="69B168DB" w:rsidR="0007433A" w:rsidRPr="0019779E" w:rsidRDefault="0007433A" w:rsidP="0007433A">
      <w:pPr>
        <w:tabs>
          <w:tab w:val="clear" w:pos="567"/>
        </w:tabs>
        <w:spacing w:line="240" w:lineRule="auto"/>
        <w:rPr>
          <w:bCs/>
          <w:iCs/>
          <w:szCs w:val="22"/>
        </w:rPr>
      </w:pPr>
      <w:bookmarkStart w:id="1" w:name="_Hlk70607680"/>
      <w:r w:rsidRPr="0019779E">
        <w:rPr>
          <w:bCs/>
          <w:iCs/>
          <w:szCs w:val="22"/>
        </w:rPr>
        <w:t>Každá dávka (0,4 ml) rekonstituované vakcíny obsahuje:</w:t>
      </w:r>
    </w:p>
    <w:p w14:paraId="56109869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bookmarkEnd w:id="1"/>
    <w:p w14:paraId="0B2D4D3A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19779E">
        <w:rPr>
          <w:b/>
          <w:iCs/>
          <w:szCs w:val="22"/>
        </w:rPr>
        <w:t>Léčivé látky:</w:t>
      </w:r>
    </w:p>
    <w:p w14:paraId="63F85D3F" w14:textId="2FE78E40" w:rsidR="0007433A" w:rsidRPr="0019779E" w:rsidRDefault="0007433A" w:rsidP="0007433A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19779E">
        <w:rPr>
          <w:bCs/>
          <w:i/>
          <w:iCs/>
          <w:szCs w:val="22"/>
        </w:rPr>
        <w:t>Bordetella bronchiseptica</w:t>
      </w:r>
      <w:bookmarkStart w:id="2" w:name="_Hlk70607710"/>
      <w:r w:rsidRPr="0019779E">
        <w:rPr>
          <w:bCs/>
          <w:szCs w:val="22"/>
        </w:rPr>
        <w:t>, živá, kmen</w:t>
      </w:r>
      <w:r w:rsidRPr="0019779E">
        <w:rPr>
          <w:bCs/>
          <w:iCs/>
          <w:szCs w:val="22"/>
        </w:rPr>
        <w:t xml:space="preserve"> </w:t>
      </w:r>
      <w:bookmarkEnd w:id="2"/>
      <w:r w:rsidRPr="0019779E">
        <w:rPr>
          <w:bCs/>
          <w:iCs/>
          <w:szCs w:val="22"/>
        </w:rPr>
        <w:t>B-C2:</w:t>
      </w:r>
      <w:r w:rsidR="009C3327" w:rsidRPr="0019779E">
        <w:rPr>
          <w:bCs/>
          <w:iCs/>
          <w:szCs w:val="22"/>
        </w:rPr>
        <w:tab/>
      </w:r>
      <w:r w:rsidR="009C3327" w:rsidRPr="0019779E">
        <w:rPr>
          <w:bCs/>
          <w:iCs/>
          <w:szCs w:val="22"/>
        </w:rPr>
        <w:tab/>
      </w:r>
      <w:r w:rsidR="0063749B" w:rsidRPr="0019779E">
        <w:rPr>
          <w:bCs/>
          <w:iCs/>
          <w:szCs w:val="22"/>
        </w:rPr>
        <w:t xml:space="preserve"> </w:t>
      </w:r>
      <w:r w:rsidR="00171A5D" w:rsidRPr="0019779E">
        <w:rPr>
          <w:iCs/>
          <w:szCs w:val="22"/>
        </w:rPr>
        <w:t xml:space="preserve">≥ </w:t>
      </w:r>
      <w:r w:rsidRPr="0019779E">
        <w:rPr>
          <w:bCs/>
          <w:iCs/>
          <w:szCs w:val="22"/>
        </w:rPr>
        <w:t>10</w:t>
      </w:r>
      <w:r w:rsidRPr="0019779E">
        <w:rPr>
          <w:bCs/>
          <w:iCs/>
          <w:szCs w:val="22"/>
          <w:vertAlign w:val="superscript"/>
        </w:rPr>
        <w:t>8,0</w:t>
      </w:r>
      <w:r w:rsidRPr="0019779E">
        <w:rPr>
          <w:bCs/>
          <w:iCs/>
          <w:szCs w:val="22"/>
        </w:rPr>
        <w:t xml:space="preserve"> </w:t>
      </w:r>
      <w:r w:rsidR="0063749B" w:rsidRPr="0019779E">
        <w:rPr>
          <w:bCs/>
          <w:iCs/>
          <w:szCs w:val="22"/>
        </w:rPr>
        <w:t xml:space="preserve">a </w:t>
      </w:r>
      <w:r w:rsidR="0063749B" w:rsidRPr="0019779E">
        <w:rPr>
          <w:iCs/>
          <w:szCs w:val="22"/>
        </w:rPr>
        <w:t>≤</w:t>
      </w:r>
      <w:r w:rsidR="0063749B" w:rsidRPr="0019779E">
        <w:rPr>
          <w:bCs/>
          <w:iCs/>
          <w:szCs w:val="22"/>
        </w:rPr>
        <w:t xml:space="preserve"> </w:t>
      </w:r>
      <w:r w:rsidRPr="0019779E">
        <w:rPr>
          <w:bCs/>
          <w:iCs/>
          <w:szCs w:val="22"/>
        </w:rPr>
        <w:t>10</w:t>
      </w:r>
      <w:r w:rsidRPr="0019779E">
        <w:rPr>
          <w:bCs/>
          <w:iCs/>
          <w:szCs w:val="22"/>
          <w:vertAlign w:val="superscript"/>
        </w:rPr>
        <w:t>9,7</w:t>
      </w:r>
      <w:r w:rsidRPr="0019779E">
        <w:rPr>
          <w:bCs/>
          <w:iCs/>
          <w:szCs w:val="22"/>
        </w:rPr>
        <w:t xml:space="preserve"> CFU</w:t>
      </w:r>
      <w:r w:rsidR="00171A5D" w:rsidRPr="0019779E">
        <w:rPr>
          <w:iCs/>
          <w:szCs w:val="22"/>
          <w:vertAlign w:val="superscript"/>
        </w:rPr>
        <w:t>1</w:t>
      </w:r>
      <w:r w:rsidRPr="0019779E">
        <w:rPr>
          <w:bCs/>
          <w:iCs/>
          <w:szCs w:val="22"/>
        </w:rPr>
        <w:t xml:space="preserve">, </w:t>
      </w:r>
    </w:p>
    <w:p w14:paraId="4A1E160C" w14:textId="546860C8" w:rsidR="0007433A" w:rsidRPr="0019779E" w:rsidRDefault="0007433A" w:rsidP="0007433A">
      <w:pPr>
        <w:tabs>
          <w:tab w:val="clear" w:pos="567"/>
        </w:tabs>
        <w:spacing w:line="240" w:lineRule="auto"/>
        <w:rPr>
          <w:bCs/>
          <w:szCs w:val="22"/>
        </w:rPr>
      </w:pPr>
      <w:r w:rsidRPr="0019779E">
        <w:rPr>
          <w:bCs/>
          <w:iCs/>
          <w:szCs w:val="22"/>
        </w:rPr>
        <w:t>Virus parainfluensis canis</w:t>
      </w:r>
      <w:bookmarkStart w:id="3" w:name="_Hlk70607739"/>
      <w:r w:rsidRPr="0019779E">
        <w:rPr>
          <w:bCs/>
          <w:iCs/>
          <w:szCs w:val="22"/>
        </w:rPr>
        <w:t>, živý, kmen</w:t>
      </w:r>
      <w:bookmarkEnd w:id="3"/>
      <w:r w:rsidRPr="0019779E">
        <w:rPr>
          <w:bCs/>
          <w:iCs/>
          <w:szCs w:val="22"/>
        </w:rPr>
        <w:t xml:space="preserve"> Cornell:</w:t>
      </w:r>
      <w:r w:rsidR="009C3327" w:rsidRPr="0019779E">
        <w:rPr>
          <w:bCs/>
          <w:iCs/>
          <w:szCs w:val="22"/>
        </w:rPr>
        <w:tab/>
      </w:r>
      <w:r w:rsidR="00171A5D" w:rsidRPr="0019779E">
        <w:rPr>
          <w:bCs/>
          <w:iCs/>
          <w:szCs w:val="22"/>
        </w:rPr>
        <w:t xml:space="preserve"> </w:t>
      </w:r>
      <w:r w:rsidR="00171A5D" w:rsidRPr="0019779E">
        <w:rPr>
          <w:iCs/>
          <w:szCs w:val="22"/>
        </w:rPr>
        <w:t xml:space="preserve">≥ </w:t>
      </w:r>
      <w:r w:rsidRPr="0019779E">
        <w:rPr>
          <w:bCs/>
          <w:iCs/>
          <w:szCs w:val="22"/>
        </w:rPr>
        <w:t>10</w:t>
      </w:r>
      <w:r w:rsidRPr="0019779E">
        <w:rPr>
          <w:bCs/>
          <w:iCs/>
          <w:szCs w:val="22"/>
          <w:vertAlign w:val="superscript"/>
        </w:rPr>
        <w:t xml:space="preserve">3,0 </w:t>
      </w:r>
      <w:r w:rsidR="0063749B" w:rsidRPr="0019779E">
        <w:rPr>
          <w:bCs/>
          <w:iCs/>
          <w:szCs w:val="22"/>
        </w:rPr>
        <w:t xml:space="preserve">a </w:t>
      </w:r>
      <w:r w:rsidR="0063749B" w:rsidRPr="0019779E">
        <w:rPr>
          <w:iCs/>
          <w:szCs w:val="22"/>
        </w:rPr>
        <w:t>≤</w:t>
      </w:r>
      <w:r w:rsidR="0063749B" w:rsidRPr="0019779E">
        <w:rPr>
          <w:bCs/>
          <w:iCs/>
          <w:szCs w:val="22"/>
        </w:rPr>
        <w:t xml:space="preserve"> </w:t>
      </w:r>
      <w:r w:rsidRPr="0019779E">
        <w:rPr>
          <w:bCs/>
          <w:iCs/>
          <w:szCs w:val="22"/>
        </w:rPr>
        <w:t>10</w:t>
      </w:r>
      <w:r w:rsidRPr="0019779E">
        <w:rPr>
          <w:bCs/>
          <w:iCs/>
          <w:szCs w:val="22"/>
          <w:vertAlign w:val="superscript"/>
        </w:rPr>
        <w:t>5,8</w:t>
      </w:r>
      <w:r w:rsidRPr="0019779E">
        <w:rPr>
          <w:bCs/>
          <w:iCs/>
          <w:szCs w:val="22"/>
        </w:rPr>
        <w:t xml:space="preserve"> TCID</w:t>
      </w:r>
      <w:r w:rsidRPr="0019779E">
        <w:rPr>
          <w:bCs/>
          <w:iCs/>
          <w:szCs w:val="22"/>
          <w:vertAlign w:val="subscript"/>
        </w:rPr>
        <w:t>50</w:t>
      </w:r>
      <w:r w:rsidR="00171A5D" w:rsidRPr="0019779E">
        <w:rPr>
          <w:iCs/>
          <w:szCs w:val="22"/>
          <w:vertAlign w:val="superscript"/>
        </w:rPr>
        <w:t>2</w:t>
      </w:r>
      <w:r w:rsidRPr="0019779E">
        <w:rPr>
          <w:bCs/>
          <w:iCs/>
          <w:szCs w:val="22"/>
          <w:vertAlign w:val="superscript"/>
        </w:rPr>
        <w:t xml:space="preserve">      </w:t>
      </w:r>
    </w:p>
    <w:p w14:paraId="7F40B43B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04F2E85" w14:textId="2617D11A" w:rsidR="0007433A" w:rsidRPr="0019779E" w:rsidRDefault="00171A5D" w:rsidP="0007433A">
      <w:pPr>
        <w:tabs>
          <w:tab w:val="clear" w:pos="567"/>
        </w:tabs>
        <w:spacing w:line="240" w:lineRule="auto"/>
        <w:rPr>
          <w:bCs/>
          <w:szCs w:val="22"/>
        </w:rPr>
      </w:pPr>
      <w:r w:rsidRPr="0019779E">
        <w:rPr>
          <w:iCs/>
          <w:szCs w:val="22"/>
          <w:vertAlign w:val="superscript"/>
        </w:rPr>
        <w:t xml:space="preserve">1  </w:t>
      </w:r>
      <w:r w:rsidR="0007433A" w:rsidRPr="0019779E">
        <w:rPr>
          <w:bCs/>
          <w:szCs w:val="22"/>
        </w:rPr>
        <w:t>kolonie tvořící jednotka</w:t>
      </w:r>
    </w:p>
    <w:p w14:paraId="28B8A485" w14:textId="263FD18D" w:rsidR="0007433A" w:rsidRPr="0019779E" w:rsidRDefault="00171A5D" w:rsidP="0007433A">
      <w:pPr>
        <w:tabs>
          <w:tab w:val="clear" w:pos="567"/>
        </w:tabs>
        <w:spacing w:line="240" w:lineRule="auto"/>
        <w:rPr>
          <w:bCs/>
          <w:szCs w:val="22"/>
        </w:rPr>
      </w:pPr>
      <w:r w:rsidRPr="0019779E">
        <w:rPr>
          <w:iCs/>
          <w:szCs w:val="22"/>
          <w:vertAlign w:val="superscript"/>
        </w:rPr>
        <w:t>2</w:t>
      </w:r>
      <w:r w:rsidR="0007433A" w:rsidRPr="0019779E">
        <w:rPr>
          <w:bCs/>
          <w:szCs w:val="22"/>
        </w:rPr>
        <w:t xml:space="preserve"> 50% infekční dávka pro tkáňové kultury</w:t>
      </w:r>
    </w:p>
    <w:p w14:paraId="14C30FD5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19779E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b/>
          <w:szCs w:val="22"/>
        </w:rPr>
        <w:t>Pomocné látky:</w:t>
      </w:r>
    </w:p>
    <w:p w14:paraId="14C30FD7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</w:tblGrid>
      <w:tr w:rsidR="0007433A" w:rsidRPr="0019779E" w14:paraId="14C30FDA" w14:textId="77777777" w:rsidTr="0007433A">
        <w:tc>
          <w:tcPr>
            <w:tcW w:w="4558" w:type="dxa"/>
            <w:shd w:val="clear" w:color="auto" w:fill="auto"/>
            <w:vAlign w:val="center"/>
          </w:tcPr>
          <w:p w14:paraId="14C30FD8" w14:textId="3528D38A" w:rsidR="0007433A" w:rsidRPr="0019779E" w:rsidRDefault="0007433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9779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7433A" w:rsidRPr="0019779E" w14:paraId="14C30FDD" w14:textId="77777777" w:rsidTr="0007433A">
        <w:tc>
          <w:tcPr>
            <w:tcW w:w="4558" w:type="dxa"/>
            <w:shd w:val="clear" w:color="auto" w:fill="auto"/>
            <w:vAlign w:val="center"/>
          </w:tcPr>
          <w:p w14:paraId="14C30FDB" w14:textId="7DBEE2B2" w:rsidR="0007433A" w:rsidRPr="0019779E" w:rsidRDefault="0007433A" w:rsidP="0007433A">
            <w:pPr>
              <w:spacing w:before="60" w:after="60"/>
              <w:ind w:left="567" w:hanging="567"/>
              <w:rPr>
                <w:b/>
                <w:i/>
                <w:szCs w:val="22"/>
              </w:rPr>
            </w:pPr>
            <w:r w:rsidRPr="0019779E">
              <w:rPr>
                <w:b/>
                <w:i/>
                <w:szCs w:val="22"/>
              </w:rPr>
              <w:t>Lyofilizát:</w:t>
            </w:r>
          </w:p>
        </w:tc>
      </w:tr>
      <w:tr w:rsidR="0007433A" w:rsidRPr="0019779E" w14:paraId="14C30FE0" w14:textId="77777777" w:rsidTr="0007433A">
        <w:tc>
          <w:tcPr>
            <w:tcW w:w="4558" w:type="dxa"/>
            <w:shd w:val="clear" w:color="auto" w:fill="auto"/>
            <w:vAlign w:val="center"/>
          </w:tcPr>
          <w:p w14:paraId="14C30FDE" w14:textId="4CA535DD" w:rsidR="0007433A" w:rsidRPr="0019779E" w:rsidRDefault="0007433A" w:rsidP="0007433A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19779E">
              <w:rPr>
                <w:bCs/>
                <w:iCs/>
                <w:szCs w:val="22"/>
              </w:rPr>
              <w:t>Hydrolyzovaná želatina</w:t>
            </w:r>
          </w:p>
        </w:tc>
      </w:tr>
      <w:tr w:rsidR="0007433A" w:rsidRPr="0019779E" w14:paraId="2FCB594D" w14:textId="77777777" w:rsidTr="0007433A">
        <w:tc>
          <w:tcPr>
            <w:tcW w:w="4558" w:type="dxa"/>
            <w:shd w:val="clear" w:color="auto" w:fill="auto"/>
            <w:vAlign w:val="center"/>
          </w:tcPr>
          <w:p w14:paraId="18D8614D" w14:textId="1260E40B" w:rsidR="0007433A" w:rsidRPr="0019779E" w:rsidRDefault="0007433A" w:rsidP="0007433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Pankreatininem hydrolyzovaný kasein</w:t>
            </w:r>
          </w:p>
        </w:tc>
      </w:tr>
      <w:tr w:rsidR="0007433A" w:rsidRPr="0019779E" w14:paraId="3875DB0B" w14:textId="77777777" w:rsidTr="0007433A">
        <w:tc>
          <w:tcPr>
            <w:tcW w:w="4558" w:type="dxa"/>
            <w:shd w:val="clear" w:color="auto" w:fill="auto"/>
            <w:vAlign w:val="center"/>
          </w:tcPr>
          <w:p w14:paraId="289DB971" w14:textId="34B07622" w:rsidR="0007433A" w:rsidRPr="0019779E" w:rsidRDefault="0007433A" w:rsidP="0007433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Sorbitol</w:t>
            </w:r>
          </w:p>
        </w:tc>
      </w:tr>
      <w:tr w:rsidR="0007433A" w:rsidRPr="0019779E" w14:paraId="08E15392" w14:textId="77777777" w:rsidTr="0007433A">
        <w:tc>
          <w:tcPr>
            <w:tcW w:w="4558" w:type="dxa"/>
            <w:shd w:val="clear" w:color="auto" w:fill="auto"/>
            <w:vAlign w:val="center"/>
          </w:tcPr>
          <w:p w14:paraId="21BD0714" w14:textId="73375645" w:rsidR="0007433A" w:rsidRPr="0019779E" w:rsidRDefault="0007433A" w:rsidP="0007433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Chlorid sodný</w:t>
            </w:r>
          </w:p>
        </w:tc>
      </w:tr>
      <w:tr w:rsidR="0007433A" w:rsidRPr="0019779E" w14:paraId="71AC0752" w14:textId="77777777" w:rsidTr="0007433A">
        <w:tc>
          <w:tcPr>
            <w:tcW w:w="4558" w:type="dxa"/>
            <w:shd w:val="clear" w:color="auto" w:fill="auto"/>
            <w:vAlign w:val="center"/>
          </w:tcPr>
          <w:p w14:paraId="53DA6A13" w14:textId="5911C124" w:rsidR="0007433A" w:rsidRPr="0019779E" w:rsidRDefault="0007433A" w:rsidP="0007433A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19779E">
              <w:rPr>
                <w:bCs/>
                <w:iCs/>
                <w:szCs w:val="22"/>
              </w:rPr>
              <w:t>Dihydrát hydrogenfosforečnanu sodného</w:t>
            </w:r>
          </w:p>
        </w:tc>
      </w:tr>
      <w:tr w:rsidR="0007433A" w:rsidRPr="0019779E" w14:paraId="7DBEE910" w14:textId="77777777" w:rsidTr="0007433A">
        <w:tc>
          <w:tcPr>
            <w:tcW w:w="4558" w:type="dxa"/>
            <w:shd w:val="clear" w:color="auto" w:fill="auto"/>
            <w:vAlign w:val="center"/>
          </w:tcPr>
          <w:p w14:paraId="0AF50DB0" w14:textId="3538842C" w:rsidR="0007433A" w:rsidRPr="0019779E" w:rsidRDefault="0007433A" w:rsidP="0007433A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19779E">
              <w:rPr>
                <w:bCs/>
                <w:iCs/>
                <w:szCs w:val="22"/>
              </w:rPr>
              <w:t>Dihydrogenfosforečnan draselný</w:t>
            </w:r>
          </w:p>
        </w:tc>
      </w:tr>
      <w:tr w:rsidR="0007433A" w:rsidRPr="0019779E" w14:paraId="14C30FE6" w14:textId="77777777" w:rsidTr="0007433A">
        <w:tc>
          <w:tcPr>
            <w:tcW w:w="4558" w:type="dxa"/>
            <w:shd w:val="clear" w:color="auto" w:fill="auto"/>
            <w:vAlign w:val="center"/>
          </w:tcPr>
          <w:p w14:paraId="14C30FE4" w14:textId="21585442" w:rsidR="0007433A" w:rsidRPr="0019779E" w:rsidRDefault="0007433A" w:rsidP="0007433A">
            <w:pPr>
              <w:spacing w:before="60" w:after="60"/>
              <w:ind w:left="567" w:hanging="567"/>
              <w:rPr>
                <w:b/>
                <w:bCs/>
                <w:i/>
                <w:szCs w:val="22"/>
              </w:rPr>
            </w:pPr>
            <w:r w:rsidRPr="0019779E">
              <w:rPr>
                <w:b/>
                <w:bCs/>
                <w:i/>
                <w:szCs w:val="22"/>
              </w:rPr>
              <w:t>Sterilní rozpouštědlo:</w:t>
            </w:r>
          </w:p>
        </w:tc>
      </w:tr>
      <w:tr w:rsidR="0007433A" w:rsidRPr="0019779E" w14:paraId="14C30FE9" w14:textId="77777777" w:rsidTr="0007433A">
        <w:tc>
          <w:tcPr>
            <w:tcW w:w="4558" w:type="dxa"/>
            <w:shd w:val="clear" w:color="auto" w:fill="auto"/>
            <w:vAlign w:val="center"/>
          </w:tcPr>
          <w:p w14:paraId="14C30FE7" w14:textId="6423B7ED" w:rsidR="0007433A" w:rsidRPr="0019779E" w:rsidRDefault="0007433A" w:rsidP="0007433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779E">
              <w:rPr>
                <w:bCs/>
                <w:iCs/>
                <w:szCs w:val="22"/>
              </w:rPr>
              <w:t>Voda pro injekci</w:t>
            </w:r>
          </w:p>
        </w:tc>
      </w:tr>
    </w:tbl>
    <w:p w14:paraId="14C30FEA" w14:textId="77777777" w:rsidR="00872C48" w:rsidRPr="0019779E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E4C377" w14:textId="032F0ED4" w:rsidR="00BD5731" w:rsidRPr="0019779E" w:rsidRDefault="00BD5731" w:rsidP="00EE3913">
      <w:pPr>
        <w:pStyle w:val="Retrait1cm"/>
        <w:ind w:left="0"/>
      </w:pPr>
      <w:r w:rsidRPr="0019779E">
        <w:t xml:space="preserve">Lyofilizát: </w:t>
      </w:r>
      <w:r w:rsidR="00EE3913" w:rsidRPr="0019779E">
        <w:t>p</w:t>
      </w:r>
      <w:r w:rsidRPr="0019779E">
        <w:t>elety špinavě bílé nebo krémové barvy.</w:t>
      </w:r>
    </w:p>
    <w:p w14:paraId="3F2B7283" w14:textId="4505D670" w:rsidR="00BD5731" w:rsidRPr="0019779E" w:rsidRDefault="00BD5731" w:rsidP="00EE3913">
      <w:pPr>
        <w:pStyle w:val="Retrait1cm"/>
        <w:ind w:left="0"/>
      </w:pPr>
      <w:r w:rsidRPr="0019779E">
        <w:t xml:space="preserve">Rozpouštědlo: </w:t>
      </w:r>
      <w:r w:rsidR="00EE3913" w:rsidRPr="0019779E">
        <w:t>č</w:t>
      </w:r>
      <w:r w:rsidRPr="0019779E">
        <w:t>irý bezbarvý roztok.</w:t>
      </w:r>
    </w:p>
    <w:p w14:paraId="14C30FEB" w14:textId="377BF41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FD752" w14:textId="77777777" w:rsidR="00BD5731" w:rsidRPr="0019779E" w:rsidRDefault="00BD57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19779E" w:rsidRDefault="006C6ABC" w:rsidP="00B13B6D">
      <w:pPr>
        <w:pStyle w:val="Style1"/>
      </w:pPr>
      <w:r w:rsidRPr="0019779E">
        <w:t>3.</w:t>
      </w:r>
      <w:r w:rsidRPr="0019779E">
        <w:tab/>
        <w:t>KLINICKÉ INFORMACE</w:t>
      </w:r>
    </w:p>
    <w:p w14:paraId="14C30FED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19779E" w:rsidRDefault="006C6ABC" w:rsidP="00B13B6D">
      <w:pPr>
        <w:pStyle w:val="Style1"/>
      </w:pPr>
      <w:r w:rsidRPr="0019779E">
        <w:t>3.1</w:t>
      </w:r>
      <w:r w:rsidRPr="0019779E">
        <w:tab/>
        <w:t>Cílové druhy zvířat</w:t>
      </w:r>
    </w:p>
    <w:p w14:paraId="14C30FEF" w14:textId="34DFC708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33DAD" w14:textId="14DB3FD6" w:rsidR="0007433A" w:rsidRPr="0019779E" w:rsidRDefault="0007433A" w:rsidP="00A9226B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szCs w:val="22"/>
        </w:rPr>
        <w:t>Psi.</w:t>
      </w:r>
    </w:p>
    <w:p w14:paraId="3A2CB9E7" w14:textId="77777777" w:rsidR="0007433A" w:rsidRPr="0019779E" w:rsidRDefault="000743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19779E" w:rsidRDefault="006C6ABC" w:rsidP="00B13B6D">
      <w:pPr>
        <w:pStyle w:val="Style1"/>
      </w:pPr>
      <w:r w:rsidRPr="0019779E">
        <w:t>3.2</w:t>
      </w:r>
      <w:r w:rsidRPr="0019779E">
        <w:tab/>
        <w:t xml:space="preserve">Indikace pro použití pro každý cílový druh </w:t>
      </w:r>
      <w:r w:rsidR="0043586F" w:rsidRPr="0019779E">
        <w:t>zvířat</w:t>
      </w:r>
    </w:p>
    <w:p w14:paraId="14C30FF1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397BB2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u w:val="single"/>
        </w:rPr>
      </w:pPr>
      <w:r w:rsidRPr="0019779E">
        <w:t xml:space="preserve">Aktivní imunizace psů proti Bordetella bronchiseptica a viru parainfluenzy psů v období zvýšeného rizika, ke snížení klinických příznaků typických pro psincový kašel, způsobený </w:t>
      </w:r>
      <w:r w:rsidRPr="0019779E">
        <w:rPr>
          <w:i/>
        </w:rPr>
        <w:t>Bordetella bronchiseptica</w:t>
      </w:r>
      <w:r w:rsidRPr="0019779E">
        <w:t xml:space="preserve"> a virem parainfluenzy psů a ke snížení šíření viru parainfluenzy psů.</w:t>
      </w:r>
    </w:p>
    <w:p w14:paraId="064B2339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u w:val="single"/>
        </w:rPr>
      </w:pPr>
    </w:p>
    <w:p w14:paraId="4886CAAA" w14:textId="1D059FA5" w:rsidR="00EE3913" w:rsidRPr="0019779E" w:rsidRDefault="0007433A" w:rsidP="0007433A">
      <w:pPr>
        <w:tabs>
          <w:tab w:val="clear" w:pos="567"/>
        </w:tabs>
        <w:spacing w:line="240" w:lineRule="auto"/>
      </w:pPr>
      <w:r w:rsidRPr="0019779E">
        <w:rPr>
          <w:u w:val="single"/>
        </w:rPr>
        <w:t>Nástup imunity:</w:t>
      </w:r>
      <w:r w:rsidRPr="0019779E">
        <w:t xml:space="preserve"> </w:t>
      </w:r>
      <w:r w:rsidR="00407F43" w:rsidRPr="0019779E">
        <w:t xml:space="preserve">   </w:t>
      </w:r>
      <w:r w:rsidR="00EE3913" w:rsidRPr="0019779E">
        <w:t>p</w:t>
      </w:r>
      <w:r w:rsidRPr="0019779E">
        <w:t xml:space="preserve">roti </w:t>
      </w:r>
      <w:r w:rsidRPr="0019779E">
        <w:rPr>
          <w:i/>
        </w:rPr>
        <w:t>Bordetella bronchiseptica</w:t>
      </w:r>
      <w:r w:rsidRPr="0019779E">
        <w:t>: 72 hodin po vakcinaci</w:t>
      </w:r>
      <w:r w:rsidR="00EE3913" w:rsidRPr="0019779E">
        <w:t>;</w:t>
      </w:r>
    </w:p>
    <w:p w14:paraId="38089DA5" w14:textId="0B47ABDE" w:rsidR="0007433A" w:rsidRPr="0019779E" w:rsidRDefault="00EE3913" w:rsidP="0007433A">
      <w:pPr>
        <w:tabs>
          <w:tab w:val="clear" w:pos="567"/>
        </w:tabs>
        <w:spacing w:line="240" w:lineRule="auto"/>
      </w:pPr>
      <w:r w:rsidRPr="0019779E">
        <w:t xml:space="preserve">                           </w:t>
      </w:r>
      <w:r w:rsidR="00407F43" w:rsidRPr="0019779E">
        <w:t xml:space="preserve">   p</w:t>
      </w:r>
      <w:r w:rsidR="0007433A" w:rsidRPr="0019779E">
        <w:t>roti parainfluenze psů: 3 týdny po vakcinaci</w:t>
      </w:r>
      <w:r w:rsidR="00407F43" w:rsidRPr="0019779E">
        <w:t>.</w:t>
      </w:r>
    </w:p>
    <w:p w14:paraId="3D949DFB" w14:textId="4ECD92AC" w:rsidR="0007433A" w:rsidRPr="0019779E" w:rsidRDefault="0007433A" w:rsidP="0007433A">
      <w:pPr>
        <w:tabs>
          <w:tab w:val="clear" w:pos="567"/>
        </w:tabs>
        <w:spacing w:line="240" w:lineRule="auto"/>
        <w:rPr>
          <w:u w:val="single"/>
        </w:rPr>
      </w:pPr>
      <w:r w:rsidRPr="0019779E">
        <w:rPr>
          <w:u w:val="single"/>
        </w:rPr>
        <w:t>Trvání imunity:</w:t>
      </w:r>
      <w:r w:rsidRPr="0019779E">
        <w:t xml:space="preserve"> </w:t>
      </w:r>
      <w:r w:rsidR="00407F43" w:rsidRPr="0019779E">
        <w:t xml:space="preserve">   </w:t>
      </w:r>
      <w:r w:rsidRPr="0019779E">
        <w:t>1 rok</w:t>
      </w:r>
    </w:p>
    <w:p w14:paraId="14C30FF5" w14:textId="77777777" w:rsidR="00E86CEE" w:rsidRPr="0019779E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19779E" w:rsidRDefault="006C6ABC" w:rsidP="00B13B6D">
      <w:pPr>
        <w:pStyle w:val="Style1"/>
      </w:pPr>
      <w:r w:rsidRPr="0019779E">
        <w:t>3.3</w:t>
      </w:r>
      <w:r w:rsidRPr="0019779E">
        <w:tab/>
        <w:t>Kontraindikace</w:t>
      </w:r>
    </w:p>
    <w:p w14:paraId="14C30FF7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C11AA2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lastRenderedPageBreak/>
        <w:t>Nejsou.</w:t>
      </w:r>
    </w:p>
    <w:p w14:paraId="14C30FFB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19779E" w:rsidRDefault="006C6ABC" w:rsidP="00B13B6D">
      <w:pPr>
        <w:pStyle w:val="Style1"/>
      </w:pPr>
      <w:r w:rsidRPr="0019779E">
        <w:t>3.4</w:t>
      </w:r>
      <w:r w:rsidRPr="0019779E">
        <w:tab/>
        <w:t>Zvláštní upozornění</w:t>
      </w:r>
    </w:p>
    <w:p w14:paraId="14C30FFD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0" w14:textId="2080FE00" w:rsidR="00E86CEE" w:rsidRPr="0019779E" w:rsidRDefault="006C6ABC" w:rsidP="00E86CEE">
      <w:pPr>
        <w:tabs>
          <w:tab w:val="clear" w:pos="567"/>
        </w:tabs>
        <w:spacing w:line="240" w:lineRule="auto"/>
        <w:rPr>
          <w:szCs w:val="22"/>
        </w:rPr>
      </w:pPr>
      <w:r w:rsidRPr="0019779E">
        <w:t>Vakcinovat pouze zdravá zvířata.</w:t>
      </w:r>
    </w:p>
    <w:p w14:paraId="14C31001" w14:textId="77777777" w:rsidR="00E86CEE" w:rsidRPr="0019779E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19779E" w:rsidRDefault="006C6ABC" w:rsidP="00B13B6D">
      <w:pPr>
        <w:pStyle w:val="Style1"/>
      </w:pPr>
      <w:r w:rsidRPr="0019779E">
        <w:t>3.5</w:t>
      </w:r>
      <w:r w:rsidRPr="0019779E">
        <w:tab/>
        <w:t>Zvláštní opatření pro použití</w:t>
      </w:r>
    </w:p>
    <w:p w14:paraId="14C31003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19779E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9779E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4415E1" w14:textId="2EE15274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 xml:space="preserve">Vakcinovaní psi mohou vylučovat vakcinační kmen </w:t>
      </w:r>
      <w:r w:rsidRPr="0019779E">
        <w:rPr>
          <w:i/>
        </w:rPr>
        <w:t>Bordetella bronchiseptica</w:t>
      </w:r>
      <w:r w:rsidRPr="0019779E">
        <w:t xml:space="preserve"> až po dobu 6 týdnů a</w:t>
      </w:r>
      <w:r w:rsidR="0019779E">
        <w:t> </w:t>
      </w:r>
      <w:r w:rsidRPr="0019779E">
        <w:t>vakcinační kmen parainfluenzy psů několik dnů po vakcinaci.</w:t>
      </w:r>
    </w:p>
    <w:p w14:paraId="3F081FB2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u w:val="single"/>
        </w:rPr>
      </w:pPr>
      <w:r w:rsidRPr="0019779E">
        <w:t>Imunosupresivní léky mohou narušit rozvoj aktivní imunity a může se zvýšit pravděpodobnost výskytu nežádoucích účinků způsobených živými vakcinačními kmeny.</w:t>
      </w:r>
    </w:p>
    <w:p w14:paraId="35B4CA07" w14:textId="5F804BFB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Kočky, prasata a nevakcinovaní psi mohou reagovat na vakcinační kmeny mírnými a přechodnými respiračními příznaky. Další zvířata, jako jsou králíci a malí hlodavci, nebyla testována.</w:t>
      </w:r>
    </w:p>
    <w:p w14:paraId="73B74AA1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b/>
        </w:rPr>
      </w:pPr>
    </w:p>
    <w:p w14:paraId="14C31010" w14:textId="77777777" w:rsidR="00C114FF" w:rsidRPr="0019779E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9779E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C60305" w14:textId="48DBFA6C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Osobám s oslabeným imunitním systémem se doporučuje vyhnout se kontaktu s vakcínou a</w:t>
      </w:r>
      <w:r w:rsidR="0019779E">
        <w:t> </w:t>
      </w:r>
      <w:r w:rsidRPr="0019779E">
        <w:t>vakcinovanými zvířaty během 6 týdnů po vakcinaci.</w:t>
      </w:r>
    </w:p>
    <w:p w14:paraId="496ED991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u w:val="single"/>
        </w:rPr>
      </w:pPr>
      <w:r w:rsidRPr="0019779E">
        <w:t>Po manipulaci s vakcínou dezinfikovat ruce a pracovní nářadí.</w:t>
      </w:r>
    </w:p>
    <w:p w14:paraId="14C31029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19779E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9779E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19779E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19779E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19779E">
        <w:t>Neuplatňuje se.</w:t>
      </w:r>
    </w:p>
    <w:p w14:paraId="14C3102D" w14:textId="77777777" w:rsidR="00295140" w:rsidRPr="0019779E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19779E" w:rsidRDefault="006C6ABC" w:rsidP="00B13B6D">
      <w:pPr>
        <w:pStyle w:val="Style1"/>
      </w:pPr>
      <w:r w:rsidRPr="0019779E">
        <w:t>3.6</w:t>
      </w:r>
      <w:r w:rsidRPr="0019779E">
        <w:tab/>
        <w:t>Nežádoucí účinky</w:t>
      </w:r>
    </w:p>
    <w:p w14:paraId="14C31031" w14:textId="78E37801" w:rsidR="00295140" w:rsidRPr="0019779E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48CDA9A5" w:rsidR="00AD0710" w:rsidRPr="0019779E" w:rsidRDefault="0007433A" w:rsidP="00AD0710">
      <w:pPr>
        <w:tabs>
          <w:tab w:val="clear" w:pos="567"/>
        </w:tabs>
        <w:spacing w:line="240" w:lineRule="auto"/>
        <w:rPr>
          <w:szCs w:val="22"/>
        </w:rPr>
      </w:pPr>
      <w:bookmarkStart w:id="4" w:name="_Hlk138420721"/>
      <w:r w:rsidRPr="0019779E">
        <w:t>Psi</w:t>
      </w:r>
      <w:r w:rsidR="006C6ABC" w:rsidRPr="0019779E">
        <w:t>:</w:t>
      </w:r>
    </w:p>
    <w:p w14:paraId="14C31033" w14:textId="77777777" w:rsidR="00295140" w:rsidRPr="0019779E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196"/>
      </w:tblGrid>
      <w:tr w:rsidR="00EE5860" w:rsidRPr="0019779E" w14:paraId="14C31037" w14:textId="77777777" w:rsidTr="00C20423">
        <w:tc>
          <w:tcPr>
            <w:tcW w:w="2133" w:type="pct"/>
          </w:tcPr>
          <w:p w14:paraId="14C31034" w14:textId="77777777" w:rsidR="00295140" w:rsidRPr="0019779E" w:rsidRDefault="006C6ABC" w:rsidP="00617B81">
            <w:pPr>
              <w:spacing w:before="60" w:after="60"/>
              <w:rPr>
                <w:szCs w:val="22"/>
              </w:rPr>
            </w:pPr>
            <w:r w:rsidRPr="0019779E">
              <w:t>Velmi časté</w:t>
            </w:r>
          </w:p>
          <w:p w14:paraId="14C31035" w14:textId="77777777" w:rsidR="00295140" w:rsidRPr="0019779E" w:rsidRDefault="006C6ABC" w:rsidP="00617B81">
            <w:pPr>
              <w:spacing w:before="60" w:after="60"/>
              <w:rPr>
                <w:szCs w:val="22"/>
              </w:rPr>
            </w:pPr>
            <w:r w:rsidRPr="0019779E">
              <w:t>(&gt; 1 zvíře / 10 ošetřených zvířat):</w:t>
            </w:r>
          </w:p>
        </w:tc>
        <w:tc>
          <w:tcPr>
            <w:tcW w:w="2867" w:type="pct"/>
          </w:tcPr>
          <w:p w14:paraId="28DEAEBB" w14:textId="77777777" w:rsidR="00295140" w:rsidRPr="0019779E" w:rsidRDefault="00407F43" w:rsidP="00617B81">
            <w:pPr>
              <w:spacing w:before="60" w:after="60"/>
              <w:rPr>
                <w:rFonts w:eastAsia="Calibri"/>
                <w:vertAlign w:val="superscript"/>
              </w:rPr>
            </w:pPr>
            <w:r w:rsidRPr="0019779E">
              <w:rPr>
                <w:iCs/>
                <w:szCs w:val="22"/>
              </w:rPr>
              <w:t>Výtok z nosu</w:t>
            </w:r>
            <w:r w:rsidRPr="0019779E">
              <w:rPr>
                <w:rFonts w:eastAsia="Calibri"/>
                <w:vertAlign w:val="superscript"/>
              </w:rPr>
              <w:t>1</w:t>
            </w:r>
          </w:p>
          <w:p w14:paraId="6433B7F5" w14:textId="77777777" w:rsidR="00407F43" w:rsidRPr="0019779E" w:rsidRDefault="00407F43" w:rsidP="00617B81">
            <w:pPr>
              <w:spacing w:before="60" w:after="60"/>
              <w:rPr>
                <w:rFonts w:eastAsia="Calibri"/>
                <w:vertAlign w:val="superscript"/>
              </w:rPr>
            </w:pPr>
            <w:r w:rsidRPr="0019779E">
              <w:rPr>
                <w:iCs/>
                <w:szCs w:val="22"/>
              </w:rPr>
              <w:t>Výtok z očí</w:t>
            </w:r>
            <w:r w:rsidRPr="0019779E">
              <w:rPr>
                <w:rFonts w:eastAsia="Calibri"/>
                <w:vertAlign w:val="superscript"/>
              </w:rPr>
              <w:t>1</w:t>
            </w:r>
          </w:p>
          <w:p w14:paraId="14C31036" w14:textId="3470C518" w:rsidR="00C52B65" w:rsidRPr="0019779E" w:rsidRDefault="00C52B65" w:rsidP="00C52B65">
            <w:pPr>
              <w:spacing w:before="60" w:after="60"/>
              <w:rPr>
                <w:iCs/>
                <w:szCs w:val="22"/>
                <w:vertAlign w:val="superscript"/>
              </w:rPr>
            </w:pPr>
          </w:p>
        </w:tc>
      </w:tr>
      <w:tr w:rsidR="00EE5860" w:rsidRPr="0019779E" w14:paraId="14C3103B" w14:textId="77777777" w:rsidTr="00C20423">
        <w:tc>
          <w:tcPr>
            <w:tcW w:w="2133" w:type="pct"/>
          </w:tcPr>
          <w:p w14:paraId="14C31038" w14:textId="43B79183" w:rsidR="00295140" w:rsidRPr="0019779E" w:rsidRDefault="006C6ABC" w:rsidP="00617B81">
            <w:pPr>
              <w:spacing w:before="60" w:after="60"/>
              <w:rPr>
                <w:szCs w:val="22"/>
              </w:rPr>
            </w:pPr>
            <w:r w:rsidRPr="0019779E">
              <w:t>Časté</w:t>
            </w:r>
          </w:p>
          <w:p w14:paraId="14C31039" w14:textId="7456243B" w:rsidR="00295140" w:rsidRPr="0019779E" w:rsidRDefault="006C6ABC" w:rsidP="00617B81">
            <w:pPr>
              <w:spacing w:before="60" w:after="60"/>
              <w:rPr>
                <w:szCs w:val="22"/>
              </w:rPr>
            </w:pPr>
            <w:r w:rsidRPr="0019779E">
              <w:t>(1 až 10 zvířat / 100 ošetřených zvířat):</w:t>
            </w:r>
          </w:p>
        </w:tc>
        <w:tc>
          <w:tcPr>
            <w:tcW w:w="2867" w:type="pct"/>
          </w:tcPr>
          <w:p w14:paraId="64DF3B01" w14:textId="5AF1624E" w:rsidR="00295140" w:rsidRPr="0019779E" w:rsidRDefault="00407F43" w:rsidP="00617B81">
            <w:pPr>
              <w:spacing w:before="60" w:after="60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Kýchání</w:t>
            </w:r>
            <w:r w:rsidRPr="0019779E">
              <w:rPr>
                <w:rFonts w:eastAsia="Calibri"/>
                <w:vertAlign w:val="superscript"/>
              </w:rPr>
              <w:t>1</w:t>
            </w:r>
          </w:p>
          <w:p w14:paraId="14C3103A" w14:textId="159ADBC3" w:rsidR="00407F43" w:rsidRPr="0019779E" w:rsidRDefault="00407F43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19779E">
              <w:rPr>
                <w:iCs/>
                <w:szCs w:val="22"/>
              </w:rPr>
              <w:t>Kašel</w:t>
            </w:r>
          </w:p>
        </w:tc>
      </w:tr>
      <w:tr w:rsidR="00EE5860" w:rsidRPr="0019779E" w14:paraId="14C31047" w14:textId="77777777" w:rsidTr="00C20423">
        <w:tc>
          <w:tcPr>
            <w:tcW w:w="2133" w:type="pct"/>
          </w:tcPr>
          <w:p w14:paraId="14C31044" w14:textId="77777777" w:rsidR="00295140" w:rsidRPr="0019779E" w:rsidRDefault="006C6ABC" w:rsidP="00617B81">
            <w:pPr>
              <w:spacing w:before="60" w:after="60"/>
              <w:rPr>
                <w:szCs w:val="22"/>
              </w:rPr>
            </w:pPr>
            <w:r w:rsidRPr="0019779E">
              <w:t>Velmi vzácné</w:t>
            </w:r>
          </w:p>
          <w:p w14:paraId="14C31045" w14:textId="77777777" w:rsidR="00295140" w:rsidRPr="0019779E" w:rsidRDefault="006C6ABC" w:rsidP="00617B81">
            <w:pPr>
              <w:spacing w:before="60" w:after="60"/>
              <w:rPr>
                <w:szCs w:val="22"/>
              </w:rPr>
            </w:pPr>
            <w:r w:rsidRPr="0019779E">
              <w:t>(&lt; 1 zvíře / 10 000 ošetřených zvířat, včetně ojedinělých hlášení):</w:t>
            </w:r>
          </w:p>
        </w:tc>
        <w:tc>
          <w:tcPr>
            <w:tcW w:w="2867" w:type="pct"/>
          </w:tcPr>
          <w:p w14:paraId="3ABAD376" w14:textId="3181127B" w:rsidR="00407F43" w:rsidRPr="0019779E" w:rsidRDefault="00883FC6" w:rsidP="00617B81">
            <w:pPr>
              <w:spacing w:before="60" w:after="60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Dušnost</w:t>
            </w:r>
            <w:r w:rsidR="00407F43" w:rsidRPr="0019779E">
              <w:rPr>
                <w:rFonts w:eastAsia="Calibri"/>
                <w:vertAlign w:val="superscript"/>
              </w:rPr>
              <w:t>1</w:t>
            </w:r>
          </w:p>
          <w:p w14:paraId="57AE61FF" w14:textId="0B9A54FB" w:rsidR="00295140" w:rsidRPr="0019779E" w:rsidRDefault="00407F43" w:rsidP="00617B81">
            <w:pPr>
              <w:spacing w:before="60" w:after="60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Letargie</w:t>
            </w:r>
          </w:p>
          <w:p w14:paraId="2F80D4DC" w14:textId="3FAEB7D9" w:rsidR="00C52B65" w:rsidRPr="0019779E" w:rsidRDefault="00407F43" w:rsidP="00617B81">
            <w:pPr>
              <w:spacing w:before="60" w:after="60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Zvracení</w:t>
            </w:r>
          </w:p>
          <w:p w14:paraId="61E7120B" w14:textId="2CCFDE65" w:rsidR="00407F43" w:rsidRPr="0019779E" w:rsidRDefault="00407F43" w:rsidP="00617B81">
            <w:pPr>
              <w:spacing w:before="60" w:after="60"/>
              <w:rPr>
                <w:iCs/>
                <w:szCs w:val="22"/>
              </w:rPr>
            </w:pPr>
            <w:r w:rsidRPr="0019779E">
              <w:rPr>
                <w:iCs/>
                <w:szCs w:val="22"/>
              </w:rPr>
              <w:t>Hypersenzitivní reakce</w:t>
            </w:r>
            <w:r w:rsidRPr="0019779E">
              <w:rPr>
                <w:rFonts w:eastAsia="Calibri"/>
                <w:vertAlign w:val="superscript"/>
              </w:rPr>
              <w:t>2</w:t>
            </w:r>
          </w:p>
          <w:p w14:paraId="57AAA5A6" w14:textId="3D938502" w:rsidR="00407F43" w:rsidRPr="0019779E" w:rsidRDefault="00407F43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19779E">
              <w:rPr>
                <w:iCs/>
                <w:szCs w:val="22"/>
              </w:rPr>
              <w:t>Imunitně zprostředkovaná hemolytická anémie</w:t>
            </w:r>
          </w:p>
          <w:p w14:paraId="5F3B0BBD" w14:textId="5F628008" w:rsidR="00407F43" w:rsidRPr="0019779E" w:rsidRDefault="00407F43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19779E">
              <w:rPr>
                <w:iCs/>
                <w:szCs w:val="22"/>
              </w:rPr>
              <w:t>Imunitně zprostředkovaná trombocytopenie</w:t>
            </w:r>
          </w:p>
          <w:p w14:paraId="14C31046" w14:textId="60D698BB" w:rsidR="00407F43" w:rsidRPr="0019779E" w:rsidRDefault="00407F43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19779E">
              <w:rPr>
                <w:iCs/>
                <w:szCs w:val="22"/>
              </w:rPr>
              <w:t>Imunitně zprostředkovaná polyartritida</w:t>
            </w:r>
          </w:p>
        </w:tc>
      </w:tr>
    </w:tbl>
    <w:p w14:paraId="150FC083" w14:textId="5CE124C5" w:rsidR="00407F43" w:rsidRPr="0019779E" w:rsidRDefault="00407F43" w:rsidP="00407F43">
      <w:pPr>
        <w:tabs>
          <w:tab w:val="clear" w:pos="567"/>
        </w:tabs>
        <w:spacing w:line="240" w:lineRule="auto"/>
        <w:rPr>
          <w:sz w:val="20"/>
        </w:rPr>
      </w:pPr>
      <w:r w:rsidRPr="0019779E">
        <w:rPr>
          <w:rFonts w:eastAsia="Calibri"/>
          <w:sz w:val="20"/>
          <w:vertAlign w:val="superscript"/>
        </w:rPr>
        <w:t xml:space="preserve">1 </w:t>
      </w:r>
      <w:r w:rsidR="00F93F2C" w:rsidRPr="0019779E">
        <w:rPr>
          <w:rFonts w:eastAsia="Calibri"/>
          <w:sz w:val="20"/>
        </w:rPr>
        <w:t>P</w:t>
      </w:r>
      <w:r w:rsidR="00C52B65" w:rsidRPr="0019779E">
        <w:rPr>
          <w:sz w:val="20"/>
        </w:rPr>
        <w:t>ředevším u citlivých a velmi mladých štěňat</w:t>
      </w:r>
      <w:r w:rsidR="00F93F2C" w:rsidRPr="0019779E">
        <w:rPr>
          <w:sz w:val="20"/>
        </w:rPr>
        <w:t>. P</w:t>
      </w:r>
      <w:r w:rsidR="00C25863" w:rsidRPr="0019779E">
        <w:rPr>
          <w:sz w:val="20"/>
        </w:rPr>
        <w:t>říznaky</w:t>
      </w:r>
      <w:r w:rsidR="00C25863" w:rsidRPr="0019779E">
        <w:rPr>
          <w:szCs w:val="22"/>
        </w:rPr>
        <w:t xml:space="preserve"> </w:t>
      </w:r>
      <w:r w:rsidR="00C25863" w:rsidRPr="0019779E">
        <w:rPr>
          <w:sz w:val="20"/>
        </w:rPr>
        <w:t>jsou</w:t>
      </w:r>
      <w:r w:rsidR="00C25863" w:rsidRPr="0019779E">
        <w:rPr>
          <w:szCs w:val="22"/>
        </w:rPr>
        <w:t xml:space="preserve"> </w:t>
      </w:r>
      <w:r w:rsidR="00C52B65" w:rsidRPr="0019779E">
        <w:rPr>
          <w:sz w:val="20"/>
        </w:rPr>
        <w:t>m</w:t>
      </w:r>
      <w:r w:rsidRPr="0019779E">
        <w:rPr>
          <w:sz w:val="20"/>
        </w:rPr>
        <w:t xml:space="preserve">írné </w:t>
      </w:r>
      <w:r w:rsidR="00C52B65" w:rsidRPr="0019779E">
        <w:rPr>
          <w:sz w:val="20"/>
        </w:rPr>
        <w:t xml:space="preserve">většinou </w:t>
      </w:r>
      <w:r w:rsidRPr="0019779E">
        <w:rPr>
          <w:sz w:val="20"/>
        </w:rPr>
        <w:t>přechodné</w:t>
      </w:r>
      <w:r w:rsidR="00C52B65" w:rsidRPr="0019779E">
        <w:rPr>
          <w:sz w:val="20"/>
        </w:rPr>
        <w:t xml:space="preserve">ho </w:t>
      </w:r>
      <w:r w:rsidR="00EE5860" w:rsidRPr="0019779E">
        <w:rPr>
          <w:sz w:val="20"/>
        </w:rPr>
        <w:t>charakteru, v</w:t>
      </w:r>
      <w:r w:rsidRPr="0019779E">
        <w:rPr>
          <w:sz w:val="20"/>
        </w:rPr>
        <w:t> </w:t>
      </w:r>
      <w:r w:rsidR="00C25863" w:rsidRPr="0019779E">
        <w:rPr>
          <w:sz w:val="20"/>
        </w:rPr>
        <w:t>ojedinělých případech</w:t>
      </w:r>
      <w:r w:rsidRPr="0019779E">
        <w:rPr>
          <w:sz w:val="20"/>
        </w:rPr>
        <w:t xml:space="preserve"> mohou přetrvávat až čtyři týdny. U zvířat, která vykazují závažnější příznaky, může být indikována vhodná antibiotická léčba.</w:t>
      </w:r>
    </w:p>
    <w:p w14:paraId="18591E82" w14:textId="57C77BFC" w:rsidR="00407F43" w:rsidRPr="0019779E" w:rsidRDefault="00407F43" w:rsidP="00407F43">
      <w:pPr>
        <w:tabs>
          <w:tab w:val="clear" w:pos="567"/>
        </w:tabs>
        <w:spacing w:line="240" w:lineRule="auto"/>
        <w:rPr>
          <w:sz w:val="20"/>
        </w:rPr>
      </w:pPr>
      <w:r w:rsidRPr="0019779E">
        <w:rPr>
          <w:rFonts w:eastAsia="Calibri"/>
          <w:sz w:val="20"/>
          <w:vertAlign w:val="superscript"/>
        </w:rPr>
        <w:t xml:space="preserve">2 </w:t>
      </w:r>
      <w:r w:rsidRPr="0019779E">
        <w:rPr>
          <w:sz w:val="20"/>
        </w:rPr>
        <w:t>Tyto reakce se mohou vyvinout v závažnější stav (anafylaxe), který může být život ohrožující. Pokud se takové reakce objeví, doporučuje se vhodná léčba.</w:t>
      </w:r>
    </w:p>
    <w:p w14:paraId="06F4017F" w14:textId="77777777" w:rsidR="003F6CC2" w:rsidRPr="0019779E" w:rsidRDefault="003F6CC2" w:rsidP="00F23025">
      <w:bookmarkStart w:id="5" w:name="_Hlk66891708"/>
      <w:bookmarkEnd w:id="4"/>
    </w:p>
    <w:p w14:paraId="667BEF1D" w14:textId="68F89A04" w:rsidR="00F23025" w:rsidRPr="0019779E" w:rsidRDefault="00D774A4" w:rsidP="00F23025">
      <w:pPr>
        <w:rPr>
          <w:szCs w:val="22"/>
        </w:rPr>
      </w:pPr>
      <w:r w:rsidRPr="0019779E">
        <w:t xml:space="preserve">Hlášení nežádoucích účinků je důležité. Umožňuje nepřetržité sledování bezpečnosti veterinárního léčivého přípravku. Hlášení je třeba zaslat, pokud možno, prostřednictvím veterinárního lékaře, </w:t>
      </w:r>
      <w:r w:rsidRPr="0019779E">
        <w:lastRenderedPageBreak/>
        <w:t>buď</w:t>
      </w:r>
      <w:r w:rsidR="0019779E">
        <w:t> </w:t>
      </w:r>
      <w:r w:rsidRPr="0019779E">
        <w:t xml:space="preserve">držiteli rozhodnutí o registraci, nebo jeho místnímu zástupci, nebo příslušnému vnitrostátnímu orgánu prostřednictvím národního systému hlášení. </w:t>
      </w:r>
      <w:bookmarkEnd w:id="5"/>
      <w:r w:rsidR="00F23025" w:rsidRPr="0019779E">
        <w:t>Podrobné kontaktní údaje naleznete v  bodě „Kontaktní údaje“ příbalové informace.</w:t>
      </w:r>
    </w:p>
    <w:p w14:paraId="14C3104A" w14:textId="3B912046" w:rsidR="00247A48" w:rsidRPr="0019779E" w:rsidRDefault="00247A48" w:rsidP="00F23025">
      <w:pPr>
        <w:rPr>
          <w:szCs w:val="22"/>
        </w:rPr>
      </w:pPr>
    </w:p>
    <w:p w14:paraId="14C3104B" w14:textId="77777777" w:rsidR="00C114FF" w:rsidRPr="0019779E" w:rsidRDefault="006C6ABC" w:rsidP="00B13B6D">
      <w:pPr>
        <w:pStyle w:val="Style1"/>
      </w:pPr>
      <w:r w:rsidRPr="0019779E">
        <w:t>3.7</w:t>
      </w:r>
      <w:r w:rsidRPr="0019779E">
        <w:tab/>
        <w:t>Použití v průběhu březosti, laktace nebo snášky</w:t>
      </w:r>
    </w:p>
    <w:p w14:paraId="14C3104C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4F" w14:textId="48267C73" w:rsidR="00C114FF" w:rsidRPr="0019779E" w:rsidRDefault="006C6ABC" w:rsidP="00E74050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u w:val="single"/>
        </w:rPr>
        <w:t>Březost</w:t>
      </w:r>
      <w:r w:rsidRPr="0019779E">
        <w:t>:</w:t>
      </w:r>
    </w:p>
    <w:p w14:paraId="14C31050" w14:textId="77777777" w:rsidR="00092A37" w:rsidRPr="0019779E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842C6C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Lze použít během březosti.</w:t>
      </w:r>
    </w:p>
    <w:p w14:paraId="14C31061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19779E" w:rsidRDefault="006C6ABC" w:rsidP="00B13B6D">
      <w:pPr>
        <w:pStyle w:val="Style1"/>
      </w:pPr>
      <w:r w:rsidRPr="0019779E">
        <w:t>3.8</w:t>
      </w:r>
      <w:r w:rsidRPr="0019779E">
        <w:tab/>
        <w:t>Interakce s jinými léčivými přípravky a další formy interakce</w:t>
      </w:r>
    </w:p>
    <w:p w14:paraId="14C31063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32FA7B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Nesmí se aplikovat současně s jinými intranazálními přípravky a během antibiotické léčby.</w:t>
      </w:r>
    </w:p>
    <w:p w14:paraId="4FC014C1" w14:textId="4D67CC72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Pokud jsou do jednoho týdne po vakcinaci aplikovány antibiotika, je třeba vakcinaci opakovat po</w:t>
      </w:r>
      <w:r w:rsidR="0019779E">
        <w:t> </w:t>
      </w:r>
      <w:r w:rsidRPr="0019779E">
        <w:t>ukončení antibiotické léčby.</w:t>
      </w:r>
    </w:p>
    <w:p w14:paraId="16E91951" w14:textId="77777777" w:rsidR="0007433A" w:rsidRPr="0019779E" w:rsidRDefault="0007433A" w:rsidP="0007433A">
      <w:pPr>
        <w:tabs>
          <w:tab w:val="clear" w:pos="567"/>
        </w:tabs>
        <w:spacing w:line="240" w:lineRule="auto"/>
      </w:pPr>
    </w:p>
    <w:p w14:paraId="077CECCE" w14:textId="7FD7D433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Dostupné údaje o bezpečnosti a účinnosti dokládají, že vakcínu lze podávat ve stejný den, ale nemísit s</w:t>
      </w:r>
      <w:r w:rsidR="0019779E">
        <w:t> </w:t>
      </w:r>
      <w:r w:rsidRPr="0019779E">
        <w:t xml:space="preserve">živými vakcínami </w:t>
      </w:r>
      <w:r w:rsidR="00507DC2" w:rsidRPr="0019779E">
        <w:t xml:space="preserve">řady </w:t>
      </w:r>
      <w:r w:rsidRPr="0019779E">
        <w:t xml:space="preserve">Nobivac proti psince, infekční hepatitidě způsobené psím adenovirem </w:t>
      </w:r>
      <w:r w:rsidR="0019779E" w:rsidRPr="0019779E">
        <w:t>typu 1, parvoviróze</w:t>
      </w:r>
      <w:r w:rsidRPr="0019779E">
        <w:t xml:space="preserve"> (kmen 154), a respiračním onemocněním způsobených psím adenovirem typu 2, pokud jsou registrovány, a s inaktivovanou vakcínou </w:t>
      </w:r>
      <w:r w:rsidR="00507DC2" w:rsidRPr="0019779E">
        <w:t xml:space="preserve">řady </w:t>
      </w:r>
      <w:r w:rsidRPr="0019779E">
        <w:t xml:space="preserve">Nobivac proti leptospiróze psů způsobené </w:t>
      </w:r>
      <w:r w:rsidRPr="0019779E">
        <w:rPr>
          <w:i/>
        </w:rPr>
        <w:t>L.</w:t>
      </w:r>
      <w:r w:rsidR="0019779E">
        <w:rPr>
          <w:i/>
        </w:rPr>
        <w:t> </w:t>
      </w:r>
      <w:r w:rsidRPr="0019779E">
        <w:rPr>
          <w:i/>
        </w:rPr>
        <w:t>interrogans</w:t>
      </w:r>
      <w:r w:rsidRPr="0019779E">
        <w:t xml:space="preserve"> séroskupiny Canicola sérovar Canicola, </w:t>
      </w:r>
      <w:r w:rsidRPr="0019779E">
        <w:rPr>
          <w:i/>
        </w:rPr>
        <w:t>L. interrogans</w:t>
      </w:r>
      <w:r w:rsidRPr="0019779E">
        <w:t xml:space="preserve"> séroskupiny Icterohaemorrhagiae sérovaru Copenhageni, </w:t>
      </w:r>
      <w:r w:rsidRPr="0019779E">
        <w:rPr>
          <w:i/>
        </w:rPr>
        <w:t>L. interrogans</w:t>
      </w:r>
      <w:r w:rsidRPr="0019779E">
        <w:t xml:space="preserve"> séroskupiny Australis sérovaru Bratislava a </w:t>
      </w:r>
      <w:r w:rsidRPr="0019779E">
        <w:rPr>
          <w:i/>
        </w:rPr>
        <w:t>L. kirschneri</w:t>
      </w:r>
      <w:r w:rsidRPr="0019779E">
        <w:t xml:space="preserve"> séroskupiny Grippotyphosa sérovaru Bananal/Lianguang. </w:t>
      </w:r>
    </w:p>
    <w:p w14:paraId="5E954D09" w14:textId="77777777" w:rsidR="0007433A" w:rsidRPr="0019779E" w:rsidRDefault="0007433A" w:rsidP="0007433A">
      <w:pPr>
        <w:tabs>
          <w:tab w:val="clear" w:pos="567"/>
        </w:tabs>
        <w:spacing w:line="240" w:lineRule="auto"/>
      </w:pPr>
    </w:p>
    <w:p w14:paraId="20B946EF" w14:textId="150D246C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 xml:space="preserve">Dostupné </w:t>
      </w:r>
      <w:r w:rsidR="00C20423" w:rsidRPr="0019779E">
        <w:t xml:space="preserve">údaje </w:t>
      </w:r>
      <w:r w:rsidRPr="0019779E">
        <w:t xml:space="preserve">o bezpečnosti dokládají, že Nobivac KC lze podávat ve stejný den, ale nemísit s bivalentní vakcínou pro štěňata </w:t>
      </w:r>
      <w:r w:rsidR="00507DC2" w:rsidRPr="0019779E">
        <w:t xml:space="preserve">řady </w:t>
      </w:r>
      <w:r w:rsidRPr="0019779E">
        <w:t>Nobivac, která obsahuje parvovirus psů (kmen 630a). Účinnost Nobivac KC po souběžném podání nebyla testována. Proto, zatímco bezpečnost po souběžném podání byla prokázána, je na rozhodnutí veterinárního lékaře, aby to vzal v úvahu při rozhodování o podání obou přípravků ve stejném čase.</w:t>
      </w:r>
    </w:p>
    <w:p w14:paraId="7EE3118B" w14:textId="77777777" w:rsidR="0007433A" w:rsidRPr="0019779E" w:rsidRDefault="0007433A" w:rsidP="0007433A">
      <w:pPr>
        <w:tabs>
          <w:tab w:val="clear" w:pos="567"/>
        </w:tabs>
        <w:spacing w:line="240" w:lineRule="auto"/>
      </w:pPr>
    </w:p>
    <w:p w14:paraId="14C3106F" w14:textId="63EC659A" w:rsidR="00C114FF" w:rsidRPr="0019779E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Hlk130874918"/>
      <w:r w:rsidRPr="0019779E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 po jakémkoliv jiném veterinárním léčivém přípravku musí být provedeno na základě zvážení jednotlivých případů.</w:t>
      </w:r>
    </w:p>
    <w:bookmarkEnd w:id="6"/>
    <w:p w14:paraId="14C31070" w14:textId="24983AC5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19779E" w:rsidRDefault="006C6ABC" w:rsidP="00B13B6D">
      <w:pPr>
        <w:pStyle w:val="Style1"/>
      </w:pPr>
      <w:r w:rsidRPr="0019779E">
        <w:t>3.9</w:t>
      </w:r>
      <w:r w:rsidRPr="0019779E">
        <w:tab/>
        <w:t>Cesty podání a dávkování</w:t>
      </w:r>
    </w:p>
    <w:p w14:paraId="14C31074" w14:textId="77777777" w:rsidR="00145D34" w:rsidRPr="0019779E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1A6CE7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bookmarkStart w:id="7" w:name="_Hlk70608002"/>
      <w:r w:rsidRPr="0019779E">
        <w:t>Nosní podání</w:t>
      </w:r>
      <w:bookmarkEnd w:id="7"/>
      <w:r w:rsidRPr="0019779E">
        <w:t>.</w:t>
      </w:r>
    </w:p>
    <w:p w14:paraId="22D0BFE6" w14:textId="77777777" w:rsidR="0007433A" w:rsidRPr="0019779E" w:rsidRDefault="0007433A" w:rsidP="0007433A">
      <w:pPr>
        <w:tabs>
          <w:tab w:val="clear" w:pos="567"/>
        </w:tabs>
        <w:spacing w:line="240" w:lineRule="auto"/>
      </w:pPr>
    </w:p>
    <w:p w14:paraId="3D5E9633" w14:textId="605086F8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Sterilní rozpouštědlo nechte ohřát na pokojovou teplotu (15 °C</w:t>
      </w:r>
      <w:r w:rsidR="00507DC2" w:rsidRPr="0019779E">
        <w:t xml:space="preserve"> </w:t>
      </w:r>
      <w:r w:rsidRPr="0019779E">
        <w:t>-</w:t>
      </w:r>
      <w:r w:rsidR="00507DC2" w:rsidRPr="0019779E">
        <w:t xml:space="preserve"> </w:t>
      </w:r>
      <w:r w:rsidRPr="0019779E">
        <w:t xml:space="preserve">25 °C). </w:t>
      </w:r>
    </w:p>
    <w:p w14:paraId="70B4EC7B" w14:textId="63C6790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Vakcína se připraví aseptickým rozpuštěním lyofilizátu v přiloženém Sterilním rozpouštědle. Po</w:t>
      </w:r>
      <w:r w:rsidR="0019779E">
        <w:t> </w:t>
      </w:r>
      <w:r w:rsidRPr="0019779E">
        <w:t>přidání rozpouštědla lahvičku dobře protřepejte. Odeberte vakcínu do stříkačky.</w:t>
      </w:r>
    </w:p>
    <w:p w14:paraId="67E10F3C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Sejme se injekční jehla a intranazálně se přímo špičkou stříkačky aplikuje 0,4 ml rozpuštěné vakcíny do jedné nosní dírky.</w:t>
      </w:r>
    </w:p>
    <w:p w14:paraId="40126802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Rekonstituovaná vakcína je suspenze špinavě bílé nebo nažloutlé barvy.</w:t>
      </w:r>
    </w:p>
    <w:p w14:paraId="1D2CEE32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K podání vakcíny je možné použít také aplikátor, který se nasadí na špičku stříkačky.</w:t>
      </w:r>
    </w:p>
    <w:p w14:paraId="5FBAA2FE" w14:textId="77777777" w:rsidR="0007433A" w:rsidRPr="0019779E" w:rsidRDefault="0007433A" w:rsidP="0007433A">
      <w:pPr>
        <w:tabs>
          <w:tab w:val="clear" w:pos="567"/>
        </w:tabs>
        <w:spacing w:line="240" w:lineRule="auto"/>
      </w:pPr>
    </w:p>
    <w:p w14:paraId="160BD845" w14:textId="77777777" w:rsidR="0007433A" w:rsidRPr="0019779E" w:rsidRDefault="0007433A" w:rsidP="0007433A">
      <w:pPr>
        <w:tabs>
          <w:tab w:val="clear" w:pos="567"/>
        </w:tabs>
        <w:spacing w:line="240" w:lineRule="auto"/>
        <w:rPr>
          <w:u w:val="single"/>
        </w:rPr>
      </w:pPr>
      <w:r w:rsidRPr="0019779E">
        <w:rPr>
          <w:u w:val="single"/>
        </w:rPr>
        <w:t>Vakcinační schéma:</w:t>
      </w:r>
    </w:p>
    <w:p w14:paraId="5F749B6B" w14:textId="25C0A16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 xml:space="preserve">Vakcinovat psy od věku minimálně 3 týdnů. V případě souběžného podání (ne smícháním) vakcíny Nobivac KC s dalšími vakcínami řady Nobivac, jak je uvedeno v bodu </w:t>
      </w:r>
      <w:r w:rsidR="00112CB6" w:rsidRPr="0019779E">
        <w:t>3</w:t>
      </w:r>
      <w:r w:rsidRPr="0019779E">
        <w:t>.8., nesmí být psi mladší, než</w:t>
      </w:r>
      <w:r w:rsidR="0019779E">
        <w:t> </w:t>
      </w:r>
      <w:r w:rsidRPr="0019779E">
        <w:t>je minimální doporučený věk pro vakcinaci těmito vakcínami.</w:t>
      </w:r>
    </w:p>
    <w:p w14:paraId="177B353C" w14:textId="77777777" w:rsidR="0007433A" w:rsidRPr="0019779E" w:rsidRDefault="0007433A" w:rsidP="0007433A">
      <w:pPr>
        <w:tabs>
          <w:tab w:val="clear" w:pos="567"/>
        </w:tabs>
        <w:spacing w:line="240" w:lineRule="auto"/>
      </w:pPr>
    </w:p>
    <w:p w14:paraId="6CB5FEB5" w14:textId="389CA684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 xml:space="preserve">Nevakcinovaní psi by měli dostat jednu dávku vakcíny nejpozději 3 týdny před předpokládaným obdobím zvýšeného rizika k zajištění chráněnosti proti antigenům obsažených ve vakcíně. K zajištění chráněnosti proti </w:t>
      </w:r>
      <w:r w:rsidRPr="0019779E">
        <w:rPr>
          <w:i/>
        </w:rPr>
        <w:t>Bordetella bronchiseptica</w:t>
      </w:r>
      <w:r w:rsidRPr="0019779E">
        <w:t xml:space="preserve"> by nevakcinovaní psi měli dostat jednu dávku vakcíny </w:t>
      </w:r>
      <w:r w:rsidRPr="0019779E">
        <w:lastRenderedPageBreak/>
        <w:t xml:space="preserve">alespoň 72 hodin před předpokládaným obdobím zvýšeného rizika. (viz také bod </w:t>
      </w:r>
      <w:r w:rsidR="004B0A61" w:rsidRPr="0019779E">
        <w:t>3</w:t>
      </w:r>
      <w:r w:rsidRPr="0019779E">
        <w:t>.5.</w:t>
      </w:r>
      <w:r w:rsidR="002A5A49" w:rsidRPr="0019779E">
        <w:t xml:space="preserve"> </w:t>
      </w:r>
      <w:r w:rsidRPr="0019779E">
        <w:t>Zvláštní opatření pro použití).</w:t>
      </w:r>
    </w:p>
    <w:p w14:paraId="1CF963A3" w14:textId="77777777" w:rsidR="0007433A" w:rsidRPr="0019779E" w:rsidRDefault="0007433A" w:rsidP="0007433A">
      <w:pPr>
        <w:tabs>
          <w:tab w:val="clear" w:pos="567"/>
        </w:tabs>
        <w:spacing w:line="240" w:lineRule="auto"/>
      </w:pPr>
    </w:p>
    <w:p w14:paraId="26701DB0" w14:textId="77777777" w:rsidR="0007433A" w:rsidRPr="0019779E" w:rsidRDefault="0007433A" w:rsidP="0007433A">
      <w:pPr>
        <w:tabs>
          <w:tab w:val="clear" w:pos="567"/>
        </w:tabs>
        <w:spacing w:line="240" w:lineRule="auto"/>
      </w:pPr>
      <w:r w:rsidRPr="0019779E">
        <w:t>Doporučuje se každoroční revakcinace.</w:t>
      </w:r>
    </w:p>
    <w:p w14:paraId="14C3107E" w14:textId="77777777" w:rsidR="00247A48" w:rsidRPr="0019779E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19779E" w:rsidRDefault="006C6ABC" w:rsidP="00B13B6D">
      <w:pPr>
        <w:pStyle w:val="Style1"/>
      </w:pPr>
      <w:r w:rsidRPr="0019779E">
        <w:t>3.10</w:t>
      </w:r>
      <w:r w:rsidRPr="0019779E">
        <w:tab/>
        <w:t xml:space="preserve">Příznaky předávkování </w:t>
      </w:r>
      <w:r w:rsidR="00EC5045" w:rsidRPr="0019779E">
        <w:t>(</w:t>
      </w:r>
      <w:r w:rsidRPr="0019779E">
        <w:t xml:space="preserve">a </w:t>
      </w:r>
      <w:r w:rsidR="00202A85" w:rsidRPr="0019779E">
        <w:t>kde</w:t>
      </w:r>
      <w:r w:rsidR="005E66FC" w:rsidRPr="0019779E">
        <w:t xml:space="preserve"> </w:t>
      </w:r>
      <w:r w:rsidR="00202A85" w:rsidRPr="0019779E">
        <w:t>je</w:t>
      </w:r>
      <w:r w:rsidR="005E66FC" w:rsidRPr="0019779E">
        <w:t xml:space="preserve"> </w:t>
      </w:r>
      <w:r w:rsidR="00FB6F2F" w:rsidRPr="0019779E">
        <w:t>relevantní</w:t>
      </w:r>
      <w:r w:rsidR="00202A85" w:rsidRPr="0019779E">
        <w:t>, první pomoc</w:t>
      </w:r>
      <w:r w:rsidRPr="0019779E">
        <w:t xml:space="preserve"> a antidota</w:t>
      </w:r>
      <w:r w:rsidR="00202A85" w:rsidRPr="0019779E">
        <w:t>)</w:t>
      </w:r>
      <w:r w:rsidRPr="0019779E">
        <w:t xml:space="preserve"> </w:t>
      </w:r>
    </w:p>
    <w:p w14:paraId="14C31080" w14:textId="05067D18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A37C9A" w14:textId="364716CA" w:rsidR="0007433A" w:rsidRPr="0019779E" w:rsidRDefault="0007433A" w:rsidP="0007433A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szCs w:val="22"/>
        </w:rPr>
        <w:t>Především u velmi mladých citlivých štěňat se po předávkování mohou objevit příznaky onemocnění horních cest dýchacích</w:t>
      </w:r>
      <w:r w:rsidR="002A5A49" w:rsidRPr="0019779E">
        <w:rPr>
          <w:szCs w:val="22"/>
        </w:rPr>
        <w:t>,</w:t>
      </w:r>
      <w:r w:rsidRPr="0019779E">
        <w:rPr>
          <w:szCs w:val="22"/>
        </w:rPr>
        <w:t xml:space="preserve"> jako je mírný a přechodný výtok z očí a nosu, kýchání a kašlání. Tyto příznaky se mohou objevit den po vakcinaci a přetrvávat po dobu až 4 týdnů.</w:t>
      </w:r>
    </w:p>
    <w:p w14:paraId="64F9AE60" w14:textId="77777777" w:rsidR="0007433A" w:rsidRPr="0019779E" w:rsidRDefault="000743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19779E" w:rsidRDefault="006C6ABC" w:rsidP="00B13B6D">
      <w:pPr>
        <w:pStyle w:val="Style1"/>
      </w:pPr>
      <w:r w:rsidRPr="0019779E">
        <w:t>3.11</w:t>
      </w:r>
      <w:r w:rsidRPr="0019779E">
        <w:tab/>
        <w:t>Zvláštní omezení pro použití a zvláštní podmínky pro použití, včetně omezení používání antimikrob</w:t>
      </w:r>
      <w:r w:rsidR="00202A85" w:rsidRPr="0019779E">
        <w:t>ních</w:t>
      </w:r>
      <w:r w:rsidRPr="0019779E">
        <w:t xml:space="preserve"> a antiparazitárních veterinárních léčivých přípravků, za účelem snížení rizika rozvoje rezistence</w:t>
      </w:r>
    </w:p>
    <w:p w14:paraId="14C31082" w14:textId="77777777" w:rsidR="009A6509" w:rsidRPr="0019779E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67D55316" w:rsidR="009A6509" w:rsidRPr="0019779E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19779E">
        <w:t>Neuplatňuje se.</w:t>
      </w:r>
    </w:p>
    <w:p w14:paraId="14C3108C" w14:textId="77777777" w:rsidR="009A6509" w:rsidRPr="0019779E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19779E" w:rsidRDefault="006C6ABC" w:rsidP="00B13B6D">
      <w:pPr>
        <w:pStyle w:val="Style1"/>
      </w:pPr>
      <w:r w:rsidRPr="0019779E">
        <w:t>3.12</w:t>
      </w:r>
      <w:r w:rsidRPr="0019779E">
        <w:tab/>
        <w:t>Ochranné lhůty</w:t>
      </w:r>
    </w:p>
    <w:p w14:paraId="14C3108E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2E8FD5" w14:textId="77777777" w:rsidR="00707BD1" w:rsidRPr="0019779E" w:rsidRDefault="006C6ABC" w:rsidP="00FF1BF0">
      <w:pPr>
        <w:tabs>
          <w:tab w:val="clear" w:pos="567"/>
        </w:tabs>
        <w:spacing w:line="240" w:lineRule="auto"/>
      </w:pPr>
      <w:r w:rsidRPr="0019779E">
        <w:t>Neuplatňuje se.</w:t>
      </w:r>
    </w:p>
    <w:p w14:paraId="14C3109A" w14:textId="1263B8AC" w:rsidR="00FC02F3" w:rsidRPr="0019779E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B06AB0" w14:textId="77777777" w:rsidR="004D4EC2" w:rsidRPr="0019779E" w:rsidRDefault="004D4E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6CACDE1B" w:rsidR="00C114FF" w:rsidRPr="0019779E" w:rsidRDefault="006C6ABC" w:rsidP="00B13B6D">
      <w:pPr>
        <w:pStyle w:val="Style1"/>
      </w:pPr>
      <w:r w:rsidRPr="0019779E">
        <w:t>4.</w:t>
      </w:r>
      <w:r w:rsidRPr="0019779E">
        <w:tab/>
        <w:t>IMUNOLOGICKÉ INFORMACE</w:t>
      </w:r>
    </w:p>
    <w:p w14:paraId="14C3109C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1EA4A0" w14:textId="77777777" w:rsidR="00FF1BF0" w:rsidRPr="0019779E" w:rsidRDefault="006C6ABC" w:rsidP="00FF1BF0">
      <w:pPr>
        <w:pStyle w:val="Style1"/>
      </w:pPr>
      <w:r w:rsidRPr="0019779E">
        <w:t>4.1</w:t>
      </w:r>
      <w:r w:rsidRPr="0019779E">
        <w:tab/>
        <w:t>ATCvet kód:</w:t>
      </w:r>
      <w:r w:rsidR="00FF1BF0" w:rsidRPr="0019779E">
        <w:t xml:space="preserve"> </w:t>
      </w:r>
      <w:r w:rsidR="00FF1BF0" w:rsidRPr="0019779E">
        <w:rPr>
          <w:b w:val="0"/>
          <w:bCs/>
        </w:rPr>
        <w:t>QI07AF01</w:t>
      </w:r>
    </w:p>
    <w:p w14:paraId="14C3109D" w14:textId="119E80FE" w:rsidR="005B04A8" w:rsidRPr="0019779E" w:rsidRDefault="005B04A8" w:rsidP="00B13B6D">
      <w:pPr>
        <w:pStyle w:val="Style1"/>
      </w:pPr>
    </w:p>
    <w:p w14:paraId="03F70475" w14:textId="77777777" w:rsidR="00FF1BF0" w:rsidRPr="0019779E" w:rsidRDefault="00FF1BF0" w:rsidP="00FF1BF0">
      <w:pPr>
        <w:tabs>
          <w:tab w:val="clear" w:pos="567"/>
        </w:tabs>
        <w:spacing w:line="240" w:lineRule="auto"/>
      </w:pPr>
      <w:r w:rsidRPr="0019779E">
        <w:t>Farmakoterapeutická skupina: Imunologika pro psovité, živé bakteriální a virové vakcíny</w:t>
      </w:r>
    </w:p>
    <w:p w14:paraId="1961DF9F" w14:textId="77777777" w:rsidR="00FF1BF0" w:rsidRPr="0019779E" w:rsidRDefault="00FF1BF0" w:rsidP="00FF1BF0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szCs w:val="22"/>
        </w:rPr>
        <w:t xml:space="preserve">Živá lyofilizovaná vakcína obsahující živé bakterie Bordetella bronchiseptica, kmen B-C2, a živý virus parainfluenzy psů, kmen Cornell.  </w:t>
      </w:r>
    </w:p>
    <w:p w14:paraId="5ACC989F" w14:textId="7AA814F8" w:rsidR="00FF1BF0" w:rsidRPr="0019779E" w:rsidRDefault="00FF1BF0" w:rsidP="00FF1BF0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szCs w:val="22"/>
        </w:rPr>
        <w:t xml:space="preserve">Přípravek stimuluje rozvoj aktivní imunity proti psincovému kašli psů navozením tvorby protilátek proti </w:t>
      </w:r>
      <w:r w:rsidRPr="0019779E">
        <w:rPr>
          <w:i/>
          <w:iCs/>
          <w:szCs w:val="22"/>
        </w:rPr>
        <w:t>Bordetella bronchiseptica</w:t>
      </w:r>
      <w:r w:rsidRPr="0019779E">
        <w:rPr>
          <w:szCs w:val="22"/>
        </w:rPr>
        <w:t xml:space="preserve"> a viru parainfluenzy psů. Po aplikaci do těla vakcinovaného jedince se aktivuje celá řada obranných mechanismů organismu zabraňujících následnému rozvinutí onemocnění po nakažení terénní infekcí. Plná chráněnost proti </w:t>
      </w:r>
      <w:r w:rsidRPr="0019779E">
        <w:rPr>
          <w:i/>
          <w:iCs/>
          <w:szCs w:val="22"/>
        </w:rPr>
        <w:t>Bordetella bronchiseptica</w:t>
      </w:r>
      <w:r w:rsidRPr="0019779E">
        <w:rPr>
          <w:szCs w:val="22"/>
        </w:rPr>
        <w:t xml:space="preserve"> nastupuje již 72 hodin po</w:t>
      </w:r>
      <w:r w:rsidR="0019779E">
        <w:rPr>
          <w:szCs w:val="22"/>
        </w:rPr>
        <w:t> </w:t>
      </w:r>
      <w:r w:rsidRPr="0019779E">
        <w:rPr>
          <w:szCs w:val="22"/>
        </w:rPr>
        <w:t>aplikaci. Doporučuje se vakcinaci opakovat před každou expozicí (rizikovým obdobím např.</w:t>
      </w:r>
      <w:r w:rsidR="0019779E">
        <w:rPr>
          <w:szCs w:val="22"/>
        </w:rPr>
        <w:t> </w:t>
      </w:r>
      <w:r w:rsidRPr="0019779E">
        <w:rPr>
          <w:szCs w:val="22"/>
        </w:rPr>
        <w:t>dočasného ubytování v psích hotelích, na výstavách apod.), nejméně však jednou ročně.</w:t>
      </w:r>
    </w:p>
    <w:p w14:paraId="14C3109F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19779E" w:rsidRDefault="006C6ABC" w:rsidP="00B13B6D">
      <w:pPr>
        <w:pStyle w:val="Style1"/>
      </w:pPr>
      <w:r w:rsidRPr="0019779E">
        <w:t>5.</w:t>
      </w:r>
      <w:r w:rsidRPr="0019779E">
        <w:tab/>
        <w:t>FARMACEUTICKÉ ÚDAJE</w:t>
      </w:r>
    </w:p>
    <w:p w14:paraId="14C310A8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19779E" w:rsidRDefault="006C6ABC" w:rsidP="00B13B6D">
      <w:pPr>
        <w:pStyle w:val="Style1"/>
      </w:pPr>
      <w:r w:rsidRPr="0019779E">
        <w:t>5.1</w:t>
      </w:r>
      <w:r w:rsidRPr="0019779E">
        <w:tab/>
        <w:t>Hlavní inkompatibility</w:t>
      </w:r>
    </w:p>
    <w:p w14:paraId="14C310AA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7F8EC5" w14:textId="77777777" w:rsidR="00752609" w:rsidRPr="0019779E" w:rsidRDefault="00752609" w:rsidP="00752609">
      <w:pPr>
        <w:tabs>
          <w:tab w:val="clear" w:pos="567"/>
        </w:tabs>
        <w:spacing w:line="240" w:lineRule="auto"/>
      </w:pPr>
      <w:r w:rsidRPr="0019779E">
        <w:t>Nemísit s jiným veterinárním léčivým přípravkem vyjma rozpouštědla dodávaného pro použití s veterinárním léčivým přípravkem.</w:t>
      </w:r>
    </w:p>
    <w:p w14:paraId="14C310B0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19779E" w:rsidRDefault="006C6ABC" w:rsidP="00B13B6D">
      <w:pPr>
        <w:pStyle w:val="Style1"/>
      </w:pPr>
      <w:r w:rsidRPr="0019779E">
        <w:t>5.2</w:t>
      </w:r>
      <w:r w:rsidRPr="0019779E">
        <w:tab/>
        <w:t>Doba použitelnosti</w:t>
      </w:r>
    </w:p>
    <w:p w14:paraId="14C310B2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F4F27E" w14:textId="2C542648" w:rsidR="00752609" w:rsidRPr="0019779E" w:rsidRDefault="00752609" w:rsidP="00752609">
      <w:pPr>
        <w:pStyle w:val="Style1"/>
        <w:rPr>
          <w:b w:val="0"/>
          <w:bCs/>
        </w:rPr>
      </w:pPr>
      <w:r w:rsidRPr="0019779E">
        <w:rPr>
          <w:b w:val="0"/>
          <w:bCs/>
        </w:rPr>
        <w:t xml:space="preserve">Doba použitelnosti veterinárního léčivého přípravku v neporušeném obalu: 27 měsíců. </w:t>
      </w:r>
    </w:p>
    <w:p w14:paraId="5D07CE39" w14:textId="77777777" w:rsidR="00752609" w:rsidRPr="0019779E" w:rsidRDefault="00752609" w:rsidP="00752609">
      <w:pPr>
        <w:pStyle w:val="Style1"/>
        <w:rPr>
          <w:b w:val="0"/>
          <w:bCs/>
        </w:rPr>
      </w:pPr>
      <w:r w:rsidRPr="0019779E">
        <w:rPr>
          <w:b w:val="0"/>
          <w:bCs/>
        </w:rPr>
        <w:t>Doba použitelnosti po rozpuštění podle návodu: spotřebovat do 1 hodiny.</w:t>
      </w:r>
    </w:p>
    <w:p w14:paraId="73D02942" w14:textId="77777777" w:rsidR="00752609" w:rsidRPr="0019779E" w:rsidRDefault="00752609" w:rsidP="00B13B6D">
      <w:pPr>
        <w:pStyle w:val="Style1"/>
      </w:pPr>
    </w:p>
    <w:p w14:paraId="14C310BA" w14:textId="29711F72" w:rsidR="00C114FF" w:rsidRPr="0019779E" w:rsidRDefault="006C6ABC" w:rsidP="00B13B6D">
      <w:pPr>
        <w:pStyle w:val="Style1"/>
      </w:pPr>
      <w:r w:rsidRPr="0019779E">
        <w:t>5.3</w:t>
      </w:r>
      <w:r w:rsidRPr="0019779E">
        <w:tab/>
        <w:t>Zvláštní opatření pro uchovávání</w:t>
      </w:r>
    </w:p>
    <w:p w14:paraId="14C310BB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E" w14:textId="1AFBAD5C" w:rsidR="00C114FF" w:rsidRPr="0019779E" w:rsidRDefault="006C6ABC" w:rsidP="009E66FE">
      <w:pPr>
        <w:pStyle w:val="Style5"/>
      </w:pPr>
      <w:r w:rsidRPr="0019779E">
        <w:t>Uchovávejte a přepravujte chlazené (2 °C – 8 °C).</w:t>
      </w:r>
    </w:p>
    <w:p w14:paraId="4C9D9962" w14:textId="77777777" w:rsidR="00752609" w:rsidRPr="0019779E" w:rsidRDefault="00752609" w:rsidP="00752609">
      <w:pPr>
        <w:tabs>
          <w:tab w:val="clear" w:pos="567"/>
        </w:tabs>
        <w:spacing w:line="240" w:lineRule="auto"/>
        <w:rPr>
          <w:szCs w:val="22"/>
        </w:rPr>
      </w:pPr>
      <w:bookmarkStart w:id="8" w:name="_Hlk88743383"/>
      <w:r w:rsidRPr="0019779E">
        <w:rPr>
          <w:szCs w:val="22"/>
        </w:rPr>
        <w:t>Chraňte přes světlem.</w:t>
      </w:r>
    </w:p>
    <w:p w14:paraId="55121EE4" w14:textId="77777777" w:rsidR="00752609" w:rsidRPr="0019779E" w:rsidRDefault="00752609" w:rsidP="00752609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szCs w:val="22"/>
        </w:rPr>
        <w:t>Chraňte před mrazem.</w:t>
      </w:r>
    </w:p>
    <w:bookmarkEnd w:id="8"/>
    <w:p w14:paraId="14C310D6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19779E" w:rsidRDefault="006C6ABC" w:rsidP="00B13B6D">
      <w:pPr>
        <w:pStyle w:val="Style1"/>
      </w:pPr>
      <w:r w:rsidRPr="0019779E">
        <w:t>5.4</w:t>
      </w:r>
      <w:r w:rsidRPr="0019779E">
        <w:tab/>
        <w:t>Druh a složení vnitřního obalu</w:t>
      </w:r>
    </w:p>
    <w:p w14:paraId="14C310D8" w14:textId="050EDC40" w:rsidR="00C114FF" w:rsidRPr="0019779E" w:rsidRDefault="00C114FF" w:rsidP="005E66FC">
      <w:pPr>
        <w:pStyle w:val="Style1"/>
      </w:pPr>
    </w:p>
    <w:p w14:paraId="0CC1BDE3" w14:textId="77777777" w:rsidR="00752609" w:rsidRPr="0019779E" w:rsidRDefault="00752609" w:rsidP="00752609">
      <w:pPr>
        <w:pStyle w:val="Style1"/>
        <w:rPr>
          <w:b w:val="0"/>
          <w:bCs/>
          <w:u w:val="single"/>
        </w:rPr>
      </w:pPr>
      <w:r w:rsidRPr="0019779E">
        <w:rPr>
          <w:b w:val="0"/>
          <w:bCs/>
          <w:u w:val="single"/>
        </w:rPr>
        <w:lastRenderedPageBreak/>
        <w:t>Lyofilizát:</w:t>
      </w:r>
    </w:p>
    <w:p w14:paraId="7F9E6B5A" w14:textId="16B9A7CF" w:rsidR="00752609" w:rsidRPr="0019779E" w:rsidRDefault="00752609" w:rsidP="0019779E">
      <w:pPr>
        <w:pStyle w:val="Style1"/>
        <w:ind w:left="0" w:firstLine="0"/>
        <w:rPr>
          <w:b w:val="0"/>
          <w:bCs/>
        </w:rPr>
      </w:pPr>
      <w:r w:rsidRPr="0019779E">
        <w:rPr>
          <w:b w:val="0"/>
          <w:bCs/>
        </w:rPr>
        <w:t xml:space="preserve">3 ml skleněná </w:t>
      </w:r>
      <w:r w:rsidR="00D412B4" w:rsidRPr="0019779E">
        <w:rPr>
          <w:b w:val="0"/>
          <w:bCs/>
        </w:rPr>
        <w:t xml:space="preserve">injekční </w:t>
      </w:r>
      <w:r w:rsidRPr="0019779E">
        <w:rPr>
          <w:b w:val="0"/>
          <w:bCs/>
        </w:rPr>
        <w:t>lahvička typ I (Ph.Eur.), uzavřená halogenbutylovou gumovou zátkou a</w:t>
      </w:r>
      <w:r w:rsidR="0019779E">
        <w:rPr>
          <w:b w:val="0"/>
          <w:bCs/>
        </w:rPr>
        <w:t> </w:t>
      </w:r>
      <w:r w:rsidRPr="0019779E">
        <w:rPr>
          <w:b w:val="0"/>
          <w:bCs/>
        </w:rPr>
        <w:t>kódovanou hliníkovou pertlí.</w:t>
      </w:r>
    </w:p>
    <w:p w14:paraId="7B895D3E" w14:textId="77777777" w:rsidR="00752609" w:rsidRPr="0019779E" w:rsidRDefault="00752609" w:rsidP="00752609">
      <w:pPr>
        <w:pStyle w:val="Style1"/>
        <w:rPr>
          <w:b w:val="0"/>
          <w:bCs/>
        </w:rPr>
      </w:pPr>
    </w:p>
    <w:p w14:paraId="5FCB15F9" w14:textId="77777777" w:rsidR="00752609" w:rsidRPr="0019779E" w:rsidRDefault="00752609" w:rsidP="00752609">
      <w:pPr>
        <w:pStyle w:val="Style1"/>
        <w:rPr>
          <w:b w:val="0"/>
          <w:bCs/>
          <w:u w:val="single"/>
        </w:rPr>
      </w:pPr>
      <w:r w:rsidRPr="0019779E">
        <w:rPr>
          <w:b w:val="0"/>
          <w:bCs/>
          <w:u w:val="single"/>
        </w:rPr>
        <w:t>Rozpouštědlo:</w:t>
      </w:r>
    </w:p>
    <w:p w14:paraId="0D16D471" w14:textId="6E5C3637" w:rsidR="00752609" w:rsidRPr="0019779E" w:rsidRDefault="00752609" w:rsidP="0019779E">
      <w:pPr>
        <w:pStyle w:val="Style1"/>
        <w:ind w:left="0" w:firstLine="0"/>
        <w:rPr>
          <w:b w:val="0"/>
          <w:bCs/>
        </w:rPr>
      </w:pPr>
      <w:r w:rsidRPr="0019779E">
        <w:rPr>
          <w:b w:val="0"/>
          <w:bCs/>
        </w:rPr>
        <w:t xml:space="preserve">Rozpouštědlo pro rekonstituci je dodáváno ve stejném typu lahvičky, jako lyofilizát (skleněná </w:t>
      </w:r>
      <w:r w:rsidR="00032514" w:rsidRPr="0019779E">
        <w:rPr>
          <w:b w:val="0"/>
          <w:bCs/>
        </w:rPr>
        <w:t xml:space="preserve">injekční </w:t>
      </w:r>
      <w:r w:rsidRPr="0019779E">
        <w:rPr>
          <w:b w:val="0"/>
          <w:bCs/>
        </w:rPr>
        <w:t>lahvička typu I s gumovou zátkou a hliníkovou pertlí). Objem plnění je 0,6 ml.</w:t>
      </w:r>
    </w:p>
    <w:p w14:paraId="3FE0A481" w14:textId="77777777" w:rsidR="00752609" w:rsidRPr="0019779E" w:rsidRDefault="00752609" w:rsidP="00752609">
      <w:pPr>
        <w:pStyle w:val="Style1"/>
        <w:rPr>
          <w:b w:val="0"/>
          <w:bCs/>
        </w:rPr>
      </w:pPr>
    </w:p>
    <w:p w14:paraId="2813BE35" w14:textId="77777777" w:rsidR="00752609" w:rsidRPr="0019779E" w:rsidRDefault="00752609" w:rsidP="00752609">
      <w:pPr>
        <w:pStyle w:val="Style1"/>
        <w:rPr>
          <w:b w:val="0"/>
          <w:bCs/>
          <w:u w:val="single"/>
        </w:rPr>
      </w:pPr>
      <w:r w:rsidRPr="0019779E">
        <w:rPr>
          <w:b w:val="0"/>
          <w:bCs/>
          <w:u w:val="single"/>
        </w:rPr>
        <w:t xml:space="preserve">Velikost balení: </w:t>
      </w:r>
    </w:p>
    <w:p w14:paraId="1874CCD3" w14:textId="30BD2588" w:rsidR="00752609" w:rsidRPr="0019779E" w:rsidRDefault="00752609" w:rsidP="00752609">
      <w:pPr>
        <w:pStyle w:val="Style1"/>
        <w:rPr>
          <w:b w:val="0"/>
          <w:bCs/>
        </w:rPr>
      </w:pPr>
      <w:r w:rsidRPr="0019779E">
        <w:rPr>
          <w:b w:val="0"/>
          <w:bCs/>
        </w:rPr>
        <w:t>Kart</w:t>
      </w:r>
      <w:r w:rsidR="00C56696" w:rsidRPr="0019779E">
        <w:rPr>
          <w:b w:val="0"/>
          <w:bCs/>
        </w:rPr>
        <w:t>o</w:t>
      </w:r>
      <w:r w:rsidRPr="0019779E">
        <w:rPr>
          <w:b w:val="0"/>
          <w:bCs/>
        </w:rPr>
        <w:t>nová nebo polyethylen-tereftalátová  (PET) krabička obsahující:</w:t>
      </w:r>
    </w:p>
    <w:p w14:paraId="53E27EC3" w14:textId="5DBB6B7C" w:rsidR="00752609" w:rsidRPr="0019779E" w:rsidRDefault="00752609" w:rsidP="00752609">
      <w:pPr>
        <w:pStyle w:val="Style1"/>
        <w:rPr>
          <w:b w:val="0"/>
          <w:bCs/>
        </w:rPr>
      </w:pPr>
      <w:r w:rsidRPr="0019779E">
        <w:rPr>
          <w:b w:val="0"/>
          <w:bCs/>
        </w:rPr>
        <w:t>5</w:t>
      </w:r>
      <w:r w:rsidR="00707BD1" w:rsidRPr="0019779E">
        <w:rPr>
          <w:b w:val="0"/>
          <w:bCs/>
        </w:rPr>
        <w:t xml:space="preserve"> </w:t>
      </w:r>
      <w:r w:rsidRPr="0019779E">
        <w:rPr>
          <w:b w:val="0"/>
          <w:bCs/>
        </w:rPr>
        <w:t>x</w:t>
      </w:r>
      <w:r w:rsidR="00707BD1" w:rsidRPr="0019779E">
        <w:rPr>
          <w:b w:val="0"/>
          <w:bCs/>
        </w:rPr>
        <w:t xml:space="preserve"> </w:t>
      </w:r>
      <w:r w:rsidRPr="0019779E">
        <w:rPr>
          <w:b w:val="0"/>
          <w:bCs/>
        </w:rPr>
        <w:t>1 dávka lyofilizátu + 5</w:t>
      </w:r>
      <w:r w:rsidR="00707BD1" w:rsidRPr="0019779E">
        <w:rPr>
          <w:b w:val="0"/>
          <w:bCs/>
        </w:rPr>
        <w:t xml:space="preserve"> </w:t>
      </w:r>
      <w:r w:rsidRPr="0019779E">
        <w:rPr>
          <w:b w:val="0"/>
          <w:bCs/>
        </w:rPr>
        <w:t>x</w:t>
      </w:r>
      <w:r w:rsidR="00707BD1" w:rsidRPr="0019779E">
        <w:rPr>
          <w:b w:val="0"/>
          <w:bCs/>
        </w:rPr>
        <w:t xml:space="preserve"> </w:t>
      </w:r>
      <w:r w:rsidRPr="0019779E">
        <w:rPr>
          <w:b w:val="0"/>
          <w:bCs/>
        </w:rPr>
        <w:t>1 dávka rozpouštědla.</w:t>
      </w:r>
    </w:p>
    <w:p w14:paraId="3325DCF3" w14:textId="77777777" w:rsidR="00752609" w:rsidRPr="0019779E" w:rsidRDefault="00752609" w:rsidP="00752609">
      <w:pPr>
        <w:pStyle w:val="Style1"/>
        <w:rPr>
          <w:b w:val="0"/>
          <w:bCs/>
        </w:rPr>
      </w:pPr>
    </w:p>
    <w:p w14:paraId="4E9A3583" w14:textId="77777777" w:rsidR="00752609" w:rsidRPr="0019779E" w:rsidRDefault="00752609" w:rsidP="00752609">
      <w:pPr>
        <w:pStyle w:val="Style1"/>
        <w:rPr>
          <w:b w:val="0"/>
          <w:bCs/>
        </w:rPr>
      </w:pPr>
      <w:r w:rsidRPr="0019779E">
        <w:rPr>
          <w:b w:val="0"/>
          <w:bCs/>
        </w:rPr>
        <w:t>Aplikátor není součástí balení a je k dispozici na vyžádání u zástupce společnosti nebo distributorů.</w:t>
      </w:r>
    </w:p>
    <w:p w14:paraId="0D03B743" w14:textId="77777777" w:rsidR="00752609" w:rsidRPr="0019779E" w:rsidRDefault="00752609" w:rsidP="00752609">
      <w:pPr>
        <w:pStyle w:val="Style1"/>
      </w:pPr>
    </w:p>
    <w:p w14:paraId="14C310D9" w14:textId="47F43686" w:rsidR="00C114FF" w:rsidRPr="0019779E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19779E">
        <w:t>Na trhu nemusí být všechny velikosti balení.</w:t>
      </w:r>
    </w:p>
    <w:p w14:paraId="14C310DA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19779E" w:rsidRDefault="006C6ABC" w:rsidP="00CC1EF7">
      <w:pPr>
        <w:pStyle w:val="Style1"/>
      </w:pPr>
      <w:r w:rsidRPr="0019779E">
        <w:t>5.5</w:t>
      </w:r>
      <w:r w:rsidRPr="0019779E">
        <w:tab/>
      </w:r>
      <w:bookmarkStart w:id="9" w:name="_Hlk121724767"/>
      <w:r w:rsidR="00CC1EF7" w:rsidRPr="0019779E">
        <w:t>Zvláštní opatření pro likvidaci nepoužitých veterinárních léčivých přípravků nebo odpadů, které pochází z těchto přípravků</w:t>
      </w:r>
    </w:p>
    <w:bookmarkEnd w:id="9"/>
    <w:p w14:paraId="14C310DC" w14:textId="367F9D57" w:rsidR="00C114FF" w:rsidRPr="0019779E" w:rsidRDefault="00C114FF" w:rsidP="00CC1EF7">
      <w:pPr>
        <w:pStyle w:val="Style1"/>
      </w:pPr>
    </w:p>
    <w:p w14:paraId="2996D51C" w14:textId="77777777" w:rsidR="00D774A4" w:rsidRPr="0019779E" w:rsidRDefault="00D774A4" w:rsidP="00D774A4">
      <w:pPr>
        <w:rPr>
          <w:szCs w:val="22"/>
        </w:rPr>
      </w:pPr>
      <w:bookmarkStart w:id="10" w:name="_Hlk112846963"/>
      <w:r w:rsidRPr="0019779E">
        <w:t>Léčivé přípravky se nesmí likvidovat prostřednictvím odpadní vody či domovního odpadu.</w:t>
      </w:r>
    </w:p>
    <w:p w14:paraId="1A7A6EF6" w14:textId="77777777" w:rsidR="00D774A4" w:rsidRPr="0019779E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19779E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19779E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0"/>
    <w:p w14:paraId="14C310E2" w14:textId="77777777" w:rsidR="0078538F" w:rsidRPr="0019779E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19779E" w:rsidRDefault="006C6ABC" w:rsidP="00B13B6D">
      <w:pPr>
        <w:pStyle w:val="Style1"/>
      </w:pPr>
      <w:r w:rsidRPr="0019779E">
        <w:t>6.</w:t>
      </w:r>
      <w:r w:rsidRPr="0019779E">
        <w:tab/>
        <w:t>JMÉNO DRŽITELE ROZHODNUTÍ O REGISTRACI</w:t>
      </w:r>
    </w:p>
    <w:p w14:paraId="14C310E7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19779E" w:rsidRDefault="00543C44" w:rsidP="00543C44">
      <w:pPr>
        <w:rPr>
          <w:szCs w:val="22"/>
        </w:rPr>
      </w:pPr>
      <w:r w:rsidRPr="0019779E">
        <w:rPr>
          <w:szCs w:val="22"/>
        </w:rPr>
        <w:t>Intervet International B.V.</w:t>
      </w:r>
    </w:p>
    <w:p w14:paraId="14C310EA" w14:textId="17BE930A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1BB5FC" w14:textId="77777777" w:rsidR="00707BD1" w:rsidRPr="0019779E" w:rsidRDefault="00707BD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19779E" w:rsidRDefault="006C6ABC" w:rsidP="00B13B6D">
      <w:pPr>
        <w:pStyle w:val="Style1"/>
      </w:pPr>
      <w:r w:rsidRPr="0019779E">
        <w:t>7.</w:t>
      </w:r>
      <w:r w:rsidRPr="0019779E">
        <w:tab/>
        <w:t>REGISTRAČNÍ ČÍSLO(A)</w:t>
      </w:r>
    </w:p>
    <w:p w14:paraId="78E984A3" w14:textId="77777777" w:rsidR="00707BD1" w:rsidRPr="0019779E" w:rsidRDefault="00707BD1" w:rsidP="00752609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27F5531" w14:textId="4F51319F" w:rsidR="00752609" w:rsidRPr="0019779E" w:rsidRDefault="00752609" w:rsidP="00752609">
      <w:pPr>
        <w:tabs>
          <w:tab w:val="clear" w:pos="567"/>
        </w:tabs>
        <w:spacing w:line="240" w:lineRule="auto"/>
        <w:rPr>
          <w:szCs w:val="22"/>
        </w:rPr>
      </w:pPr>
      <w:r w:rsidRPr="0019779E">
        <w:rPr>
          <w:bCs/>
          <w:szCs w:val="22"/>
        </w:rPr>
        <w:t>97/074/00-C</w:t>
      </w:r>
    </w:p>
    <w:p w14:paraId="14C310ED" w14:textId="6CB76A1F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F0E96" w14:textId="77777777" w:rsidR="00707BD1" w:rsidRPr="0019779E" w:rsidRDefault="00707BD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19779E" w:rsidRDefault="006C6ABC" w:rsidP="00B13B6D">
      <w:pPr>
        <w:pStyle w:val="Style1"/>
      </w:pPr>
      <w:r w:rsidRPr="0019779E">
        <w:t>8.</w:t>
      </w:r>
      <w:r w:rsidRPr="0019779E">
        <w:tab/>
        <w:t>DATUM PRVNÍ REGISTRACE</w:t>
      </w:r>
    </w:p>
    <w:p w14:paraId="14C310EF" w14:textId="77777777" w:rsidR="00C114FF" w:rsidRPr="0019779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372045A8" w:rsidR="00D65777" w:rsidRPr="0019779E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19779E">
        <w:t>Datum první registrace:</w:t>
      </w:r>
      <w:r w:rsidR="00EC0A72" w:rsidRPr="0019779E">
        <w:t xml:space="preserve"> </w:t>
      </w:r>
      <w:r w:rsidR="00752609" w:rsidRPr="0019779E">
        <w:t>24</w:t>
      </w:r>
      <w:r w:rsidRPr="0019779E">
        <w:t>/</w:t>
      </w:r>
      <w:r w:rsidR="00752609" w:rsidRPr="0019779E">
        <w:t>11</w:t>
      </w:r>
      <w:r w:rsidRPr="0019779E">
        <w:t>/</w:t>
      </w:r>
      <w:r w:rsidR="00752609" w:rsidRPr="0019779E">
        <w:t>2000</w:t>
      </w:r>
    </w:p>
    <w:p w14:paraId="14C310F3" w14:textId="6822F49A" w:rsidR="00D65777" w:rsidRPr="0019779E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0EA27F" w14:textId="77777777" w:rsidR="00707BD1" w:rsidRPr="0019779E" w:rsidRDefault="00707BD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19779E" w:rsidRDefault="006C6ABC" w:rsidP="00B13B6D">
      <w:pPr>
        <w:pStyle w:val="Style1"/>
      </w:pPr>
      <w:r w:rsidRPr="0019779E">
        <w:t>9.</w:t>
      </w:r>
      <w:r w:rsidRPr="0019779E">
        <w:tab/>
        <w:t>DATUM POSLEDNÍ AKTUALIZACE SOUHRNU ÚDAJŮ O PŘÍPRAVKU</w:t>
      </w:r>
    </w:p>
    <w:p w14:paraId="14C310F5" w14:textId="77777777" w:rsidR="00C114FF" w:rsidRPr="0019779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763F484" w:rsidR="00C114FF" w:rsidRPr="0019779E" w:rsidRDefault="00883FC6" w:rsidP="00A9226B">
      <w:pPr>
        <w:tabs>
          <w:tab w:val="clear" w:pos="567"/>
        </w:tabs>
        <w:spacing w:line="240" w:lineRule="auto"/>
        <w:rPr>
          <w:szCs w:val="22"/>
        </w:rPr>
      </w:pPr>
      <w:r w:rsidRPr="0019779E">
        <w:t>Srpen</w:t>
      </w:r>
      <w:r w:rsidR="004B0A61" w:rsidRPr="0019779E">
        <w:t xml:space="preserve"> 2023</w:t>
      </w:r>
    </w:p>
    <w:p w14:paraId="14C31101" w14:textId="5DC86851" w:rsidR="00B113B9" w:rsidRPr="0019779E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56D273" w14:textId="77777777" w:rsidR="004D4EC2" w:rsidRPr="0019779E" w:rsidRDefault="004D4E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19779E" w:rsidRDefault="006C6ABC" w:rsidP="00B13B6D">
      <w:pPr>
        <w:pStyle w:val="Style1"/>
      </w:pPr>
      <w:r w:rsidRPr="0019779E">
        <w:t>10.</w:t>
      </w:r>
      <w:r w:rsidRPr="0019779E">
        <w:tab/>
        <w:t>KLASIFIKACE VETERINÁRNÍCH LÉČIVÝCH PŘÍPRAVKŮ</w:t>
      </w:r>
    </w:p>
    <w:p w14:paraId="14C31103" w14:textId="77777777" w:rsidR="0078538F" w:rsidRPr="0019779E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19779E" w:rsidRDefault="006C6ABC" w:rsidP="00543C44">
      <w:pPr>
        <w:numPr>
          <w:ilvl w:val="12"/>
          <w:numId w:val="0"/>
        </w:numPr>
      </w:pPr>
      <w:bookmarkStart w:id="11" w:name="_Hlk121724822"/>
      <w:r w:rsidRPr="0019779E">
        <w:t>Veterinární léčivý přípravek je vydáván pouze na předpis.</w:t>
      </w:r>
    </w:p>
    <w:p w14:paraId="318F2604" w14:textId="77777777" w:rsidR="002C450F" w:rsidRPr="0019779E" w:rsidRDefault="002C450F" w:rsidP="00543C44">
      <w:pPr>
        <w:numPr>
          <w:ilvl w:val="12"/>
          <w:numId w:val="0"/>
        </w:numPr>
        <w:rPr>
          <w:szCs w:val="22"/>
        </w:rPr>
      </w:pPr>
    </w:p>
    <w:p w14:paraId="14C31109" w14:textId="467C6154" w:rsidR="00C114FF" w:rsidRPr="0019779E" w:rsidRDefault="006C6ABC" w:rsidP="0019779E">
      <w:pPr>
        <w:ind w:right="-1"/>
        <w:rPr>
          <w:szCs w:val="22"/>
        </w:rPr>
      </w:pPr>
      <w:bookmarkStart w:id="12" w:name="_Hlk73467306"/>
      <w:r w:rsidRPr="0019779E">
        <w:t>Podrobné informace o tomto veterinárním léčivém přípravku jsou k dispozici v databázi přípravků Unie</w:t>
      </w:r>
      <w:r w:rsidR="00CC1EF7" w:rsidRPr="0019779E">
        <w:t xml:space="preserve"> </w:t>
      </w:r>
      <w:r w:rsidR="00CC1EF7" w:rsidRPr="0019779E">
        <w:rPr>
          <w:szCs w:val="22"/>
        </w:rPr>
        <w:t>(</w:t>
      </w:r>
      <w:hyperlink r:id="rId8" w:history="1">
        <w:r w:rsidR="00CC1EF7" w:rsidRPr="0019779E">
          <w:rPr>
            <w:rStyle w:val="Hypertextovodkaz"/>
            <w:szCs w:val="22"/>
          </w:rPr>
          <w:t>https://medicines.health.europa.eu/veterinary</w:t>
        </w:r>
      </w:hyperlink>
      <w:r w:rsidR="00CC1EF7" w:rsidRPr="0019779E">
        <w:rPr>
          <w:szCs w:val="22"/>
        </w:rPr>
        <w:t>)</w:t>
      </w:r>
      <w:r w:rsidR="00CC1EF7" w:rsidRPr="0019779E">
        <w:rPr>
          <w:i/>
          <w:szCs w:val="22"/>
        </w:rPr>
        <w:t>.</w:t>
      </w:r>
      <w:bookmarkEnd w:id="11"/>
      <w:bookmarkEnd w:id="12"/>
    </w:p>
    <w:p w14:paraId="31C8E8A7" w14:textId="6478A253" w:rsidR="00F0368E" w:rsidRPr="0019779E" w:rsidRDefault="00F0368E" w:rsidP="001F4547">
      <w:pPr>
        <w:pStyle w:val="Style4"/>
      </w:pPr>
    </w:p>
    <w:p w14:paraId="523BCB4E" w14:textId="77777777" w:rsidR="00003CE6" w:rsidRPr="0019779E" w:rsidRDefault="00003CE6" w:rsidP="00003CE6">
      <w:pPr>
        <w:ind w:right="36"/>
        <w:textAlignment w:val="baseline"/>
        <w:rPr>
          <w:rFonts w:eastAsia="Arial"/>
          <w:color w:val="000000"/>
          <w:spacing w:val="-1"/>
          <w:szCs w:val="22"/>
        </w:rPr>
      </w:pPr>
      <w:r w:rsidRPr="0019779E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9" w:history="1">
        <w:r w:rsidRPr="0019779E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19779E">
        <w:rPr>
          <w:rFonts w:eastAsia="Arial"/>
          <w:color w:val="000000"/>
          <w:spacing w:val="-1"/>
          <w:szCs w:val="22"/>
        </w:rPr>
        <w:t>).</w:t>
      </w:r>
      <w:bookmarkStart w:id="13" w:name="_GoBack"/>
      <w:bookmarkEnd w:id="13"/>
    </w:p>
    <w:sectPr w:rsidR="00003CE6" w:rsidRPr="0019779E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059AA" w16cex:dateUtc="2023-08-11T04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9793" w14:textId="77777777" w:rsidR="00EA27D9" w:rsidRDefault="00EA27D9">
      <w:pPr>
        <w:spacing w:line="240" w:lineRule="auto"/>
      </w:pPr>
      <w:r>
        <w:separator/>
      </w:r>
    </w:p>
  </w:endnote>
  <w:endnote w:type="continuationSeparator" w:id="0">
    <w:p w14:paraId="491D42D6" w14:textId="77777777" w:rsidR="00EA27D9" w:rsidRDefault="00EA2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C52B65" w:rsidRPr="00E0068C" w:rsidRDefault="00C52B6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9779E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C52B65" w:rsidRPr="00E0068C" w:rsidRDefault="00C52B6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2300B" w14:textId="77777777" w:rsidR="00EA27D9" w:rsidRDefault="00EA27D9">
      <w:pPr>
        <w:spacing w:line="240" w:lineRule="auto"/>
      </w:pPr>
      <w:r>
        <w:separator/>
      </w:r>
    </w:p>
  </w:footnote>
  <w:footnote w:type="continuationSeparator" w:id="0">
    <w:p w14:paraId="3A1AE40D" w14:textId="77777777" w:rsidR="00EA27D9" w:rsidRDefault="00EA27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3CE6"/>
    <w:rsid w:val="0000587D"/>
    <w:rsid w:val="00017F20"/>
    <w:rsid w:val="00021B82"/>
    <w:rsid w:val="00024777"/>
    <w:rsid w:val="00024E21"/>
    <w:rsid w:val="00027100"/>
    <w:rsid w:val="00030BFD"/>
    <w:rsid w:val="00032514"/>
    <w:rsid w:val="000349AA"/>
    <w:rsid w:val="00036C50"/>
    <w:rsid w:val="000434DC"/>
    <w:rsid w:val="00052D2B"/>
    <w:rsid w:val="00054F55"/>
    <w:rsid w:val="00062945"/>
    <w:rsid w:val="00063946"/>
    <w:rsid w:val="0007433A"/>
    <w:rsid w:val="00080453"/>
    <w:rsid w:val="0008169A"/>
    <w:rsid w:val="0008207F"/>
    <w:rsid w:val="00082200"/>
    <w:rsid w:val="000838BB"/>
    <w:rsid w:val="000860CE"/>
    <w:rsid w:val="00092A37"/>
    <w:rsid w:val="000938A6"/>
    <w:rsid w:val="00096E78"/>
    <w:rsid w:val="00097C1E"/>
    <w:rsid w:val="000A1DF5"/>
    <w:rsid w:val="000A7B0A"/>
    <w:rsid w:val="000B25B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2CB6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1A5D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79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A49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5C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0518"/>
    <w:rsid w:val="00316E87"/>
    <w:rsid w:val="0032453E"/>
    <w:rsid w:val="00325053"/>
    <w:rsid w:val="003256AC"/>
    <w:rsid w:val="00330CC1"/>
    <w:rsid w:val="0033129D"/>
    <w:rsid w:val="00331308"/>
    <w:rsid w:val="003320ED"/>
    <w:rsid w:val="0033480E"/>
    <w:rsid w:val="00337123"/>
    <w:rsid w:val="00341866"/>
    <w:rsid w:val="00342C0C"/>
    <w:rsid w:val="00350C19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41DF"/>
    <w:rsid w:val="003F677F"/>
    <w:rsid w:val="003F6CC2"/>
    <w:rsid w:val="004008F6"/>
    <w:rsid w:val="00407C22"/>
    <w:rsid w:val="00407F43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0A6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EC2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DC2"/>
    <w:rsid w:val="00507FCE"/>
    <w:rsid w:val="00511800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A5553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3ADD"/>
    <w:rsid w:val="0061726B"/>
    <w:rsid w:val="00617B81"/>
    <w:rsid w:val="0062387A"/>
    <w:rsid w:val="006326D8"/>
    <w:rsid w:val="0063377D"/>
    <w:rsid w:val="006344BE"/>
    <w:rsid w:val="00634A66"/>
    <w:rsid w:val="0063749B"/>
    <w:rsid w:val="00640336"/>
    <w:rsid w:val="00640FC9"/>
    <w:rsid w:val="006414D3"/>
    <w:rsid w:val="006432F2"/>
    <w:rsid w:val="00646781"/>
    <w:rsid w:val="0065320F"/>
    <w:rsid w:val="00653D64"/>
    <w:rsid w:val="00654E13"/>
    <w:rsid w:val="00666450"/>
    <w:rsid w:val="00667489"/>
    <w:rsid w:val="00670D44"/>
    <w:rsid w:val="00671C6D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07BD1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2609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96A25"/>
    <w:rsid w:val="007A02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3FC6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B6EA6"/>
    <w:rsid w:val="008C261B"/>
    <w:rsid w:val="008C4FCA"/>
    <w:rsid w:val="008C5C9C"/>
    <w:rsid w:val="008C7882"/>
    <w:rsid w:val="008D2261"/>
    <w:rsid w:val="008D2A13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3B5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3327"/>
    <w:rsid w:val="009C6BFB"/>
    <w:rsid w:val="009D0C05"/>
    <w:rsid w:val="009D131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32D4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127F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1A7"/>
    <w:rsid w:val="00BC2E39"/>
    <w:rsid w:val="00BC59E1"/>
    <w:rsid w:val="00BD2364"/>
    <w:rsid w:val="00BD28E3"/>
    <w:rsid w:val="00BD5731"/>
    <w:rsid w:val="00BD592D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423"/>
    <w:rsid w:val="00C20734"/>
    <w:rsid w:val="00C21C1A"/>
    <w:rsid w:val="00C237E9"/>
    <w:rsid w:val="00C25863"/>
    <w:rsid w:val="00C32989"/>
    <w:rsid w:val="00C32BD1"/>
    <w:rsid w:val="00C36883"/>
    <w:rsid w:val="00C40928"/>
    <w:rsid w:val="00C40CFF"/>
    <w:rsid w:val="00C42697"/>
    <w:rsid w:val="00C43F01"/>
    <w:rsid w:val="00C47552"/>
    <w:rsid w:val="00C52B65"/>
    <w:rsid w:val="00C56696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60E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2B4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3AE9"/>
    <w:rsid w:val="00E14C47"/>
    <w:rsid w:val="00E22698"/>
    <w:rsid w:val="00E25B7C"/>
    <w:rsid w:val="00E3076B"/>
    <w:rsid w:val="00E3725B"/>
    <w:rsid w:val="00E434D1"/>
    <w:rsid w:val="00E50B32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960D7"/>
    <w:rsid w:val="00EA27D9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3913"/>
    <w:rsid w:val="00EE5860"/>
    <w:rsid w:val="00EE6228"/>
    <w:rsid w:val="00EE7AC7"/>
    <w:rsid w:val="00EE7B3F"/>
    <w:rsid w:val="00EF025F"/>
    <w:rsid w:val="00EF3A8A"/>
    <w:rsid w:val="00F0054D"/>
    <w:rsid w:val="00F02467"/>
    <w:rsid w:val="00F0368E"/>
    <w:rsid w:val="00F04D0E"/>
    <w:rsid w:val="00F12214"/>
    <w:rsid w:val="00F12565"/>
    <w:rsid w:val="00F144BE"/>
    <w:rsid w:val="00F14ACA"/>
    <w:rsid w:val="00F170F3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E34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BBC"/>
    <w:rsid w:val="00F84672"/>
    <w:rsid w:val="00F84802"/>
    <w:rsid w:val="00F93F2C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1BF0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BD5731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customStyle="1" w:styleId="spc2Char">
    <w:name w:val="spc2 Char"/>
    <w:basedOn w:val="Normln"/>
    <w:rsid w:val="00F0368E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EEC3-19D8-4B32-A2DD-5238B2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1542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2008-06-03T12:50:00Z</cp:lastPrinted>
  <dcterms:created xsi:type="dcterms:W3CDTF">2023-08-16T05:01:00Z</dcterms:created>
  <dcterms:modified xsi:type="dcterms:W3CDTF">2023-09-01T11:06:00Z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