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7F7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2BE5716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1C3CB50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5FFA300D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1C12406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033CCB6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4E53825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74BCE4C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0DA0AF1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686992E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3536167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7709A06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475CB92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4B38370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46A3FF47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1C852AAD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3BC2E73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3F2C336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1DBD69F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0695DC6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3E35287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185D6CC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53225C6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683F4337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PŘÍLOHA I</w:t>
      </w:r>
    </w:p>
    <w:p w14:paraId="5E027B7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20480A1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SOUHRN ÚDAJŮ O PŘÍPRAVKU</w:t>
      </w:r>
    </w:p>
    <w:p w14:paraId="06B8814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F4467F7" w14:textId="77777777" w:rsidR="00A44462" w:rsidRPr="00DA560D" w:rsidRDefault="00A44462" w:rsidP="00A44462">
      <w:pPr>
        <w:pStyle w:val="Default"/>
        <w:rPr>
          <w:sz w:val="22"/>
          <w:szCs w:val="22"/>
          <w:lang w:val="cs-CZ"/>
        </w:rPr>
      </w:pPr>
      <w:r w:rsidRPr="00DA560D">
        <w:rPr>
          <w:rFonts w:eastAsia="Times New Roman"/>
          <w:sz w:val="22"/>
          <w:szCs w:val="22"/>
          <w:lang w:val="cs-CZ" w:eastAsia="cs-CZ"/>
        </w:rPr>
        <w:br w:type="page"/>
      </w:r>
    </w:p>
    <w:p w14:paraId="2E55738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lastRenderedPageBreak/>
        <w:t>1.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NÁZEV VETERINÁRNÍHO LÉČIVÉHO PŘÍPRAVKU</w:t>
      </w:r>
    </w:p>
    <w:p w14:paraId="1F3CF09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7FE754D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Feligen</w:t>
      </w: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 xml:space="preserve"> 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>CRP lyofilizát a rozpouštědlo pro injekční suspenzi</w:t>
      </w:r>
    </w:p>
    <w:p w14:paraId="68AF3AA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5695A6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55BDFD6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2.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KVALITATIVNÍ A KVANTITATIVNÍ SLOŽENÍ</w:t>
      </w:r>
    </w:p>
    <w:p w14:paraId="74B040E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iCs/>
          <w:szCs w:val="22"/>
          <w:lang w:val="cs-CZ" w:eastAsia="cs-CZ"/>
        </w:rPr>
      </w:pPr>
    </w:p>
    <w:p w14:paraId="28B68C8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szCs w:val="22"/>
          <w:lang w:val="cs-CZ"/>
        </w:rPr>
      </w:pPr>
      <w:r w:rsidRPr="00DA560D">
        <w:rPr>
          <w:rFonts w:ascii="Times New Roman" w:hAnsi="Times New Roman"/>
          <w:szCs w:val="22"/>
          <w:lang w:val="cs-CZ"/>
        </w:rPr>
        <w:t xml:space="preserve"> Každá</w:t>
      </w:r>
      <w:r w:rsidRPr="00DA560D">
        <w:rPr>
          <w:rFonts w:ascii="Times New Roman" w:eastAsia="Times New Roman" w:hAnsi="Times New Roman"/>
          <w:iCs/>
          <w:szCs w:val="22"/>
          <w:lang w:val="cs-CZ" w:eastAsia="cs-CZ"/>
        </w:rPr>
        <w:t xml:space="preserve"> dávka (1 ml)</w:t>
      </w:r>
      <w:r w:rsidRPr="00DA560D">
        <w:rPr>
          <w:rFonts w:ascii="Times New Roman" w:hAnsi="Times New Roman"/>
          <w:szCs w:val="22"/>
          <w:lang w:val="cs-CZ"/>
        </w:rPr>
        <w:t xml:space="preserve"> obsahuje:</w:t>
      </w:r>
    </w:p>
    <w:p w14:paraId="7E39C9E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0A042307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Léčivé látky:</w:t>
      </w:r>
    </w:p>
    <w:p w14:paraId="5BC0715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00C8565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iCs/>
          <w:szCs w:val="22"/>
          <w:u w:val="single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t>Lyofilizát:</w:t>
      </w:r>
    </w:p>
    <w:p w14:paraId="20A4411D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Calicivirus felis attenuatum, kmen F9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  <w:t>10</w:t>
      </w: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4.6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- 10</w:t>
      </w: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6.1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TCID</w:t>
      </w:r>
      <w:r w:rsidRPr="00DA560D">
        <w:rPr>
          <w:rFonts w:ascii="Times New Roman" w:eastAsia="Times New Roman" w:hAnsi="Times New Roman"/>
          <w:szCs w:val="22"/>
          <w:vertAlign w:val="subscript"/>
          <w:lang w:val="cs-CZ" w:eastAsia="cs-CZ"/>
        </w:rPr>
        <w:t>50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>*</w:t>
      </w:r>
    </w:p>
    <w:p w14:paraId="5862A74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Virus rhinotracheitidis felis attenuatum, kmen F2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  <w:t>10</w:t>
      </w: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5.0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- 10</w:t>
      </w: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6.6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TCID</w:t>
      </w:r>
      <w:r w:rsidRPr="00DA560D">
        <w:rPr>
          <w:rFonts w:ascii="Times New Roman" w:eastAsia="Times New Roman" w:hAnsi="Times New Roman"/>
          <w:szCs w:val="22"/>
          <w:vertAlign w:val="subscript"/>
          <w:lang w:val="cs-CZ" w:eastAsia="cs-CZ"/>
        </w:rPr>
        <w:t>50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>*</w:t>
      </w:r>
    </w:p>
    <w:p w14:paraId="5BB8983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Virus panleucopeniae felis attenuatum, kmen LR 72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  <w:t>10</w:t>
      </w: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3.7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- 10</w:t>
      </w: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4.5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TCID</w:t>
      </w:r>
      <w:r w:rsidRPr="00DA560D">
        <w:rPr>
          <w:rFonts w:ascii="Times New Roman" w:eastAsia="Times New Roman" w:hAnsi="Times New Roman"/>
          <w:szCs w:val="22"/>
          <w:vertAlign w:val="subscript"/>
          <w:lang w:val="cs-CZ" w:eastAsia="cs-CZ"/>
        </w:rPr>
        <w:t>50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>*</w:t>
      </w:r>
    </w:p>
    <w:p w14:paraId="53B52FE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8FC9A2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* TCID</w:t>
      </w:r>
      <w:r w:rsidRPr="00DA560D">
        <w:rPr>
          <w:rFonts w:ascii="Times New Roman" w:eastAsia="Times New Roman" w:hAnsi="Times New Roman"/>
          <w:szCs w:val="22"/>
          <w:vertAlign w:val="subscript"/>
          <w:lang w:val="cs-CZ" w:eastAsia="cs-CZ"/>
        </w:rPr>
        <w:t>50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– 50 % infekční dávka pro tkáňovou kulturu</w:t>
      </w:r>
    </w:p>
    <w:p w14:paraId="3DB271B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01C1E92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Pomocné látky:</w:t>
      </w:r>
    </w:p>
    <w:p w14:paraId="071B3FD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A44462" w:rsidRPr="00DA560D" w14:paraId="30D498BB" w14:textId="77777777" w:rsidTr="00045537">
        <w:tc>
          <w:tcPr>
            <w:tcW w:w="4528" w:type="dxa"/>
            <w:shd w:val="clear" w:color="auto" w:fill="auto"/>
            <w:vAlign w:val="center"/>
          </w:tcPr>
          <w:p w14:paraId="3B6BC796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b/>
                <w:bCs/>
                <w:iCs/>
                <w:szCs w:val="22"/>
                <w:lang w:val="cs-CZ" w:eastAsia="cs-CZ"/>
              </w:rPr>
              <w:t>Kvalitativní složení pomocných látek a dalších složek</w:t>
            </w:r>
          </w:p>
        </w:tc>
      </w:tr>
      <w:tr w:rsidR="00A44462" w:rsidRPr="00DA560D" w14:paraId="39D4200C" w14:textId="77777777" w:rsidTr="00045537">
        <w:tc>
          <w:tcPr>
            <w:tcW w:w="4528" w:type="dxa"/>
            <w:shd w:val="clear" w:color="auto" w:fill="auto"/>
            <w:vAlign w:val="center"/>
          </w:tcPr>
          <w:p w14:paraId="66F400EB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ind w:left="170"/>
              <w:textAlignment w:val="auto"/>
              <w:rPr>
                <w:rFonts w:ascii="Times New Roman" w:eastAsia="Times New Roman" w:hAnsi="Times New Roman"/>
                <w:b/>
                <w:bCs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b/>
                <w:szCs w:val="22"/>
                <w:lang w:val="cs-CZ" w:eastAsia="cs-CZ"/>
              </w:rPr>
              <w:t>Lyofilizát:</w:t>
            </w:r>
          </w:p>
        </w:tc>
      </w:tr>
      <w:tr w:rsidR="00A44462" w:rsidRPr="00DA560D" w14:paraId="7DCAD49F" w14:textId="77777777" w:rsidTr="00045537">
        <w:tc>
          <w:tcPr>
            <w:tcW w:w="4528" w:type="dxa"/>
            <w:shd w:val="clear" w:color="auto" w:fill="auto"/>
          </w:tcPr>
          <w:p w14:paraId="19DE3CAF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20" w:after="2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Hydroxid draselný</w:t>
            </w:r>
          </w:p>
        </w:tc>
      </w:tr>
      <w:tr w:rsidR="00A44462" w:rsidRPr="00DA560D" w14:paraId="1B89A8FF" w14:textId="77777777" w:rsidTr="00045537">
        <w:tc>
          <w:tcPr>
            <w:tcW w:w="4528" w:type="dxa"/>
            <w:shd w:val="clear" w:color="auto" w:fill="auto"/>
          </w:tcPr>
          <w:p w14:paraId="694BC9CD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20" w:after="2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Kyselina glutamová</w:t>
            </w:r>
          </w:p>
        </w:tc>
      </w:tr>
      <w:tr w:rsidR="00A44462" w:rsidRPr="00DA560D" w14:paraId="272C08E2" w14:textId="77777777" w:rsidTr="00045537">
        <w:tc>
          <w:tcPr>
            <w:tcW w:w="4528" w:type="dxa"/>
            <w:shd w:val="clear" w:color="auto" w:fill="auto"/>
          </w:tcPr>
          <w:p w14:paraId="0B250B38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20" w:after="2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Monohydrát laktosy</w:t>
            </w:r>
          </w:p>
        </w:tc>
      </w:tr>
      <w:tr w:rsidR="00A44462" w:rsidRPr="00DA560D" w14:paraId="25D09218" w14:textId="77777777" w:rsidTr="00045537">
        <w:tc>
          <w:tcPr>
            <w:tcW w:w="4528" w:type="dxa"/>
            <w:shd w:val="clear" w:color="auto" w:fill="auto"/>
          </w:tcPr>
          <w:p w14:paraId="5F5DA004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20" w:after="2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Dihydrogenfosforečnan draselný</w:t>
            </w:r>
          </w:p>
        </w:tc>
      </w:tr>
      <w:tr w:rsidR="00A44462" w:rsidRPr="00DA560D" w14:paraId="7AE4F382" w14:textId="77777777" w:rsidTr="00045537">
        <w:tc>
          <w:tcPr>
            <w:tcW w:w="4528" w:type="dxa"/>
            <w:shd w:val="clear" w:color="auto" w:fill="auto"/>
          </w:tcPr>
          <w:p w14:paraId="4D8177FD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20" w:after="2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Hydrogenfosforečnan draselný</w:t>
            </w:r>
          </w:p>
        </w:tc>
      </w:tr>
      <w:tr w:rsidR="00A44462" w:rsidRPr="00DA560D" w14:paraId="17B24607" w14:textId="77777777" w:rsidTr="00045537">
        <w:tc>
          <w:tcPr>
            <w:tcW w:w="4528" w:type="dxa"/>
            <w:shd w:val="clear" w:color="auto" w:fill="auto"/>
          </w:tcPr>
          <w:p w14:paraId="3C5EB0D2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20" w:after="2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Želatina</w:t>
            </w:r>
          </w:p>
        </w:tc>
      </w:tr>
      <w:tr w:rsidR="00A44462" w:rsidRPr="00DA560D" w14:paraId="6D895819" w14:textId="77777777" w:rsidTr="00045537">
        <w:tc>
          <w:tcPr>
            <w:tcW w:w="4528" w:type="dxa"/>
            <w:shd w:val="clear" w:color="auto" w:fill="auto"/>
          </w:tcPr>
          <w:p w14:paraId="2D3536F0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20" w:after="2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Chlorid sodný</w:t>
            </w:r>
          </w:p>
        </w:tc>
      </w:tr>
      <w:tr w:rsidR="00A44462" w:rsidRPr="00DA560D" w14:paraId="76C351D3" w14:textId="77777777" w:rsidTr="00045537">
        <w:tc>
          <w:tcPr>
            <w:tcW w:w="4528" w:type="dxa"/>
            <w:shd w:val="clear" w:color="auto" w:fill="auto"/>
          </w:tcPr>
          <w:p w14:paraId="490598CA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20" w:after="2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Fosfátová sůl</w:t>
            </w:r>
          </w:p>
        </w:tc>
      </w:tr>
      <w:tr w:rsidR="00A44462" w:rsidRPr="00DA560D" w14:paraId="795255A6" w14:textId="77777777" w:rsidTr="00045537">
        <w:tc>
          <w:tcPr>
            <w:tcW w:w="4528" w:type="dxa"/>
            <w:shd w:val="clear" w:color="auto" w:fill="auto"/>
          </w:tcPr>
          <w:p w14:paraId="3E2700B1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ind w:left="170"/>
              <w:textAlignment w:val="auto"/>
              <w:rPr>
                <w:rFonts w:ascii="Times New Roman" w:eastAsia="Times New Roman" w:hAnsi="Times New Roman"/>
                <w:b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b/>
                <w:szCs w:val="22"/>
                <w:lang w:val="cs-CZ" w:eastAsia="cs-CZ"/>
              </w:rPr>
              <w:t>Rozpouštědlo:</w:t>
            </w:r>
          </w:p>
        </w:tc>
      </w:tr>
      <w:tr w:rsidR="00A44462" w:rsidRPr="00DA560D" w14:paraId="08D6B49A" w14:textId="77777777" w:rsidTr="00045537">
        <w:tc>
          <w:tcPr>
            <w:tcW w:w="4528" w:type="dxa"/>
            <w:shd w:val="clear" w:color="auto" w:fill="auto"/>
          </w:tcPr>
          <w:p w14:paraId="66ACA8DB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20" w:after="2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Voda pro injekci</w:t>
            </w:r>
          </w:p>
        </w:tc>
      </w:tr>
    </w:tbl>
    <w:p w14:paraId="2FDB1FA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045A5437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Lyofilizát: bílý lyofilizát.</w:t>
      </w:r>
    </w:p>
    <w:p w14:paraId="185D6FD7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Rozpouštědlo: bezbarvá kapalina.</w:t>
      </w:r>
    </w:p>
    <w:p w14:paraId="539844E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39720F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7D76FA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 xml:space="preserve">KLINICKÉ </w:t>
      </w:r>
      <w:r w:rsidRPr="00DA560D">
        <w:rPr>
          <w:rFonts w:ascii="Times New Roman" w:eastAsia="Times New Roman" w:hAnsi="Times New Roman"/>
          <w:b/>
          <w:szCs w:val="22"/>
          <w:lang w:val="cs-CZ" w:eastAsia="en-US"/>
        </w:rPr>
        <w:t>INFORMACE</w:t>
      </w:r>
    </w:p>
    <w:p w14:paraId="0EE42D8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2B4045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3.1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Cílové druhy zvířat</w:t>
      </w:r>
    </w:p>
    <w:p w14:paraId="2F174517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i/>
          <w:color w:val="008000"/>
          <w:szCs w:val="22"/>
          <w:lang w:val="cs-CZ" w:eastAsia="cs-CZ"/>
        </w:rPr>
      </w:pPr>
    </w:p>
    <w:p w14:paraId="2AC241C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Kočky.</w:t>
      </w:r>
    </w:p>
    <w:p w14:paraId="7962082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40E03F2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3.2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Indikace pro použití pro každý cílový druh zvířat</w:t>
      </w:r>
    </w:p>
    <w:p w14:paraId="75E3737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31D0795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Aktivní imunizace koček proti rinotracheitidě, panleukopenii a kaliciviróze.</w:t>
      </w:r>
    </w:p>
    <w:p w14:paraId="25CBB69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328198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t>Nástup imunity:</w:t>
      </w:r>
    </w:p>
    <w:p w14:paraId="0468B1CE" w14:textId="77777777" w:rsidR="00A44462" w:rsidRPr="00DA560D" w:rsidRDefault="00A44462" w:rsidP="00A44462">
      <w:pPr>
        <w:pStyle w:val="Odstavecseseznamem"/>
        <w:numPr>
          <w:ilvl w:val="0"/>
          <w:numId w:val="3"/>
        </w:numPr>
        <w:ind w:left="170" w:hanging="170"/>
        <w:rPr>
          <w:rFonts w:ascii="Times New Roman" w:hAnsi="Times New Roman"/>
          <w:szCs w:val="22"/>
          <w:lang w:val="cs-CZ" w:eastAsia="cs-CZ"/>
        </w:rPr>
      </w:pPr>
      <w:r w:rsidRPr="00DA560D">
        <w:rPr>
          <w:rFonts w:ascii="Times New Roman" w:hAnsi="Times New Roman"/>
          <w:sz w:val="22"/>
          <w:szCs w:val="22"/>
          <w:lang w:val="cs-CZ" w:eastAsia="cs-CZ"/>
        </w:rPr>
        <w:t>3 týdny po primovakcinaci u panleukopenie;</w:t>
      </w:r>
    </w:p>
    <w:p w14:paraId="3F79EA2D" w14:textId="77777777" w:rsidR="00A44462" w:rsidRPr="00DA560D" w:rsidRDefault="00A44462" w:rsidP="00A44462">
      <w:pPr>
        <w:pStyle w:val="Odstavecseseznamem"/>
        <w:numPr>
          <w:ilvl w:val="0"/>
          <w:numId w:val="3"/>
        </w:numPr>
        <w:ind w:left="170" w:hanging="170"/>
        <w:rPr>
          <w:rFonts w:ascii="Times New Roman" w:hAnsi="Times New Roman"/>
          <w:szCs w:val="22"/>
          <w:lang w:val="cs-CZ" w:eastAsia="cs-CZ"/>
        </w:rPr>
      </w:pPr>
      <w:r w:rsidRPr="00DA560D">
        <w:rPr>
          <w:rFonts w:ascii="Times New Roman" w:hAnsi="Times New Roman"/>
          <w:sz w:val="22"/>
          <w:szCs w:val="22"/>
          <w:lang w:val="cs-CZ" w:eastAsia="cs-CZ"/>
        </w:rPr>
        <w:t>4 týdny po primovakcinaci u kalicivirózy a rinotracheitidy.</w:t>
      </w:r>
    </w:p>
    <w:p w14:paraId="43199EF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48F4ECD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lastRenderedPageBreak/>
        <w:t>Trvání imunity:</w:t>
      </w:r>
    </w:p>
    <w:p w14:paraId="772E859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1 rok po primovakcinaci u všech složek.</w:t>
      </w:r>
    </w:p>
    <w:p w14:paraId="4EC6CB8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3B7A578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3.3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Kontraindikace</w:t>
      </w:r>
    </w:p>
    <w:p w14:paraId="5F7BAD7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6BA20D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Nejsou.</w:t>
      </w:r>
    </w:p>
    <w:p w14:paraId="4D89DE6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3D26AFA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3.4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Zvláštní upozornění</w:t>
      </w:r>
    </w:p>
    <w:p w14:paraId="102E3C8B" w14:textId="77777777" w:rsidR="00A44462" w:rsidRPr="00DA560D" w:rsidRDefault="00A44462" w:rsidP="00A44462">
      <w:pPr>
        <w:keepNext/>
        <w:suppressAutoHyphens w:val="0"/>
        <w:overflowPunct/>
        <w:autoSpaceDE/>
        <w:autoSpaceDN/>
        <w:adjustRightInd/>
        <w:spacing w:after="0" w:line="240" w:lineRule="auto"/>
        <w:textAlignment w:val="auto"/>
        <w:outlineLvl w:val="1"/>
        <w:rPr>
          <w:rFonts w:ascii="Times New Roman" w:eastAsia="Times New Roman" w:hAnsi="Times New Roman"/>
          <w:szCs w:val="22"/>
          <w:lang w:val="cs-CZ" w:eastAsia="en-US"/>
        </w:rPr>
      </w:pPr>
    </w:p>
    <w:p w14:paraId="58D558E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szCs w:val="22"/>
          <w:lang w:val="cs-CZ"/>
        </w:rPr>
      </w:pPr>
      <w:r w:rsidRPr="00DA560D">
        <w:rPr>
          <w:rFonts w:ascii="Times New Roman" w:hAnsi="Times New Roman"/>
          <w:szCs w:val="22"/>
          <w:lang w:val="cs-CZ"/>
        </w:rPr>
        <w:t>Vakcinovat pouze zdravá zvířata.</w:t>
      </w:r>
    </w:p>
    <w:p w14:paraId="0BC1009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szCs w:val="22"/>
          <w:lang w:val="cs-CZ"/>
        </w:rPr>
      </w:pPr>
    </w:p>
    <w:p w14:paraId="06409D2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Doporučuje se provést odčervení alespoň 10 dnů před vakcinací.</w:t>
      </w:r>
    </w:p>
    <w:p w14:paraId="77DA14D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045E9257" w14:textId="77777777" w:rsidR="00A44462" w:rsidRPr="00DA560D" w:rsidRDefault="00A44462" w:rsidP="00A44462">
      <w:pPr>
        <w:keepNext/>
        <w:suppressAutoHyphens w:val="0"/>
        <w:overflowPunct/>
        <w:autoSpaceDE/>
        <w:autoSpaceDN/>
        <w:adjustRightInd/>
        <w:spacing w:after="0" w:line="240" w:lineRule="auto"/>
        <w:textAlignment w:val="auto"/>
        <w:outlineLvl w:val="1"/>
        <w:rPr>
          <w:rFonts w:ascii="Times New Roman" w:eastAsia="Times New Roman" w:hAnsi="Times New Roman"/>
          <w:szCs w:val="22"/>
          <w:lang w:val="cs-CZ" w:eastAsia="en-US"/>
        </w:rPr>
      </w:pPr>
      <w:r w:rsidRPr="00DA560D">
        <w:rPr>
          <w:rFonts w:ascii="Times New Roman" w:eastAsia="Times New Roman" w:hAnsi="Times New Roman"/>
          <w:szCs w:val="22"/>
          <w:lang w:val="cs-CZ" w:eastAsia="en-US"/>
        </w:rPr>
        <w:t>Vysoké hladiny mateřských protilátek (MDA), zejména proti kočičí panleukopenii, mohou negativně ovlivnit imunitní odpověď na vakcinaci.</w:t>
      </w:r>
    </w:p>
    <w:p w14:paraId="749BF5A0" w14:textId="77777777" w:rsidR="00A44462" w:rsidRPr="00DA560D" w:rsidRDefault="00A44462" w:rsidP="00A44462">
      <w:pPr>
        <w:keepNext/>
        <w:suppressAutoHyphens w:val="0"/>
        <w:overflowPunct/>
        <w:autoSpaceDE/>
        <w:autoSpaceDN/>
        <w:adjustRightInd/>
        <w:spacing w:after="0" w:line="240" w:lineRule="auto"/>
        <w:textAlignment w:val="auto"/>
        <w:outlineLvl w:val="1"/>
        <w:rPr>
          <w:rFonts w:ascii="Times New Roman" w:eastAsia="Times New Roman" w:hAnsi="Times New Roman"/>
          <w:szCs w:val="22"/>
          <w:lang w:val="cs-CZ" w:eastAsia="en-US"/>
        </w:rPr>
      </w:pPr>
    </w:p>
    <w:p w14:paraId="1E2AE6A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EDF3AF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3.5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Zvláštní opatření pro použití</w:t>
      </w:r>
    </w:p>
    <w:p w14:paraId="04E59BE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7799B65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t>Zvláštní opatření pro bezpečné použití u cílových druhů zvířat:</w:t>
      </w:r>
    </w:p>
    <w:p w14:paraId="5EF4286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57BDDAE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Neuplatňuje se.</w:t>
      </w:r>
    </w:p>
    <w:p w14:paraId="29834BE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D028B3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t>Zvláštní opatření pro osobu, která podává veterinární léčivý přípravek zvířatům:</w:t>
      </w:r>
    </w:p>
    <w:p w14:paraId="55A2C731" w14:textId="77777777" w:rsidR="00A44462" w:rsidRPr="00DA560D" w:rsidRDefault="00A44462" w:rsidP="00A44462">
      <w:pPr>
        <w:suppressAutoHyphens w:val="0"/>
        <w:overflowPunct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0C08E52" w14:textId="77777777" w:rsidR="00A44462" w:rsidRPr="00DA560D" w:rsidRDefault="00A44462" w:rsidP="00A44462">
      <w:pPr>
        <w:suppressAutoHyphens w:val="0"/>
        <w:overflowPunct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V případě náhodného sebepoškození injekčně podaným přípravkem, vyhledejte ihned lékařskou pomoc a ukažte příbalovou informaci nebo etiketu praktickému lékaři.</w:t>
      </w:r>
    </w:p>
    <w:p w14:paraId="5620D2B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44411BD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t>Zvláštní opatření pro ochranu životního prostředí:</w:t>
      </w:r>
    </w:p>
    <w:p w14:paraId="10D5BAA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726697A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Neuplatňuje se.</w:t>
      </w:r>
    </w:p>
    <w:p w14:paraId="64D576C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C3998D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3.6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Nežádoucí účinky</w:t>
      </w:r>
    </w:p>
    <w:p w14:paraId="78AA2C7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337833C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Kočky:</w:t>
      </w:r>
    </w:p>
    <w:p w14:paraId="2567712D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3"/>
      </w:tblGrid>
      <w:tr w:rsidR="00A44462" w:rsidRPr="00DA560D" w14:paraId="44A050FC" w14:textId="77777777" w:rsidTr="00045537">
        <w:trPr>
          <w:trHeight w:val="794"/>
        </w:trPr>
        <w:tc>
          <w:tcPr>
            <w:tcW w:w="1957" w:type="pct"/>
          </w:tcPr>
          <w:p w14:paraId="0C6D85F2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Velmi časté</w:t>
            </w:r>
          </w:p>
          <w:p w14:paraId="60B84A09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18FD3328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Poruchy trávicího traktu</w:t>
            </w:r>
            <w:r w:rsidRPr="00DA560D">
              <w:rPr>
                <w:rFonts w:ascii="Times New Roman" w:eastAsia="Times New Roman" w:hAnsi="Times New Roman"/>
                <w:szCs w:val="22"/>
                <w:vertAlign w:val="superscript"/>
                <w:lang w:val="cs-CZ" w:eastAsia="cs-CZ"/>
              </w:rPr>
              <w:t>1</w:t>
            </w:r>
          </w:p>
        </w:tc>
      </w:tr>
      <w:tr w:rsidR="00A44462" w:rsidRPr="00DA560D" w14:paraId="50BDD5EB" w14:textId="77777777" w:rsidTr="00045537">
        <w:trPr>
          <w:trHeight w:val="991"/>
        </w:trPr>
        <w:tc>
          <w:tcPr>
            <w:tcW w:w="1957" w:type="pct"/>
          </w:tcPr>
          <w:p w14:paraId="554FAA03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Časté</w:t>
            </w:r>
          </w:p>
          <w:p w14:paraId="6C3A2674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0DE22987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Edém v místě injekčního podání</w:t>
            </w:r>
            <w:r w:rsidRPr="00DA560D">
              <w:rPr>
                <w:rFonts w:ascii="Times New Roman" w:eastAsia="Times New Roman" w:hAnsi="Times New Roman"/>
                <w:szCs w:val="22"/>
                <w:vertAlign w:val="superscript"/>
                <w:lang w:val="cs-CZ" w:eastAsia="cs-CZ"/>
              </w:rPr>
              <w:t>2</w:t>
            </w:r>
          </w:p>
          <w:p w14:paraId="385FDD69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Hypertermie</w:t>
            </w:r>
            <w:r w:rsidRPr="00DA560D">
              <w:rPr>
                <w:rFonts w:ascii="Times New Roman" w:eastAsia="Times New Roman" w:hAnsi="Times New Roman"/>
                <w:szCs w:val="22"/>
                <w:vertAlign w:val="superscript"/>
                <w:lang w:val="cs-CZ" w:eastAsia="cs-CZ"/>
              </w:rPr>
              <w:t>3</w:t>
            </w: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, letargie</w:t>
            </w:r>
            <w:r w:rsidRPr="00DA560D">
              <w:rPr>
                <w:rFonts w:ascii="Times New Roman" w:eastAsia="Times New Roman" w:hAnsi="Times New Roman"/>
                <w:szCs w:val="22"/>
                <w:vertAlign w:val="superscript"/>
                <w:lang w:val="cs-CZ" w:eastAsia="cs-CZ"/>
              </w:rPr>
              <w:t>3</w:t>
            </w:r>
          </w:p>
        </w:tc>
      </w:tr>
      <w:tr w:rsidR="00A44462" w:rsidRPr="00DA560D" w14:paraId="5FD6D49F" w14:textId="77777777" w:rsidTr="00045537">
        <w:trPr>
          <w:trHeight w:val="977"/>
        </w:trPr>
        <w:tc>
          <w:tcPr>
            <w:tcW w:w="1957" w:type="pct"/>
          </w:tcPr>
          <w:p w14:paraId="1DC46ADF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Velmi vzácné</w:t>
            </w:r>
          </w:p>
          <w:p w14:paraId="13449FF7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AB98DFD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="Times New Roman" w:eastAsia="Times New Roman" w:hAnsi="Times New Roman"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Alergická reakce</w:t>
            </w:r>
            <w:r w:rsidRPr="00DA560D">
              <w:rPr>
                <w:rFonts w:ascii="Times New Roman" w:eastAsia="Times New Roman" w:hAnsi="Times New Roman"/>
                <w:szCs w:val="22"/>
                <w:vertAlign w:val="superscript"/>
                <w:lang w:val="cs-CZ" w:eastAsia="cs-CZ"/>
              </w:rPr>
              <w:t>4</w:t>
            </w: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, anafylaktická reakce</w:t>
            </w:r>
            <w:r w:rsidRPr="00DA560D">
              <w:rPr>
                <w:rFonts w:ascii="Times New Roman" w:eastAsia="Times New Roman" w:hAnsi="Times New Roman"/>
                <w:szCs w:val="22"/>
                <w:vertAlign w:val="superscript"/>
                <w:lang w:val="cs-CZ" w:eastAsia="cs-CZ"/>
              </w:rPr>
              <w:t>4</w:t>
            </w: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, hypersenzitivní reakce (např. zvracení, průjem, dušnost, alergický edém)</w:t>
            </w:r>
          </w:p>
          <w:p w14:paraId="4B88F2C9" w14:textId="77777777" w:rsidR="00A44462" w:rsidRPr="00DA560D" w:rsidRDefault="00A44462" w:rsidP="00045537">
            <w:pPr>
              <w:suppressAutoHyphens w:val="0"/>
              <w:overflowPunct/>
              <w:autoSpaceDE/>
              <w:autoSpaceDN/>
              <w:adjustRightInd/>
              <w:spacing w:before="120" w:after="120" w:line="240" w:lineRule="auto"/>
              <w:textAlignment w:val="auto"/>
              <w:rPr>
                <w:rFonts w:ascii="Times New Roman" w:eastAsia="Times New Roman" w:hAnsi="Times New Roman"/>
                <w:iCs/>
                <w:szCs w:val="22"/>
                <w:lang w:val="cs-CZ" w:eastAsia="cs-CZ"/>
              </w:rPr>
            </w:pPr>
            <w:r w:rsidRPr="00DA560D">
              <w:rPr>
                <w:rFonts w:ascii="Times New Roman" w:eastAsia="Times New Roman" w:hAnsi="Times New Roman"/>
                <w:szCs w:val="22"/>
                <w:lang w:val="cs-CZ" w:eastAsia="cs-CZ"/>
              </w:rPr>
              <w:t>Febrilní limpingový syndrom</w:t>
            </w:r>
            <w:r w:rsidRPr="00DA560D">
              <w:rPr>
                <w:rFonts w:ascii="Times New Roman" w:eastAsia="Times New Roman" w:hAnsi="Times New Roman"/>
                <w:szCs w:val="22"/>
                <w:vertAlign w:val="superscript"/>
                <w:lang w:val="cs-CZ" w:eastAsia="cs-CZ"/>
              </w:rPr>
              <w:t>5</w:t>
            </w:r>
          </w:p>
        </w:tc>
      </w:tr>
    </w:tbl>
    <w:p w14:paraId="4FA7BC2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1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Přechodné</w:t>
      </w:r>
    </w:p>
    <w:p w14:paraId="70EA806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2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Přechodný, mírný, který spontánně odezní během 2 dnů </w:t>
      </w:r>
    </w:p>
    <w:p w14:paraId="6F4C035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vertAlign w:val="superscript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 xml:space="preserve">3 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>Přechodné, mírné, které samy vymizí</w:t>
      </w:r>
    </w:p>
    <w:p w14:paraId="522A305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4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V takovém případě by měla být podána vhodná symptomatická léčba</w:t>
      </w:r>
    </w:p>
    <w:p w14:paraId="378DA24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vertAlign w:val="superscript"/>
          <w:lang w:val="cs-CZ" w:eastAsia="cs-CZ"/>
        </w:rPr>
        <w:t>5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Může se vyskytnout u koťat po aplikaci jakékoli vakcíny obsahující složku kočičího kaliciviru, jak je popsáno v odborné literatuře</w:t>
      </w:r>
    </w:p>
    <w:p w14:paraId="4F97060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FCF605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bookmarkStart w:id="0" w:name="_Hlk66891708"/>
      <w:r w:rsidRPr="00DA560D">
        <w:rPr>
          <w:rFonts w:ascii="Times New Roman" w:eastAsia="Times New Roman" w:hAnsi="Times New Roman"/>
          <w:szCs w:val="22"/>
          <w:lang w:val="cs-CZ" w:eastAsia="cs-CZ"/>
        </w:rPr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0"/>
    <w:p w14:paraId="01B0822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6B7D54F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3.7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Použití v průběhu březosti, laktace nebo snášky</w:t>
      </w:r>
    </w:p>
    <w:p w14:paraId="4230DF1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7EC87F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t>Březost a laktace:</w:t>
      </w:r>
    </w:p>
    <w:p w14:paraId="78282707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Nepoužívat během březosti a laktace.</w:t>
      </w:r>
    </w:p>
    <w:p w14:paraId="376E28C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81E860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3.8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Interakce s dalšími léčivými přípravky a další formy interakce</w:t>
      </w:r>
    </w:p>
    <w:p w14:paraId="66077A9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47F64BA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Dostupné údaje o bezpečnosti a účinnosti dokládají, že vakcínu lze mísit a podávat s vakcínou Rabigen Mono od Virbac.</w:t>
      </w:r>
    </w:p>
    <w:p w14:paraId="4EC1B90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78E466E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Nejsou dostupné informace o bezpečnosti a účinnosti této vakcíny, pokud se používá zároveň s jiným veterinárním léčivým přípravkem, vyjma </w:t>
      </w:r>
      <w:bookmarkStart w:id="1" w:name="_Hlk172095204"/>
      <w:r w:rsidRPr="00DA560D">
        <w:rPr>
          <w:rFonts w:ascii="Times New Roman" w:eastAsia="Times New Roman" w:hAnsi="Times New Roman"/>
          <w:szCs w:val="22"/>
          <w:lang w:val="cs-CZ" w:eastAsia="cs-CZ"/>
        </w:rPr>
        <w:t>výše zmíněných přípravků.</w:t>
      </w:r>
      <w:bookmarkEnd w:id="1"/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 Rozhodnutí o použití této vakcíny před nebo po jakémkoliv jiném veterinárním léčivém přípravku musí být provedeno na základě zvážení jednotlivých případů. </w:t>
      </w:r>
    </w:p>
    <w:p w14:paraId="6D4CCDE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368458C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3.9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Cesty podání a dávkování</w:t>
      </w:r>
    </w:p>
    <w:p w14:paraId="0E4DE0B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5CB2CF4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Subkutánní podání.</w:t>
      </w:r>
    </w:p>
    <w:p w14:paraId="52C7C2B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5485EF7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Po rozředění lyofilizátu s tekutou složkou obsah dobře protřepejte a celý obsah (1 ml) naředěného přípravku ihned aplikujte.</w:t>
      </w:r>
    </w:p>
    <w:p w14:paraId="313FEA1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7C05447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Podávejte jednu dávku Feligenu CRP dle následujícího vakcinačního schématu:</w:t>
      </w:r>
    </w:p>
    <w:p w14:paraId="71211CBD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E587AD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t>Primovakcinace:</w:t>
      </w:r>
    </w:p>
    <w:p w14:paraId="436C7D04" w14:textId="77777777" w:rsidR="00A44462" w:rsidRPr="00DA560D" w:rsidRDefault="00A44462" w:rsidP="00A44462">
      <w:pPr>
        <w:pStyle w:val="Odstavecseseznamem"/>
        <w:numPr>
          <w:ilvl w:val="0"/>
          <w:numId w:val="3"/>
        </w:numPr>
        <w:ind w:left="170" w:hanging="170"/>
        <w:rPr>
          <w:rFonts w:ascii="Times New Roman" w:hAnsi="Times New Roman"/>
          <w:sz w:val="22"/>
          <w:szCs w:val="22"/>
          <w:lang w:val="cs-CZ" w:eastAsia="cs-CZ"/>
        </w:rPr>
      </w:pPr>
      <w:r w:rsidRPr="00DA560D">
        <w:rPr>
          <w:rFonts w:ascii="Times New Roman" w:hAnsi="Times New Roman"/>
          <w:sz w:val="22"/>
          <w:szCs w:val="22"/>
          <w:lang w:val="cs-CZ" w:eastAsia="cs-CZ"/>
        </w:rPr>
        <w:t>první injekce</w:t>
      </w:r>
      <w:r w:rsidRPr="00DA560D">
        <w:rPr>
          <w:sz w:val="22"/>
          <w:szCs w:val="22"/>
          <w:lang w:val="cs-CZ"/>
        </w:rPr>
        <w:t xml:space="preserve"> </w:t>
      </w:r>
      <w:r w:rsidRPr="00DA560D">
        <w:rPr>
          <w:rFonts w:ascii="Times New Roman" w:hAnsi="Times New Roman"/>
          <w:sz w:val="22"/>
          <w:szCs w:val="22"/>
          <w:lang w:val="cs-CZ" w:eastAsia="cs-CZ"/>
        </w:rPr>
        <w:t>se aplikuje u koťat od 9 týdnů</w:t>
      </w:r>
      <w:r w:rsidRPr="00DA560D">
        <w:rPr>
          <w:sz w:val="22"/>
          <w:szCs w:val="22"/>
          <w:lang w:val="cs-CZ"/>
        </w:rPr>
        <w:t xml:space="preserve"> </w:t>
      </w:r>
      <w:r w:rsidRPr="00DA560D">
        <w:rPr>
          <w:rFonts w:ascii="Times New Roman" w:hAnsi="Times New Roman"/>
          <w:sz w:val="22"/>
          <w:szCs w:val="22"/>
          <w:lang w:val="cs-CZ" w:eastAsia="cs-CZ"/>
        </w:rPr>
        <w:t xml:space="preserve">věku; </w:t>
      </w:r>
    </w:p>
    <w:p w14:paraId="3404DB2B" w14:textId="77777777" w:rsidR="00A44462" w:rsidRPr="00DA560D" w:rsidRDefault="00A44462" w:rsidP="00A44462">
      <w:pPr>
        <w:pStyle w:val="Odstavecseseznamem"/>
        <w:numPr>
          <w:ilvl w:val="0"/>
          <w:numId w:val="3"/>
        </w:numPr>
        <w:ind w:left="170" w:hanging="170"/>
        <w:rPr>
          <w:rFonts w:ascii="Times New Roman" w:hAnsi="Times New Roman"/>
          <w:sz w:val="22"/>
          <w:szCs w:val="22"/>
          <w:lang w:val="cs-CZ" w:eastAsia="cs-CZ"/>
        </w:rPr>
      </w:pPr>
      <w:r w:rsidRPr="00DA560D">
        <w:rPr>
          <w:rFonts w:ascii="Times New Roman" w:hAnsi="Times New Roman"/>
          <w:sz w:val="22"/>
          <w:szCs w:val="22"/>
          <w:lang w:val="cs-CZ" w:eastAsia="cs-CZ"/>
        </w:rPr>
        <w:t>druhá injekce za 3-4 týdny.</w:t>
      </w:r>
    </w:p>
    <w:p w14:paraId="3958DCD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11DAE67" w14:textId="77777777" w:rsidR="00A44462" w:rsidRPr="00DA560D" w:rsidRDefault="00A44462" w:rsidP="00A44462">
      <w:pPr>
        <w:suppressAutoHyphens w:val="0"/>
        <w:overflowPunct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V případech, kdy je očekávána přítomnost vysokých hladin mateřských protilátek, by měla být druhá injekce aplikována po dovršení 12 týdnů věku.</w:t>
      </w:r>
    </w:p>
    <w:p w14:paraId="0AB86E07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</w:p>
    <w:p w14:paraId="6061B66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Přítomnost mateřských protilátek může nepříznivě ovlivnit imunitní odpověď na vakcinaci. V takových případech, kde lze očekávat vysoké hladiny mateřských protilátek, je vhodné podat třetí dávku vakcíny od věku 15 týdnů věku.</w:t>
      </w:r>
    </w:p>
    <w:p w14:paraId="1F9F0ED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</w:p>
    <w:p w14:paraId="3409394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t>Revakcinace:</w:t>
      </w:r>
    </w:p>
    <w:p w14:paraId="60E642B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Jednou ročně.</w:t>
      </w:r>
    </w:p>
    <w:p w14:paraId="7C9A209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3FE2722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3.10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Příznaky předávkování (a kde je relevantní, první pomoc a antidota)</w:t>
      </w:r>
    </w:p>
    <w:p w14:paraId="6D429F9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FF0E74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Po předávkování Feligenem CRP nebyly zaznamenány žádné jiné nežádoucí účinky, vyjma těch uvedených v bodu 3.6., kromě zvýšené teploty přetrvávající 1-2 dny.</w:t>
      </w:r>
    </w:p>
    <w:p w14:paraId="47E65C9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B7B3B70" w14:textId="77777777" w:rsidR="00A44462" w:rsidRPr="00DA560D" w:rsidRDefault="00A44462" w:rsidP="00A44462">
      <w:pPr>
        <w:pStyle w:val="Style1"/>
      </w:pPr>
      <w:r w:rsidRPr="00DA560D">
        <w:t>3.11</w:t>
      </w:r>
      <w:r w:rsidRPr="00DA560D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71A41A1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3F88EB0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Neuplatňuje se.</w:t>
      </w:r>
    </w:p>
    <w:p w14:paraId="02AE025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89D0C1D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3.12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Ochranné lhůty</w:t>
      </w:r>
    </w:p>
    <w:p w14:paraId="6BE6911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07585CE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Neuplatňuje se.</w:t>
      </w:r>
    </w:p>
    <w:p w14:paraId="63F092A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F38271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48400C7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4.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 xml:space="preserve">IMUNOLOGICKÉ INFORMACE </w:t>
      </w:r>
    </w:p>
    <w:p w14:paraId="5C2C42F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91308D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4.1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ATCvet kód:</w:t>
      </w:r>
      <w:r w:rsidRPr="00DA560D">
        <w:rPr>
          <w:rFonts w:ascii="Times New Roman" w:eastAsia="Times New Roman" w:hAnsi="Times New Roman"/>
          <w:bCs/>
          <w:szCs w:val="22"/>
          <w:lang w:val="cs-CZ" w:eastAsia="cs-CZ"/>
        </w:rPr>
        <w:t xml:space="preserve"> QI06AD04</w:t>
      </w:r>
    </w:p>
    <w:p w14:paraId="5A467ED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5D7CBF1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Živá virová vakcína proti rinotracheitidě, kaliciviróze a panleukopenii koček. </w:t>
      </w:r>
    </w:p>
    <w:p w14:paraId="15BADB8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3C84702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3FD0800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5.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FARMACEUTICKÉ ÚDAJE</w:t>
      </w:r>
    </w:p>
    <w:p w14:paraId="3CCBAAC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6C62D31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5.1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Hlavní inkompatibility</w:t>
      </w:r>
    </w:p>
    <w:p w14:paraId="26498B9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E7D4FD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color w:val="0000FF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Nemísit s jiným veterinárním léčivým přípravkem, vyjma rozpouštědla dodaného pro použití s veterinárním léčivým přípravkem a vyjma těch, které jsou uvedeny v bodě 3.8 výše.</w:t>
      </w:r>
    </w:p>
    <w:p w14:paraId="586D9E9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006AB1E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5.2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Doba použitelnosti</w:t>
      </w:r>
    </w:p>
    <w:p w14:paraId="1837754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29A415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Doba použitelnosti veterinárního léčivého přípravku v neporušeném obalu: 2 roky.</w:t>
      </w:r>
    </w:p>
    <w:p w14:paraId="12CA70B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Doba použitelnosti po naředění podle návodu: spotřebujte ihned. </w:t>
      </w:r>
    </w:p>
    <w:p w14:paraId="7B52786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25E1E2C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5.3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Zvláštní opatření pro uchovávání</w:t>
      </w:r>
    </w:p>
    <w:p w14:paraId="65C6600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065F0E6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Uchovávejte a přepravujte chlazené (2 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sym w:font="Symbol" w:char="F0B0"/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C – 8 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sym w:font="Symbol" w:char="F0B0"/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>C).</w:t>
      </w:r>
    </w:p>
    <w:p w14:paraId="07B7D2F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Chraňte před mrazem.</w:t>
      </w:r>
    </w:p>
    <w:p w14:paraId="32262AB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Chraňte před světlem.</w:t>
      </w:r>
    </w:p>
    <w:p w14:paraId="7D42BE5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048E2C5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5.4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Druh a složení vnitřního obalu</w:t>
      </w:r>
    </w:p>
    <w:p w14:paraId="5D46BED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7E135C3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Injekční lahvička ze skla typu I obsahující 1 dávku lyofilizátu a injekční lahvička ze skla typu I obsahující 1 ml rozpouštědla. Lahvičky jsou uzavřeny elastomerovou zátkou opatřenou hliníkovou pertlí. </w:t>
      </w:r>
    </w:p>
    <w:p w14:paraId="47C6D48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31D4DBD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u w:val="single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u w:val="single"/>
          <w:lang w:val="cs-CZ" w:eastAsia="cs-CZ"/>
        </w:rPr>
        <w:t>Velikosti balení:</w:t>
      </w:r>
    </w:p>
    <w:p w14:paraId="4E02D74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 xml:space="preserve">Plastová blistrová krabička obsahující: </w:t>
      </w:r>
    </w:p>
    <w:p w14:paraId="5E0937D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10 x 1 dávka</w:t>
      </w:r>
      <w:r w:rsidRPr="00DA560D">
        <w:rPr>
          <w:rFonts w:ascii="Times New Roman" w:eastAsia="Times New Roman" w:hAnsi="Times New Roman"/>
          <w:szCs w:val="22"/>
          <w:lang w:val="cs-CZ" w:eastAsia="en-US"/>
        </w:rPr>
        <w:t xml:space="preserve"> 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>lyofilizátu a 10 x 1 ml rozpouštědla</w:t>
      </w:r>
    </w:p>
    <w:p w14:paraId="22AF779D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25 x 1 dávka lyofilizátu a 25 x 1 ml rozpouštědla</w:t>
      </w:r>
    </w:p>
    <w:p w14:paraId="408C935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50 x 1 dávka lyofilizátu a 50 x 1 ml rozpouštědla</w:t>
      </w:r>
    </w:p>
    <w:p w14:paraId="6BFD00C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414283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Na trhu nemusí být všechny velikosti balení.</w:t>
      </w:r>
    </w:p>
    <w:p w14:paraId="74578FE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5E39A86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left="709" w:hanging="709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5.5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Zvláštní opatření pro likvidaci nepoužitých veterinárních léčivých přípravků nebo odpadů, které pochází z těchto přípravků</w:t>
      </w:r>
    </w:p>
    <w:p w14:paraId="64FD621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7A8BF7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Léčivé přípravky se nesmí likvidovat prostřednictvím odpadní vody či domovního odpadu.</w:t>
      </w:r>
    </w:p>
    <w:p w14:paraId="4FC5C0B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707E5AA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A68D1B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24369D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4F3F8A89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6.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JMÉNO DRŽITELE ROZHODNUTÍ O REGISTRACI</w:t>
      </w:r>
    </w:p>
    <w:p w14:paraId="53B27D2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0178947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Cs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Cs/>
          <w:szCs w:val="22"/>
          <w:lang w:val="cs-CZ" w:eastAsia="cs-CZ"/>
        </w:rPr>
        <w:lastRenderedPageBreak/>
        <w:t>VIRBAC</w:t>
      </w:r>
    </w:p>
    <w:p w14:paraId="09E47BC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D6CBC3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6F7D36D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b/>
          <w:caps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7.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ab/>
      </w:r>
      <w:r w:rsidRPr="00DA560D">
        <w:rPr>
          <w:rFonts w:ascii="Times New Roman" w:eastAsia="Times New Roman" w:hAnsi="Times New Roman"/>
          <w:b/>
          <w:caps/>
          <w:szCs w:val="22"/>
          <w:lang w:val="cs-CZ" w:eastAsia="cs-CZ"/>
        </w:rPr>
        <w:t>Registrační číslo(a)</w:t>
      </w:r>
    </w:p>
    <w:p w14:paraId="31AD1E9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b/>
          <w:caps/>
          <w:szCs w:val="22"/>
          <w:lang w:val="cs-CZ" w:eastAsia="cs-CZ"/>
        </w:rPr>
      </w:pPr>
    </w:p>
    <w:p w14:paraId="597C9373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caps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caps/>
          <w:szCs w:val="22"/>
          <w:lang w:val="cs-CZ" w:eastAsia="cs-CZ"/>
        </w:rPr>
        <w:t>97/964/94-C</w:t>
      </w:r>
    </w:p>
    <w:p w14:paraId="1B318CE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b/>
          <w:caps/>
          <w:szCs w:val="22"/>
          <w:lang w:val="cs-CZ" w:eastAsia="cs-CZ"/>
        </w:rPr>
      </w:pPr>
    </w:p>
    <w:p w14:paraId="56F64F0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b/>
          <w:caps/>
          <w:szCs w:val="22"/>
          <w:lang w:val="cs-CZ" w:eastAsia="cs-CZ"/>
        </w:rPr>
      </w:pPr>
    </w:p>
    <w:p w14:paraId="4241CD3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b/>
          <w:caps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caps/>
          <w:szCs w:val="22"/>
          <w:lang w:val="cs-CZ" w:eastAsia="cs-CZ"/>
        </w:rPr>
        <w:t>8.</w:t>
      </w:r>
      <w:r w:rsidRPr="00DA560D">
        <w:rPr>
          <w:rFonts w:ascii="Times New Roman" w:eastAsia="Times New Roman" w:hAnsi="Times New Roman"/>
          <w:b/>
          <w:caps/>
          <w:szCs w:val="22"/>
          <w:lang w:val="cs-CZ" w:eastAsia="cs-CZ"/>
        </w:rPr>
        <w:tab/>
        <w:t>DATUM PRVNÍ REGISTRACE</w:t>
      </w:r>
    </w:p>
    <w:p w14:paraId="716A16A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b/>
          <w:caps/>
          <w:szCs w:val="22"/>
          <w:lang w:val="cs-CZ" w:eastAsia="cs-CZ"/>
        </w:rPr>
      </w:pPr>
    </w:p>
    <w:p w14:paraId="0DF52CC4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09/09/1994</w:t>
      </w:r>
    </w:p>
    <w:p w14:paraId="11C311F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03957532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szCs w:val="22"/>
          <w:lang w:val="cs-CZ" w:eastAsia="cs-CZ"/>
        </w:rPr>
      </w:pPr>
    </w:p>
    <w:p w14:paraId="17BDBCAF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>9.</w:t>
      </w:r>
      <w:r w:rsidRPr="00DA560D">
        <w:rPr>
          <w:rFonts w:ascii="Times New Roman" w:eastAsia="Times New Roman" w:hAnsi="Times New Roman"/>
          <w:b/>
          <w:szCs w:val="22"/>
          <w:lang w:val="cs-CZ" w:eastAsia="cs-CZ"/>
        </w:rPr>
        <w:tab/>
        <w:t>DATUM POSLEDNÍ AKTUALIZACE SOUHRNU ÚDAJŮ O PŘÍPRAVKU</w:t>
      </w:r>
    </w:p>
    <w:p w14:paraId="64FC3DEB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right="-318"/>
        <w:textAlignment w:val="auto"/>
        <w:rPr>
          <w:rFonts w:ascii="Times New Roman" w:eastAsia="Times New Roman" w:hAnsi="Times New Roman"/>
          <w:b/>
          <w:szCs w:val="22"/>
          <w:lang w:val="cs-CZ" w:eastAsia="cs-CZ"/>
        </w:rPr>
      </w:pPr>
    </w:p>
    <w:p w14:paraId="3BE050FD" w14:textId="37F572CD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Cs/>
          <w:szCs w:val="22"/>
          <w:lang w:val="cs-CZ" w:eastAsia="cs-CZ"/>
        </w:rPr>
      </w:pPr>
      <w:r w:rsidRPr="00DA560D">
        <w:rPr>
          <w:rFonts w:ascii="Times New Roman" w:eastAsia="Times New Roman" w:hAnsi="Times New Roman"/>
          <w:szCs w:val="22"/>
          <w:lang w:val="cs-CZ" w:eastAsia="cs-CZ"/>
        </w:rPr>
        <w:t>Srpen</w:t>
      </w:r>
      <w:r w:rsidRPr="00DA560D" w:rsidDel="00DA08F2">
        <w:rPr>
          <w:rFonts w:ascii="Times New Roman" w:eastAsia="Times New Roman" w:hAnsi="Times New Roman"/>
          <w:szCs w:val="22"/>
          <w:lang w:val="cs-CZ" w:eastAsia="cs-CZ"/>
        </w:rPr>
        <w:t xml:space="preserve"> </w:t>
      </w:r>
      <w:r w:rsidRPr="00DA560D">
        <w:rPr>
          <w:rFonts w:ascii="Times New Roman" w:eastAsia="Times New Roman" w:hAnsi="Times New Roman"/>
          <w:szCs w:val="22"/>
          <w:lang w:val="cs-CZ" w:eastAsia="cs-CZ"/>
        </w:rPr>
        <w:t>2024</w:t>
      </w:r>
    </w:p>
    <w:p w14:paraId="278FD3F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Cs/>
          <w:szCs w:val="22"/>
          <w:lang w:val="cs-CZ" w:eastAsia="cs-CZ"/>
        </w:rPr>
      </w:pPr>
    </w:p>
    <w:p w14:paraId="53C3DE08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bCs/>
          <w:szCs w:val="22"/>
          <w:lang w:val="cs-CZ" w:eastAsia="cs-CZ"/>
        </w:rPr>
      </w:pPr>
    </w:p>
    <w:p w14:paraId="1C29CC4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Cs w:val="22"/>
          <w:lang w:val="cs-CZ" w:eastAsia="en-US"/>
        </w:rPr>
      </w:pPr>
      <w:r w:rsidRPr="00DA560D">
        <w:rPr>
          <w:rFonts w:ascii="Times New Roman" w:eastAsia="Times New Roman" w:hAnsi="Times New Roman"/>
          <w:b/>
          <w:szCs w:val="22"/>
          <w:lang w:val="cs-CZ" w:eastAsia="en-US"/>
        </w:rPr>
        <w:t>10.</w:t>
      </w:r>
      <w:r w:rsidRPr="00DA560D">
        <w:rPr>
          <w:rFonts w:ascii="Times New Roman" w:eastAsia="Times New Roman" w:hAnsi="Times New Roman"/>
          <w:b/>
          <w:szCs w:val="22"/>
          <w:lang w:val="cs-CZ" w:eastAsia="en-US"/>
        </w:rPr>
        <w:tab/>
        <w:t>KLASIFIKACE VETERINÁRNÍCH LÉČIVÝCH PŘÍPRAVKŮ</w:t>
      </w:r>
    </w:p>
    <w:p w14:paraId="0A8F4EF6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b/>
          <w:szCs w:val="22"/>
          <w:lang w:val="cs-CZ" w:eastAsia="en-US"/>
        </w:rPr>
      </w:pPr>
    </w:p>
    <w:p w14:paraId="36D4F48E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DA560D">
        <w:rPr>
          <w:rFonts w:ascii="Times New Roman" w:eastAsia="Times New Roman" w:hAnsi="Times New Roman"/>
          <w:szCs w:val="22"/>
          <w:lang w:val="cs-CZ" w:eastAsia="en-US"/>
        </w:rPr>
        <w:t>Veterinární léčivý přípravek je vydáván pouze na předpis.</w:t>
      </w:r>
    </w:p>
    <w:p w14:paraId="22B6C67A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ind w:left="567" w:hanging="567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58E8F675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bookmarkStart w:id="2" w:name="_Hlk73467306"/>
      <w:r w:rsidRPr="00DA560D">
        <w:rPr>
          <w:rFonts w:ascii="Times New Roman" w:eastAsia="Times New Roman" w:hAnsi="Times New Roman"/>
          <w:szCs w:val="22"/>
          <w:lang w:val="cs-CZ" w:eastAsia="en-US"/>
        </w:rPr>
        <w:t>Podrobné informace o tomto veterinárním léčivém přípravku jsou k dispozici v databázi přípravků Unie (</w:t>
      </w:r>
      <w:hyperlink r:id="rId5" w:history="1">
        <w:r w:rsidRPr="00DA560D">
          <w:rPr>
            <w:rStyle w:val="Hypertextovodkaz"/>
            <w:rFonts w:ascii="Times New Roman" w:eastAsia="Times New Roman" w:hAnsi="Times New Roman"/>
            <w:szCs w:val="22"/>
            <w:lang w:val="cs-CZ" w:eastAsia="en-US"/>
          </w:rPr>
          <w:t>https://medicines.health.europa.eu/veterinary</w:t>
        </w:r>
      </w:hyperlink>
      <w:r w:rsidRPr="00DA560D">
        <w:rPr>
          <w:rFonts w:ascii="Times New Roman" w:eastAsia="Times New Roman" w:hAnsi="Times New Roman"/>
          <w:szCs w:val="22"/>
          <w:lang w:val="cs-CZ" w:eastAsia="en-US"/>
        </w:rPr>
        <w:t>)</w:t>
      </w:r>
      <w:r w:rsidRPr="00DA560D">
        <w:rPr>
          <w:rFonts w:ascii="Times New Roman" w:eastAsia="Times New Roman" w:hAnsi="Times New Roman"/>
          <w:i/>
          <w:szCs w:val="22"/>
          <w:lang w:val="cs-CZ" w:eastAsia="en-US"/>
        </w:rPr>
        <w:t>.</w:t>
      </w:r>
    </w:p>
    <w:p w14:paraId="7C43D2EC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</w:p>
    <w:p w14:paraId="50FFA191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 w:eastAsia="en-US"/>
        </w:rPr>
      </w:pPr>
      <w:r w:rsidRPr="00DA560D">
        <w:rPr>
          <w:rFonts w:ascii="Times New Roman" w:eastAsia="Times New Roman" w:hAnsi="Times New Roman"/>
          <w:szCs w:val="22"/>
          <w:lang w:val="cs-CZ" w:eastAsia="en-US"/>
        </w:rPr>
        <w:t>Podrobné informace o tomto veterinárním léčivém přípravku naleznete také v národní databázi (</w:t>
      </w:r>
      <w:hyperlink r:id="rId6" w:history="1">
        <w:r w:rsidRPr="00DA560D">
          <w:rPr>
            <w:rStyle w:val="Hypertextovodkaz"/>
            <w:rFonts w:ascii="Times New Roman" w:eastAsia="Times New Roman" w:hAnsi="Times New Roman"/>
            <w:szCs w:val="22"/>
            <w:lang w:val="cs-CZ" w:eastAsia="en-US"/>
          </w:rPr>
          <w:t>https://www.uskvbl.cz</w:t>
        </w:r>
      </w:hyperlink>
      <w:r w:rsidRPr="00DA560D">
        <w:rPr>
          <w:rFonts w:ascii="Times New Roman" w:eastAsia="Times New Roman" w:hAnsi="Times New Roman"/>
          <w:szCs w:val="22"/>
          <w:lang w:val="cs-CZ" w:eastAsia="en-US"/>
        </w:rPr>
        <w:t>).</w:t>
      </w:r>
    </w:p>
    <w:bookmarkEnd w:id="2"/>
    <w:p w14:paraId="79E61F00" w14:textId="77777777" w:rsidR="00A44462" w:rsidRPr="00DA560D" w:rsidRDefault="00A44462" w:rsidP="00A44462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/>
          <w:szCs w:val="22"/>
          <w:lang w:val="cs-CZ"/>
        </w:rPr>
      </w:pPr>
    </w:p>
    <w:p w14:paraId="0C402F5A" w14:textId="77777777" w:rsidR="00F36451" w:rsidRPr="00DA560D" w:rsidRDefault="00F36451" w:rsidP="00A44462">
      <w:pPr>
        <w:rPr>
          <w:lang w:val="cs-CZ"/>
        </w:rPr>
      </w:pPr>
      <w:bookmarkStart w:id="3" w:name="_GoBack"/>
      <w:bookmarkEnd w:id="3"/>
    </w:p>
    <w:sectPr w:rsidR="00F36451" w:rsidRPr="00DA560D" w:rsidSect="00DA560D">
      <w:footnotePr>
        <w:pos w:val="beneathText"/>
      </w:footnotePr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8BF222" w16cex:dateUtc="2024-04-23T07:25:00Z"/>
  <w16cex:commentExtensible w16cex:durableId="1E5A1231" w16cex:dateUtc="2024-04-23T07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311"/>
    <w:multiLevelType w:val="hybridMultilevel"/>
    <w:tmpl w:val="C5D05DAA"/>
    <w:lvl w:ilvl="0" w:tplc="9272BC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35A6"/>
    <w:multiLevelType w:val="hybridMultilevel"/>
    <w:tmpl w:val="410E2820"/>
    <w:lvl w:ilvl="0" w:tplc="0F2A1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E709B"/>
    <w:multiLevelType w:val="multilevel"/>
    <w:tmpl w:val="37400F3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451"/>
    <w:rsid w:val="0005726D"/>
    <w:rsid w:val="000600CD"/>
    <w:rsid w:val="00133C2A"/>
    <w:rsid w:val="001B3523"/>
    <w:rsid w:val="002177B8"/>
    <w:rsid w:val="0023183F"/>
    <w:rsid w:val="0032436E"/>
    <w:rsid w:val="003478B5"/>
    <w:rsid w:val="003C61F1"/>
    <w:rsid w:val="00464B11"/>
    <w:rsid w:val="00483ABC"/>
    <w:rsid w:val="00565009"/>
    <w:rsid w:val="00573F95"/>
    <w:rsid w:val="005753FB"/>
    <w:rsid w:val="006151AA"/>
    <w:rsid w:val="006B727E"/>
    <w:rsid w:val="006F12E9"/>
    <w:rsid w:val="007818F4"/>
    <w:rsid w:val="00786092"/>
    <w:rsid w:val="007B0094"/>
    <w:rsid w:val="007B6ADE"/>
    <w:rsid w:val="007C5227"/>
    <w:rsid w:val="00841061"/>
    <w:rsid w:val="0089153A"/>
    <w:rsid w:val="008A1043"/>
    <w:rsid w:val="009C2E24"/>
    <w:rsid w:val="00A13447"/>
    <w:rsid w:val="00A44462"/>
    <w:rsid w:val="00A55894"/>
    <w:rsid w:val="00A63195"/>
    <w:rsid w:val="00B97C02"/>
    <w:rsid w:val="00CB2B4B"/>
    <w:rsid w:val="00CC06E0"/>
    <w:rsid w:val="00DA08F2"/>
    <w:rsid w:val="00DA560D"/>
    <w:rsid w:val="00DA7C19"/>
    <w:rsid w:val="00E32C17"/>
    <w:rsid w:val="00EC0314"/>
    <w:rsid w:val="00EE036E"/>
    <w:rsid w:val="00EE3434"/>
    <w:rsid w:val="00F3068D"/>
    <w:rsid w:val="00F36451"/>
    <w:rsid w:val="00FF3DDC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1589"/>
  <w15:docId w15:val="{87FDC69A-34FC-4306-AF6A-7A76CAC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Batang" w:hAnsi="Calibri" w:cs="Times New Roman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Batang" w:hAnsi="Tahoma" w:cs="Tahoma"/>
      <w:sz w:val="16"/>
      <w:szCs w:val="16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unhideWhenUsed/>
    <w:qFormat/>
    <w:pPr>
      <w:suppressAutoHyphens w:val="0"/>
      <w:overflowPunct/>
      <w:autoSpaceDE/>
      <w:autoSpaceDN/>
      <w:adjustRightInd/>
      <w:spacing w:after="0" w:line="240" w:lineRule="auto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Odstavecseseznamem">
    <w:name w:val="List Paragraph"/>
    <w:basedOn w:val="Normln"/>
    <w:uiPriority w:val="34"/>
    <w:qFormat/>
    <w:pPr>
      <w:suppressAutoHyphens w:val="0"/>
      <w:overflowPunct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Arial" w:eastAsia="Times New Roman" w:hAnsi="Arial"/>
      <w:sz w:val="24"/>
      <w:lang w:val="de-DE" w:eastAsia="de-DE"/>
    </w:rPr>
  </w:style>
  <w:style w:type="paragraph" w:customStyle="1" w:styleId="Style1">
    <w:name w:val="Style1"/>
    <w:basedOn w:val="Normln"/>
    <w:qFormat/>
    <w:pPr>
      <w:tabs>
        <w:tab w:val="left" w:pos="0"/>
      </w:tabs>
      <w:suppressAutoHyphens w:val="0"/>
      <w:overflowPunct/>
      <w:autoSpaceDE/>
      <w:autoSpaceDN/>
      <w:adjustRightInd/>
      <w:spacing w:after="0" w:line="240" w:lineRule="auto"/>
      <w:ind w:left="567" w:hanging="567"/>
      <w:textAlignment w:val="auto"/>
    </w:pPr>
    <w:rPr>
      <w:rFonts w:ascii="Times New Roman" w:eastAsia="Times New Roman" w:hAnsi="Times New Roman"/>
      <w:b/>
      <w:szCs w:val="22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uppressAutoHyphens/>
      <w:overflowPunct w:val="0"/>
      <w:autoSpaceDE w:val="0"/>
      <w:autoSpaceDN w:val="0"/>
      <w:adjustRightInd w:val="0"/>
      <w:spacing w:after="200"/>
      <w:textAlignment w:val="baseline"/>
    </w:pPr>
    <w:rPr>
      <w:rFonts w:ascii="Calibri" w:eastAsia="Batang" w:hAnsi="Calibri"/>
      <w:b/>
      <w:bCs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Batang" w:hAnsi="Calibri" w:cs="Times New Roman"/>
      <w:b/>
      <w:bCs/>
      <w:sz w:val="20"/>
      <w:szCs w:val="20"/>
      <w:lang w:val="de-DE" w:eastAsia="en-GB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Batang" w:hAnsi="Calibri" w:cs="Times New Roman"/>
      <w:szCs w:val="20"/>
      <w:lang w:eastAsia="en-GB"/>
    </w:rPr>
  </w:style>
  <w:style w:type="character" w:styleId="slodku">
    <w:name w:val="line number"/>
    <w:basedOn w:val="Standardnpsmoodstavce"/>
    <w:uiPriority w:val="99"/>
    <w:semiHidden/>
    <w:unhideWhenUsed/>
    <w:rsid w:val="006F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kvbl.cz" TargetMode="External"/><Relationship Id="rId5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6</Pages>
  <Words>1051</Words>
  <Characters>6203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Leona Nepejchalová</cp:lastModifiedBy>
  <cp:revision>49</cp:revision>
  <cp:lastPrinted>2018-01-08T11:37:00Z</cp:lastPrinted>
  <dcterms:created xsi:type="dcterms:W3CDTF">2018-01-04T09:09:00Z</dcterms:created>
  <dcterms:modified xsi:type="dcterms:W3CDTF">2024-08-30T12:29:00Z</dcterms:modified>
</cp:coreProperties>
</file>