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D75D3E" w:rsidRDefault="00273F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75D3E">
        <w:rPr>
          <w:b/>
          <w:szCs w:val="22"/>
        </w:rPr>
        <w:t>PŘÍLOHA I</w:t>
      </w:r>
    </w:p>
    <w:p w14:paraId="50FE88E4" w14:textId="77777777" w:rsidR="00C114FF" w:rsidRPr="00D75D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D75D3E" w:rsidRDefault="00273F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75D3E">
        <w:rPr>
          <w:b/>
          <w:szCs w:val="22"/>
        </w:rPr>
        <w:t>SOUHRN ÚDAJŮ O PŘÍPRAVKU</w:t>
      </w:r>
    </w:p>
    <w:p w14:paraId="70A64732" w14:textId="77777777" w:rsidR="00C114FF" w:rsidRPr="008354FA" w:rsidRDefault="00273FA6" w:rsidP="008354FA">
      <w:pPr>
        <w:pStyle w:val="Style1"/>
      </w:pPr>
      <w:r w:rsidRPr="00D75D3E">
        <w:br w:type="page"/>
      </w:r>
      <w:r w:rsidRPr="008354FA">
        <w:lastRenderedPageBreak/>
        <w:t>1.</w:t>
      </w:r>
      <w:r w:rsidRPr="008354FA">
        <w:tab/>
        <w:t>NÁZEV VETERINÁRNÍHO LÉČIVÉHO PŘÍPRAVKU</w:t>
      </w:r>
    </w:p>
    <w:p w14:paraId="3606368F" w14:textId="77777777" w:rsidR="00C114FF" w:rsidRPr="008354FA" w:rsidRDefault="00C114F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0A317908" w:rsidR="00C114FF" w:rsidRPr="008354FA" w:rsidRDefault="00B82B6A" w:rsidP="008354FA">
      <w:pPr>
        <w:spacing w:line="240" w:lineRule="auto"/>
        <w:rPr>
          <w:szCs w:val="22"/>
        </w:rPr>
      </w:pPr>
      <w:proofErr w:type="spellStart"/>
      <w:r w:rsidRPr="008354FA">
        <w:rPr>
          <w:szCs w:val="22"/>
        </w:rPr>
        <w:t>Solacyl</w:t>
      </w:r>
      <w:proofErr w:type="spellEnd"/>
      <w:r w:rsidRPr="008354FA">
        <w:rPr>
          <w:szCs w:val="22"/>
        </w:rPr>
        <w:t xml:space="preserve"> 1000 mg/g </w:t>
      </w:r>
      <w:r w:rsidR="007939CD" w:rsidRPr="008354FA">
        <w:rPr>
          <w:szCs w:val="22"/>
        </w:rPr>
        <w:t>prášek pro podání v pitné vodě/mléce</w:t>
      </w:r>
      <w:bookmarkStart w:id="0" w:name="_Hlk126760696"/>
      <w:r w:rsidRPr="008354FA">
        <w:rPr>
          <w:szCs w:val="22"/>
        </w:rPr>
        <w:t xml:space="preserve"> </w:t>
      </w:r>
      <w:bookmarkEnd w:id="0"/>
      <w:r w:rsidRPr="008354FA">
        <w:rPr>
          <w:szCs w:val="22"/>
        </w:rPr>
        <w:t>pro skot a prasata</w:t>
      </w:r>
    </w:p>
    <w:p w14:paraId="7DC6F18B" w14:textId="617CF1D7" w:rsidR="007B57D9" w:rsidRPr="008354FA" w:rsidRDefault="007B57D9" w:rsidP="008354FA">
      <w:pPr>
        <w:spacing w:line="240" w:lineRule="auto"/>
        <w:rPr>
          <w:szCs w:val="22"/>
        </w:rPr>
      </w:pPr>
    </w:p>
    <w:p w14:paraId="1156AE28" w14:textId="77777777" w:rsidR="008354FA" w:rsidRPr="00A4353F" w:rsidRDefault="008354FA" w:rsidP="008354FA">
      <w:pPr>
        <w:spacing w:line="240" w:lineRule="auto"/>
        <w:rPr>
          <w:szCs w:val="22"/>
        </w:rPr>
      </w:pPr>
    </w:p>
    <w:p w14:paraId="6E07DCD2" w14:textId="77777777" w:rsidR="00C114FF" w:rsidRPr="008354FA" w:rsidRDefault="00273FA6" w:rsidP="008354FA">
      <w:pPr>
        <w:pStyle w:val="Style1"/>
      </w:pPr>
      <w:r w:rsidRPr="008354FA">
        <w:t>2.</w:t>
      </w:r>
      <w:r w:rsidRPr="008354FA">
        <w:tab/>
        <w:t>KVALITATIVNÍ A KVANTITATIVNÍ SLOŽENÍ</w:t>
      </w:r>
    </w:p>
    <w:p w14:paraId="0D9388D7" w14:textId="77777777" w:rsidR="00B82B6A" w:rsidRPr="008354FA" w:rsidRDefault="00B82B6A" w:rsidP="00A4353F">
      <w:pPr>
        <w:tabs>
          <w:tab w:val="clear" w:pos="567"/>
        </w:tabs>
        <w:spacing w:line="240" w:lineRule="auto"/>
        <w:rPr>
          <w:szCs w:val="22"/>
        </w:rPr>
      </w:pPr>
    </w:p>
    <w:p w14:paraId="6FF55CDF" w14:textId="67B3AFB2" w:rsidR="00B82B6A" w:rsidRPr="008354FA" w:rsidRDefault="00F51548" w:rsidP="00D67EB1">
      <w:pPr>
        <w:snapToGrid w:val="0"/>
        <w:spacing w:line="240" w:lineRule="auto"/>
        <w:outlineLvl w:val="0"/>
        <w:rPr>
          <w:bCs/>
          <w:szCs w:val="22"/>
        </w:rPr>
      </w:pPr>
      <w:r w:rsidRPr="008354FA">
        <w:rPr>
          <w:bCs/>
          <w:szCs w:val="22"/>
        </w:rPr>
        <w:t>Každý</w:t>
      </w:r>
      <w:r w:rsidR="00B82B6A" w:rsidRPr="008354FA">
        <w:rPr>
          <w:bCs/>
          <w:szCs w:val="22"/>
        </w:rPr>
        <w:t xml:space="preserve"> gram obsahuje:</w:t>
      </w:r>
    </w:p>
    <w:p w14:paraId="0B721102" w14:textId="77777777" w:rsidR="00B82B6A" w:rsidRPr="008354FA" w:rsidRDefault="00B82B6A" w:rsidP="00D67EB1">
      <w:pPr>
        <w:snapToGrid w:val="0"/>
        <w:spacing w:line="240" w:lineRule="auto"/>
        <w:outlineLvl w:val="0"/>
        <w:rPr>
          <w:bCs/>
          <w:szCs w:val="22"/>
        </w:rPr>
      </w:pPr>
    </w:p>
    <w:p w14:paraId="668A2BBB" w14:textId="0755B86D" w:rsidR="00C114FF" w:rsidRPr="008354FA" w:rsidRDefault="00273FA6" w:rsidP="008354FA">
      <w:pPr>
        <w:tabs>
          <w:tab w:val="clear" w:pos="567"/>
        </w:tabs>
        <w:spacing w:line="240" w:lineRule="auto"/>
        <w:rPr>
          <w:b/>
          <w:szCs w:val="22"/>
        </w:rPr>
      </w:pPr>
      <w:r w:rsidRPr="008354FA">
        <w:rPr>
          <w:b/>
          <w:szCs w:val="22"/>
        </w:rPr>
        <w:t>Léčivá látka:</w:t>
      </w:r>
    </w:p>
    <w:p w14:paraId="5DBC8849" w14:textId="13E9AD26" w:rsidR="00C114FF" w:rsidRPr="008354FA" w:rsidRDefault="00B82B6A" w:rsidP="008354FA">
      <w:pPr>
        <w:tabs>
          <w:tab w:val="clear" w:pos="567"/>
        </w:tabs>
        <w:spacing w:line="240" w:lineRule="auto"/>
        <w:rPr>
          <w:iCs/>
          <w:szCs w:val="22"/>
        </w:rPr>
      </w:pPr>
      <w:r w:rsidRPr="008354FA">
        <w:rPr>
          <w:iCs/>
          <w:szCs w:val="22"/>
        </w:rPr>
        <w:t xml:space="preserve">Natrii </w:t>
      </w:r>
      <w:proofErr w:type="spellStart"/>
      <w:r w:rsidRPr="008354FA">
        <w:rPr>
          <w:iCs/>
          <w:szCs w:val="22"/>
        </w:rPr>
        <w:t>salicylas</w:t>
      </w:r>
      <w:proofErr w:type="spellEnd"/>
      <w:r w:rsidR="00F51548" w:rsidRPr="008354FA">
        <w:rPr>
          <w:iCs/>
          <w:szCs w:val="22"/>
        </w:rPr>
        <w:t xml:space="preserve"> </w:t>
      </w:r>
      <w:r w:rsidRPr="008354FA">
        <w:rPr>
          <w:iCs/>
          <w:szCs w:val="22"/>
        </w:rPr>
        <w:t>1000 mg</w:t>
      </w:r>
      <w:r w:rsidR="00F51548" w:rsidRPr="008354FA">
        <w:rPr>
          <w:iCs/>
          <w:szCs w:val="22"/>
        </w:rPr>
        <w:t xml:space="preserve">, </w:t>
      </w:r>
      <w:r w:rsidR="00D257D6" w:rsidRPr="008354FA">
        <w:rPr>
          <w:iCs/>
          <w:szCs w:val="22"/>
        </w:rPr>
        <w:t>což odpovídá</w:t>
      </w:r>
      <w:r w:rsidR="00F51548" w:rsidRPr="008354FA">
        <w:rPr>
          <w:iCs/>
          <w:szCs w:val="22"/>
        </w:rPr>
        <w:t xml:space="preserve"> 862,6 mg </w:t>
      </w:r>
      <w:proofErr w:type="spellStart"/>
      <w:r w:rsidR="00EB72B7" w:rsidRPr="008354FA">
        <w:rPr>
          <w:iCs/>
          <w:szCs w:val="22"/>
        </w:rPr>
        <w:t>acidum</w:t>
      </w:r>
      <w:proofErr w:type="spellEnd"/>
      <w:r w:rsidR="00EB72B7" w:rsidRPr="008354FA">
        <w:rPr>
          <w:iCs/>
          <w:szCs w:val="22"/>
        </w:rPr>
        <w:t xml:space="preserve"> </w:t>
      </w:r>
      <w:proofErr w:type="spellStart"/>
      <w:r w:rsidR="00EB72B7" w:rsidRPr="008354FA">
        <w:rPr>
          <w:iCs/>
          <w:szCs w:val="22"/>
        </w:rPr>
        <w:t>salicylicum</w:t>
      </w:r>
      <w:proofErr w:type="spellEnd"/>
      <w:r w:rsidR="00F51548" w:rsidRPr="008354FA">
        <w:rPr>
          <w:iCs/>
          <w:szCs w:val="22"/>
        </w:rPr>
        <w:t xml:space="preserve"> (jako sodná sůl).</w:t>
      </w:r>
    </w:p>
    <w:p w14:paraId="38F51D2A" w14:textId="5BE8A81C" w:rsidR="00872C48" w:rsidRPr="008354FA" w:rsidRDefault="00872C48" w:rsidP="008354FA">
      <w:pPr>
        <w:tabs>
          <w:tab w:val="clear" w:pos="567"/>
        </w:tabs>
        <w:spacing w:line="240" w:lineRule="auto"/>
        <w:rPr>
          <w:szCs w:val="22"/>
        </w:rPr>
      </w:pPr>
    </w:p>
    <w:p w14:paraId="07862446" w14:textId="4AF2273F" w:rsidR="00B82B6A" w:rsidRPr="008354FA" w:rsidRDefault="00B82B6A" w:rsidP="00D67EB1">
      <w:pPr>
        <w:snapToGrid w:val="0"/>
        <w:spacing w:line="240" w:lineRule="auto"/>
        <w:rPr>
          <w:b/>
          <w:bCs/>
          <w:szCs w:val="22"/>
        </w:rPr>
      </w:pPr>
      <w:r w:rsidRPr="008354FA">
        <w:rPr>
          <w:szCs w:val="22"/>
        </w:rPr>
        <w:t>Bílé až bělavé vločky</w:t>
      </w:r>
      <w:r w:rsidR="00D75D3E" w:rsidRPr="008354FA">
        <w:rPr>
          <w:szCs w:val="22"/>
        </w:rPr>
        <w:t>.</w:t>
      </w:r>
    </w:p>
    <w:p w14:paraId="2E6CA329" w14:textId="45640155" w:rsidR="00C114FF" w:rsidRPr="008354FA" w:rsidRDefault="00C114F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2893FAB0" w14:textId="77777777" w:rsidR="008354FA" w:rsidRPr="008354FA" w:rsidRDefault="008354FA" w:rsidP="008354FA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354FA" w:rsidRDefault="00273FA6" w:rsidP="00D67EB1">
      <w:pPr>
        <w:pStyle w:val="Style1"/>
        <w:jc w:val="both"/>
      </w:pPr>
      <w:r w:rsidRPr="008354FA">
        <w:t>3.</w:t>
      </w:r>
      <w:r w:rsidRPr="008354FA">
        <w:tab/>
        <w:t>KLINICKÉ INFORMACE</w:t>
      </w:r>
    </w:p>
    <w:p w14:paraId="03304F78" w14:textId="77777777" w:rsidR="00C114FF" w:rsidRPr="008354FA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656C7B" w14:textId="77777777" w:rsidR="00C114FF" w:rsidRPr="008354FA" w:rsidRDefault="00273FA6" w:rsidP="00D67EB1">
      <w:pPr>
        <w:pStyle w:val="Style1"/>
        <w:jc w:val="both"/>
      </w:pPr>
      <w:r w:rsidRPr="008354FA">
        <w:t>3.1</w:t>
      </w:r>
      <w:r w:rsidRPr="008354FA">
        <w:tab/>
        <w:t>Cílové druhy zvířat</w:t>
      </w:r>
    </w:p>
    <w:p w14:paraId="20FFAC3D" w14:textId="220A6E04" w:rsidR="00C114FF" w:rsidRPr="008354FA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622034" w14:textId="655DD42F" w:rsidR="00B82B6A" w:rsidRPr="008354FA" w:rsidRDefault="007A6A64" w:rsidP="00D67EB1">
      <w:pPr>
        <w:tabs>
          <w:tab w:val="left" w:pos="426"/>
        </w:tabs>
        <w:snapToGrid w:val="0"/>
        <w:spacing w:line="240" w:lineRule="auto"/>
        <w:jc w:val="both"/>
        <w:rPr>
          <w:szCs w:val="22"/>
        </w:rPr>
      </w:pPr>
      <w:bookmarkStart w:id="1" w:name="_Hlk126759549"/>
      <w:r>
        <w:rPr>
          <w:szCs w:val="22"/>
        </w:rPr>
        <w:t>S</w:t>
      </w:r>
      <w:r w:rsidR="00B82B6A" w:rsidRPr="008354FA">
        <w:rPr>
          <w:szCs w:val="22"/>
        </w:rPr>
        <w:t>kot</w:t>
      </w:r>
      <w:r>
        <w:rPr>
          <w:szCs w:val="22"/>
        </w:rPr>
        <w:t xml:space="preserve"> (telata)</w:t>
      </w:r>
      <w:r w:rsidR="00B82B6A" w:rsidRPr="008354FA">
        <w:rPr>
          <w:szCs w:val="22"/>
        </w:rPr>
        <w:t xml:space="preserve"> a prasata</w:t>
      </w:r>
      <w:r w:rsidR="008B5976" w:rsidRPr="008354FA">
        <w:rPr>
          <w:szCs w:val="22"/>
        </w:rPr>
        <w:t>.</w:t>
      </w:r>
    </w:p>
    <w:bookmarkEnd w:id="1"/>
    <w:p w14:paraId="052B622E" w14:textId="77777777" w:rsidR="00B82B6A" w:rsidRPr="008354FA" w:rsidRDefault="00B82B6A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F6CD1" w14:textId="595DDA74" w:rsidR="00C114FF" w:rsidRPr="008354FA" w:rsidRDefault="00273FA6" w:rsidP="00D67EB1">
      <w:pPr>
        <w:pStyle w:val="Style1"/>
        <w:jc w:val="both"/>
      </w:pPr>
      <w:r w:rsidRPr="008354FA">
        <w:t>3.2</w:t>
      </w:r>
      <w:r w:rsidRPr="008354FA">
        <w:tab/>
        <w:t xml:space="preserve">Indikace pro použití pro každý cílový druh </w:t>
      </w:r>
      <w:r w:rsidR="0043586F" w:rsidRPr="008354FA">
        <w:t>zvířat</w:t>
      </w:r>
    </w:p>
    <w:p w14:paraId="327E3A6F" w14:textId="77777777" w:rsidR="00C114FF" w:rsidRPr="008354FA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D546DD" w14:textId="77777777" w:rsidR="00B82B6A" w:rsidRPr="008354FA" w:rsidRDefault="00B82B6A" w:rsidP="00D67EB1">
      <w:pPr>
        <w:snapToGrid w:val="0"/>
        <w:spacing w:line="240" w:lineRule="auto"/>
        <w:jc w:val="both"/>
        <w:rPr>
          <w:szCs w:val="22"/>
        </w:rPr>
      </w:pPr>
      <w:bookmarkStart w:id="2" w:name="_Hlk126759561"/>
      <w:r w:rsidRPr="008354FA">
        <w:rPr>
          <w:szCs w:val="22"/>
          <w:u w:val="single"/>
        </w:rPr>
        <w:t>Telata</w:t>
      </w:r>
      <w:r w:rsidRPr="008354FA">
        <w:rPr>
          <w:szCs w:val="22"/>
        </w:rPr>
        <w:t>: podpůrná léčba horečnatých stavů u akutních onemocnění dýchacích cest, v případě potřeby též v kombinaci s příslušnou (např. protiinfekční) léčbou.</w:t>
      </w:r>
    </w:p>
    <w:p w14:paraId="4B0C472E" w14:textId="033891E5" w:rsidR="00B82B6A" w:rsidRPr="008354FA" w:rsidRDefault="00B82B6A" w:rsidP="00D67EB1">
      <w:pPr>
        <w:snapToGrid w:val="0"/>
        <w:spacing w:line="240" w:lineRule="auto"/>
        <w:jc w:val="both"/>
        <w:rPr>
          <w:szCs w:val="22"/>
        </w:rPr>
      </w:pPr>
      <w:r w:rsidRPr="008354FA">
        <w:rPr>
          <w:szCs w:val="22"/>
          <w:u w:val="single"/>
        </w:rPr>
        <w:t>Prasata</w:t>
      </w:r>
      <w:r w:rsidRPr="008354FA">
        <w:rPr>
          <w:szCs w:val="22"/>
        </w:rPr>
        <w:t>: léčb</w:t>
      </w:r>
      <w:r w:rsidR="007A6A64">
        <w:rPr>
          <w:szCs w:val="22"/>
        </w:rPr>
        <w:t>a</w:t>
      </w:r>
      <w:r w:rsidRPr="008354FA">
        <w:rPr>
          <w:szCs w:val="22"/>
        </w:rPr>
        <w:t xml:space="preserve"> zánětů v kombinaci se souběžnou antibiotickou léčbou.</w:t>
      </w:r>
    </w:p>
    <w:bookmarkEnd w:id="2"/>
    <w:p w14:paraId="45A9E78C" w14:textId="77777777" w:rsidR="00E86CEE" w:rsidRPr="008354FA" w:rsidRDefault="00E86CEE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24B702" w14:textId="77777777" w:rsidR="00C114FF" w:rsidRPr="008354FA" w:rsidRDefault="00273FA6" w:rsidP="00D67EB1">
      <w:pPr>
        <w:pStyle w:val="Style1"/>
        <w:jc w:val="both"/>
      </w:pPr>
      <w:r w:rsidRPr="008354FA">
        <w:t>3.3</w:t>
      </w:r>
      <w:r w:rsidRPr="008354FA">
        <w:tab/>
        <w:t>Kontraindikace</w:t>
      </w:r>
    </w:p>
    <w:p w14:paraId="758D96B3" w14:textId="30DDAE04" w:rsidR="00C114FF" w:rsidRPr="008354FA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4E56E4" w14:textId="77777777" w:rsidR="00B82B6A" w:rsidRPr="008354FA" w:rsidRDefault="00B82B6A" w:rsidP="00D67EB1">
      <w:pPr>
        <w:snapToGrid w:val="0"/>
        <w:spacing w:line="240" w:lineRule="auto"/>
        <w:jc w:val="both"/>
        <w:rPr>
          <w:szCs w:val="22"/>
        </w:rPr>
      </w:pPr>
      <w:bookmarkStart w:id="3" w:name="_Hlk126759575"/>
      <w:r w:rsidRPr="008354FA">
        <w:rPr>
          <w:szCs w:val="22"/>
        </w:rPr>
        <w:t xml:space="preserve">Nepodávat v případě závažné </w:t>
      </w:r>
      <w:r w:rsidRPr="008354FA">
        <w:rPr>
          <w:bCs/>
          <w:szCs w:val="22"/>
        </w:rPr>
        <w:t xml:space="preserve">hypoproteinémie, </w:t>
      </w:r>
      <w:r w:rsidRPr="008354FA">
        <w:rPr>
          <w:szCs w:val="22"/>
        </w:rPr>
        <w:t xml:space="preserve">onemocnění jater a ledvin.  </w:t>
      </w:r>
    </w:p>
    <w:p w14:paraId="23685447" w14:textId="77777777" w:rsidR="00B82B6A" w:rsidRPr="008354FA" w:rsidRDefault="00B82B6A" w:rsidP="00D67EB1">
      <w:pPr>
        <w:snapToGrid w:val="0"/>
        <w:spacing w:line="240" w:lineRule="auto"/>
        <w:ind w:right="-51"/>
        <w:jc w:val="both"/>
        <w:rPr>
          <w:szCs w:val="22"/>
        </w:rPr>
      </w:pPr>
      <w:r w:rsidRPr="008354FA">
        <w:rPr>
          <w:szCs w:val="22"/>
        </w:rPr>
        <w:t>Nepodávat v případě gastrointestinálních ulcerací a chronických gastrointestinálních poruch.</w:t>
      </w:r>
    </w:p>
    <w:p w14:paraId="7475ED66" w14:textId="581EE244" w:rsidR="00B82B6A" w:rsidRPr="008354FA" w:rsidRDefault="00B82B6A" w:rsidP="008354FA">
      <w:pPr>
        <w:tabs>
          <w:tab w:val="left" w:pos="-720"/>
        </w:tabs>
        <w:suppressAutoHyphens/>
        <w:snapToGrid w:val="0"/>
        <w:spacing w:line="240" w:lineRule="auto"/>
        <w:jc w:val="both"/>
        <w:rPr>
          <w:szCs w:val="22"/>
        </w:rPr>
      </w:pPr>
      <w:r w:rsidRPr="008354FA">
        <w:rPr>
          <w:szCs w:val="22"/>
        </w:rPr>
        <w:t xml:space="preserve">Nepodávat v případě narušené funkce hematopoetického systému, </w:t>
      </w:r>
      <w:proofErr w:type="spellStart"/>
      <w:r w:rsidRPr="008354FA">
        <w:rPr>
          <w:szCs w:val="22"/>
        </w:rPr>
        <w:t>koagulopatie</w:t>
      </w:r>
      <w:proofErr w:type="spellEnd"/>
      <w:r w:rsidRPr="008354FA">
        <w:rPr>
          <w:szCs w:val="22"/>
        </w:rPr>
        <w:t>, hemoragick</w:t>
      </w:r>
      <w:r w:rsidR="007A6A64">
        <w:rPr>
          <w:szCs w:val="22"/>
        </w:rPr>
        <w:t>é</w:t>
      </w:r>
      <w:r w:rsidRPr="008354FA">
        <w:rPr>
          <w:szCs w:val="22"/>
        </w:rPr>
        <w:t xml:space="preserve"> diatéz</w:t>
      </w:r>
      <w:r w:rsidR="00E07CD8">
        <w:rPr>
          <w:szCs w:val="22"/>
        </w:rPr>
        <w:t>y</w:t>
      </w:r>
      <w:r w:rsidRPr="008354FA">
        <w:rPr>
          <w:szCs w:val="22"/>
        </w:rPr>
        <w:t xml:space="preserve">. </w:t>
      </w:r>
    </w:p>
    <w:p w14:paraId="6B215870" w14:textId="33DB24C5" w:rsidR="00B82B6A" w:rsidRPr="008354FA" w:rsidRDefault="00B82B6A" w:rsidP="008354FA">
      <w:pPr>
        <w:tabs>
          <w:tab w:val="left" w:pos="-720"/>
        </w:tabs>
        <w:suppressAutoHyphens/>
        <w:snapToGrid w:val="0"/>
        <w:spacing w:line="240" w:lineRule="auto"/>
        <w:jc w:val="both"/>
        <w:rPr>
          <w:szCs w:val="22"/>
        </w:rPr>
      </w:pPr>
      <w:r w:rsidRPr="008354FA">
        <w:rPr>
          <w:szCs w:val="22"/>
        </w:rPr>
        <w:t>Nepoužív</w:t>
      </w:r>
      <w:r w:rsidR="007A6A64">
        <w:rPr>
          <w:szCs w:val="22"/>
        </w:rPr>
        <w:t>at</w:t>
      </w:r>
      <w:r w:rsidRPr="008354FA">
        <w:rPr>
          <w:szCs w:val="22"/>
        </w:rPr>
        <w:t xml:space="preserve"> salicylan sodný u novorozených telat nebo u telat mladších než 2 týdny.</w:t>
      </w:r>
    </w:p>
    <w:p w14:paraId="794AC096" w14:textId="1C671AAF" w:rsidR="00B82B6A" w:rsidRPr="008354FA" w:rsidRDefault="00B82B6A" w:rsidP="00D67EB1">
      <w:pPr>
        <w:snapToGrid w:val="0"/>
        <w:spacing w:line="240" w:lineRule="auto"/>
        <w:ind w:right="-51"/>
        <w:jc w:val="both"/>
        <w:rPr>
          <w:szCs w:val="22"/>
        </w:rPr>
      </w:pPr>
      <w:r w:rsidRPr="008354FA">
        <w:rPr>
          <w:szCs w:val="22"/>
        </w:rPr>
        <w:t>Nepoužív</w:t>
      </w:r>
      <w:r w:rsidR="007A6A64">
        <w:rPr>
          <w:szCs w:val="22"/>
        </w:rPr>
        <w:t>a</w:t>
      </w:r>
      <w:r w:rsidRPr="008354FA">
        <w:rPr>
          <w:szCs w:val="22"/>
        </w:rPr>
        <w:t xml:space="preserve">t u selat mladších než 4 týdny.  </w:t>
      </w:r>
    </w:p>
    <w:p w14:paraId="205AC253" w14:textId="77777777" w:rsidR="000503FC" w:rsidRPr="008354FA" w:rsidRDefault="000503FC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354FA">
        <w:rPr>
          <w:szCs w:val="22"/>
        </w:rPr>
        <w:t>Nepoužívat v případech přecitlivělosti na léčivou látku.</w:t>
      </w:r>
    </w:p>
    <w:bookmarkEnd w:id="3"/>
    <w:p w14:paraId="54C2FA76" w14:textId="77777777" w:rsidR="00C114FF" w:rsidRPr="008354FA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0F6F03" w14:textId="77777777" w:rsidR="00C114FF" w:rsidRPr="008354FA" w:rsidRDefault="00273FA6" w:rsidP="00D67EB1">
      <w:pPr>
        <w:pStyle w:val="Style1"/>
        <w:jc w:val="both"/>
      </w:pPr>
      <w:r w:rsidRPr="008354FA">
        <w:t>3.4</w:t>
      </w:r>
      <w:r w:rsidRPr="008354FA">
        <w:tab/>
        <w:t>Zvláštní upozornění</w:t>
      </w:r>
    </w:p>
    <w:p w14:paraId="153A412F" w14:textId="77777777" w:rsidR="00B82B6A" w:rsidRPr="008354FA" w:rsidRDefault="00B82B6A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E35840" w14:textId="7B5FCA48" w:rsidR="00B82B6A" w:rsidRPr="008354FA" w:rsidRDefault="00B82B6A" w:rsidP="00D67EB1">
      <w:pPr>
        <w:snapToGrid w:val="0"/>
        <w:spacing w:line="240" w:lineRule="auto"/>
        <w:jc w:val="both"/>
        <w:rPr>
          <w:szCs w:val="22"/>
        </w:rPr>
      </w:pPr>
      <w:bookmarkStart w:id="4" w:name="_Hlk126759595"/>
      <w:r w:rsidRPr="008354FA">
        <w:rPr>
          <w:szCs w:val="22"/>
        </w:rPr>
        <w:t>Nejsou.</w:t>
      </w:r>
    </w:p>
    <w:bookmarkEnd w:id="4"/>
    <w:p w14:paraId="7D798E15" w14:textId="77777777" w:rsidR="00E86CEE" w:rsidRPr="008354FA" w:rsidRDefault="00E86CEE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4CC7AC" w14:textId="77777777" w:rsidR="00C114FF" w:rsidRPr="008354FA" w:rsidRDefault="00273FA6" w:rsidP="00D67EB1">
      <w:pPr>
        <w:pStyle w:val="Style1"/>
        <w:jc w:val="both"/>
      </w:pPr>
      <w:r w:rsidRPr="008354FA">
        <w:t>3.5</w:t>
      </w:r>
      <w:r w:rsidRPr="008354FA">
        <w:tab/>
        <w:t>Zvláštní opatření pro použití</w:t>
      </w:r>
    </w:p>
    <w:p w14:paraId="0B94D7B2" w14:textId="77777777" w:rsidR="00C114FF" w:rsidRPr="008354FA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2382B5" w14:textId="77777777" w:rsidR="00C114FF" w:rsidRPr="008354FA" w:rsidRDefault="00273FA6" w:rsidP="00D67EB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354FA">
        <w:rPr>
          <w:szCs w:val="22"/>
          <w:u w:val="single"/>
        </w:rPr>
        <w:t>Zvláštní opatření pro bezpečné použití u cílových druhů zvířat:</w:t>
      </w:r>
    </w:p>
    <w:p w14:paraId="1A1DD097" w14:textId="77777777" w:rsidR="00B82B6A" w:rsidRPr="008354FA" w:rsidRDefault="00B82B6A" w:rsidP="00D67EB1">
      <w:pPr>
        <w:snapToGrid w:val="0"/>
        <w:spacing w:line="240" w:lineRule="auto"/>
        <w:jc w:val="both"/>
        <w:rPr>
          <w:szCs w:val="22"/>
        </w:rPr>
      </w:pPr>
      <w:bookmarkStart w:id="5" w:name="_Hlk126759609"/>
      <w:r w:rsidRPr="008354FA">
        <w:rPr>
          <w:szCs w:val="22"/>
        </w:rPr>
        <w:t>Protože salicylát sodný může inhibovat srážení krve, doporučuje se neprovádět elektivní chirurgické výkony na zvířatech v průběhu 7 dnů po ukončení léčby.</w:t>
      </w:r>
    </w:p>
    <w:bookmarkEnd w:id="5"/>
    <w:p w14:paraId="117F609A" w14:textId="77777777" w:rsidR="00C114FF" w:rsidRPr="008354FA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9A9E4" w14:textId="77777777" w:rsidR="00C114FF" w:rsidRPr="008354FA" w:rsidRDefault="00273FA6" w:rsidP="00D67EB1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354FA">
        <w:rPr>
          <w:szCs w:val="22"/>
          <w:u w:val="single"/>
        </w:rPr>
        <w:t>Zvláštní opatření pro osobu, která podává veterinární léčivý přípravek zvířatům:</w:t>
      </w:r>
    </w:p>
    <w:p w14:paraId="78B18AF2" w14:textId="77777777" w:rsidR="00B82B6A" w:rsidRPr="008354FA" w:rsidRDefault="00B82B6A" w:rsidP="00D67EB1">
      <w:pPr>
        <w:snapToGrid w:val="0"/>
        <w:spacing w:line="240" w:lineRule="auto"/>
        <w:jc w:val="both"/>
        <w:rPr>
          <w:b/>
          <w:bCs/>
          <w:szCs w:val="22"/>
        </w:rPr>
      </w:pPr>
      <w:bookmarkStart w:id="6" w:name="_Hlk126759631"/>
      <w:r w:rsidRPr="008354FA">
        <w:rPr>
          <w:szCs w:val="22"/>
        </w:rPr>
        <w:t>Lidé se známou přecitlivělostí na salicylát sodný či obdobné látky (např. aspirin) by se měli vyhnout kontaktu s veterinárním léčivým přípravkem.</w:t>
      </w:r>
    </w:p>
    <w:p w14:paraId="2D289FC9" w14:textId="012F4E1F" w:rsidR="002302A4" w:rsidRPr="008354FA" w:rsidRDefault="00B82B6A" w:rsidP="00D67EB1">
      <w:pPr>
        <w:snapToGrid w:val="0"/>
        <w:spacing w:line="240" w:lineRule="auto"/>
        <w:jc w:val="both"/>
        <w:rPr>
          <w:szCs w:val="22"/>
        </w:rPr>
      </w:pPr>
      <w:r w:rsidRPr="008354FA">
        <w:rPr>
          <w:szCs w:val="22"/>
        </w:rPr>
        <w:t xml:space="preserve">Může dojít k podráždění kůže, očí a dýchacích cest. Zabraňte přímému </w:t>
      </w:r>
      <w:r w:rsidR="002302A4" w:rsidRPr="008354FA">
        <w:rPr>
          <w:szCs w:val="22"/>
        </w:rPr>
        <w:t>kontaktu</w:t>
      </w:r>
      <w:r w:rsidRPr="008354FA">
        <w:rPr>
          <w:szCs w:val="22"/>
        </w:rPr>
        <w:t xml:space="preserve"> s kůží, očima a</w:t>
      </w:r>
      <w:r w:rsidR="002302A4" w:rsidRPr="008354FA">
        <w:rPr>
          <w:szCs w:val="22"/>
        </w:rPr>
        <w:t> </w:t>
      </w:r>
      <w:r w:rsidRPr="008354FA">
        <w:rPr>
          <w:szCs w:val="22"/>
        </w:rPr>
        <w:t xml:space="preserve">vdechování prášku během přípravy a míchání </w:t>
      </w:r>
      <w:r w:rsidR="002302A4" w:rsidRPr="008354FA">
        <w:rPr>
          <w:szCs w:val="22"/>
        </w:rPr>
        <w:t xml:space="preserve">veterinárního léčivého </w:t>
      </w:r>
      <w:r w:rsidRPr="008354FA">
        <w:rPr>
          <w:szCs w:val="22"/>
        </w:rPr>
        <w:t xml:space="preserve">přípravku. </w:t>
      </w:r>
      <w:bookmarkStart w:id="7" w:name="_Hlk150356791"/>
      <w:r w:rsidR="002302A4" w:rsidRPr="008354FA">
        <w:rPr>
          <w:szCs w:val="22"/>
        </w:rPr>
        <w:t>Při nakládání s veterinárním léčivým přípravkem by se měly používat osobní ochranné prostředky skládající se z rukavic, ochranných brýlí a respirátoru.</w:t>
      </w:r>
      <w:bookmarkEnd w:id="7"/>
    </w:p>
    <w:p w14:paraId="2C198178" w14:textId="328611CC" w:rsidR="008354FA" w:rsidRDefault="00B82B6A" w:rsidP="008354FA">
      <w:pPr>
        <w:snapToGrid w:val="0"/>
        <w:spacing w:line="240" w:lineRule="auto"/>
        <w:jc w:val="both"/>
        <w:rPr>
          <w:szCs w:val="22"/>
        </w:rPr>
      </w:pPr>
      <w:r w:rsidRPr="008354FA">
        <w:rPr>
          <w:szCs w:val="22"/>
        </w:rPr>
        <w:t xml:space="preserve">V případě náhodného potřísnění kůže </w:t>
      </w:r>
      <w:r w:rsidR="002302A4" w:rsidRPr="008354FA">
        <w:rPr>
          <w:szCs w:val="22"/>
        </w:rPr>
        <w:t xml:space="preserve">ji ihned </w:t>
      </w:r>
      <w:r w:rsidRPr="008354FA">
        <w:rPr>
          <w:szCs w:val="22"/>
        </w:rPr>
        <w:t>opláchněte vodou.</w:t>
      </w:r>
    </w:p>
    <w:p w14:paraId="70F53635" w14:textId="3F9E1FFA" w:rsidR="008354FA" w:rsidRDefault="00B82B6A" w:rsidP="008354FA">
      <w:pPr>
        <w:snapToGrid w:val="0"/>
        <w:spacing w:line="240" w:lineRule="auto"/>
        <w:jc w:val="both"/>
        <w:rPr>
          <w:szCs w:val="22"/>
        </w:rPr>
      </w:pPr>
      <w:r w:rsidRPr="008354FA">
        <w:rPr>
          <w:szCs w:val="22"/>
        </w:rPr>
        <w:t xml:space="preserve">V případě náhodného vniknutí do očí se </w:t>
      </w:r>
      <w:r w:rsidR="00A24CFA" w:rsidRPr="008354FA">
        <w:rPr>
          <w:szCs w:val="22"/>
        </w:rPr>
        <w:t xml:space="preserve">uživateli </w:t>
      </w:r>
      <w:r w:rsidRPr="008354FA">
        <w:rPr>
          <w:szCs w:val="22"/>
        </w:rPr>
        <w:t xml:space="preserve">doporučuje </w:t>
      </w:r>
      <w:r w:rsidR="00A24CFA" w:rsidRPr="008354FA">
        <w:rPr>
          <w:szCs w:val="22"/>
        </w:rPr>
        <w:t xml:space="preserve">je </w:t>
      </w:r>
      <w:r w:rsidRPr="008354FA">
        <w:rPr>
          <w:szCs w:val="22"/>
        </w:rPr>
        <w:t>proplachovat velkým množstvím vody po dobu 15 minut</w:t>
      </w:r>
      <w:r w:rsidR="00A24CFA" w:rsidRPr="00A4353F">
        <w:rPr>
          <w:szCs w:val="22"/>
        </w:rPr>
        <w:t>,</w:t>
      </w:r>
      <w:r w:rsidRPr="00A4353F">
        <w:rPr>
          <w:szCs w:val="22"/>
        </w:rPr>
        <w:t xml:space="preserve"> a pokud podráždění přetrvává, vyhled</w:t>
      </w:r>
      <w:r w:rsidR="00A24CFA" w:rsidRPr="00A4353F">
        <w:rPr>
          <w:szCs w:val="22"/>
        </w:rPr>
        <w:t>ejte</w:t>
      </w:r>
      <w:r w:rsidRPr="00A4353F">
        <w:rPr>
          <w:szCs w:val="22"/>
        </w:rPr>
        <w:t xml:space="preserve"> lékařskou pomoc.</w:t>
      </w:r>
    </w:p>
    <w:p w14:paraId="4E2C6D9C" w14:textId="303D92D6" w:rsidR="00B82B6A" w:rsidRPr="00D75D3E" w:rsidRDefault="00B82B6A" w:rsidP="008354FA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lastRenderedPageBreak/>
        <w:t xml:space="preserve">Během podávání medikované pitné vody či mléka (náhražky) zvířatům </w:t>
      </w:r>
      <w:r w:rsidR="00A24CFA">
        <w:rPr>
          <w:szCs w:val="22"/>
        </w:rPr>
        <w:t>zabraňte</w:t>
      </w:r>
      <w:r w:rsidRPr="00D75D3E">
        <w:rPr>
          <w:szCs w:val="22"/>
        </w:rPr>
        <w:t xml:space="preserve"> kontaktu s kůží použitím rukavic. Náhodně zasaženou kůži ihned opláchněte vodou.</w:t>
      </w:r>
    </w:p>
    <w:bookmarkEnd w:id="6"/>
    <w:p w14:paraId="7D364D19" w14:textId="77777777" w:rsidR="00C114FF" w:rsidRPr="00D75D3E" w:rsidRDefault="00C114F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D75D3E" w:rsidRDefault="00273FA6" w:rsidP="00D67EB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75D3E">
        <w:rPr>
          <w:szCs w:val="22"/>
          <w:u w:val="single"/>
        </w:rPr>
        <w:t>Zvláštní opatření pro ochranu životního prostředí:</w:t>
      </w:r>
    </w:p>
    <w:p w14:paraId="7299AF40" w14:textId="09FD2BB2" w:rsidR="00C114FF" w:rsidRPr="00D75D3E" w:rsidRDefault="00273FA6" w:rsidP="008354FA">
      <w:pPr>
        <w:tabs>
          <w:tab w:val="clear" w:pos="567"/>
        </w:tabs>
        <w:spacing w:line="240" w:lineRule="auto"/>
        <w:rPr>
          <w:szCs w:val="22"/>
        </w:rPr>
      </w:pPr>
      <w:bookmarkStart w:id="8" w:name="_Hlk126759659"/>
      <w:r w:rsidRPr="00D75D3E">
        <w:rPr>
          <w:szCs w:val="22"/>
        </w:rPr>
        <w:t>Neuplatňuje se.</w:t>
      </w:r>
    </w:p>
    <w:bookmarkEnd w:id="8"/>
    <w:p w14:paraId="309A1DB9" w14:textId="77777777" w:rsidR="00295140" w:rsidRPr="00D75D3E" w:rsidRDefault="00295140" w:rsidP="008354FA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D75D3E" w:rsidRDefault="00273FA6" w:rsidP="00A4353F">
      <w:pPr>
        <w:pStyle w:val="Style1"/>
      </w:pPr>
      <w:r w:rsidRPr="00D75D3E">
        <w:t>3.6</w:t>
      </w:r>
      <w:r w:rsidRPr="00D75D3E">
        <w:tab/>
        <w:t>Nežádoucí účinky</w:t>
      </w:r>
    </w:p>
    <w:p w14:paraId="7188F555" w14:textId="77777777" w:rsidR="00B82B6A" w:rsidRPr="00D75D3E" w:rsidRDefault="00B82B6A" w:rsidP="008354FA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61D32D8E" w:rsidR="00295140" w:rsidRDefault="007A6A64" w:rsidP="00D67EB1">
      <w:pPr>
        <w:tabs>
          <w:tab w:val="left" w:pos="426"/>
        </w:tabs>
        <w:snapToGrid w:val="0"/>
        <w:spacing w:line="240" w:lineRule="auto"/>
        <w:rPr>
          <w:szCs w:val="22"/>
        </w:rPr>
      </w:pPr>
      <w:bookmarkStart w:id="9" w:name="_Hlk126761250"/>
      <w:r>
        <w:rPr>
          <w:szCs w:val="22"/>
        </w:rPr>
        <w:t>S</w:t>
      </w:r>
      <w:r w:rsidR="00D75D3E" w:rsidRPr="00D75D3E">
        <w:rPr>
          <w:szCs w:val="22"/>
        </w:rPr>
        <w:t>kot</w:t>
      </w:r>
      <w:r>
        <w:rPr>
          <w:szCs w:val="22"/>
        </w:rPr>
        <w:t xml:space="preserve"> (telata)</w:t>
      </w:r>
      <w:r w:rsidR="00D75D3E" w:rsidRPr="00D75D3E">
        <w:rPr>
          <w:szCs w:val="22"/>
        </w:rPr>
        <w:t xml:space="preserve"> a prasata</w:t>
      </w:r>
      <w:r w:rsidR="00D75D3E">
        <w:rPr>
          <w:szCs w:val="22"/>
        </w:rPr>
        <w:t>:</w:t>
      </w:r>
    </w:p>
    <w:bookmarkEnd w:id="9"/>
    <w:p w14:paraId="206672E9" w14:textId="77777777" w:rsidR="00D75D3E" w:rsidRPr="00D75D3E" w:rsidRDefault="00D75D3E" w:rsidP="00D67EB1">
      <w:pPr>
        <w:tabs>
          <w:tab w:val="left" w:pos="426"/>
        </w:tabs>
        <w:snapToGrid w:val="0"/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F60ED" w:rsidRPr="00D75D3E" w14:paraId="2A97D209" w14:textId="77777777" w:rsidTr="008354FA">
        <w:tc>
          <w:tcPr>
            <w:tcW w:w="1957" w:type="pct"/>
          </w:tcPr>
          <w:p w14:paraId="78E246FA" w14:textId="3925BB96" w:rsidR="00D75D3E" w:rsidRPr="00D75D3E" w:rsidRDefault="000503FC" w:rsidP="00D67EB1">
            <w:pPr>
              <w:spacing w:before="60" w:after="60" w:line="240" w:lineRule="auto"/>
              <w:rPr>
                <w:szCs w:val="22"/>
              </w:rPr>
            </w:pPr>
            <w:bookmarkStart w:id="10" w:name="_Hlk126753751"/>
            <w:r w:rsidRPr="00D75D3E">
              <w:rPr>
                <w:szCs w:val="22"/>
              </w:rPr>
              <w:t>Ne</w:t>
            </w:r>
            <w:r w:rsidR="007A6A64">
              <w:rPr>
                <w:szCs w:val="22"/>
              </w:rPr>
              <w:t>známá</w:t>
            </w:r>
            <w:r w:rsidRPr="00D75D3E">
              <w:rPr>
                <w:szCs w:val="22"/>
              </w:rPr>
              <w:t xml:space="preserve"> četnost (z dostupných údajů nelze určit):</w:t>
            </w:r>
          </w:p>
        </w:tc>
        <w:tc>
          <w:tcPr>
            <w:tcW w:w="3043" w:type="pct"/>
            <w:hideMark/>
          </w:tcPr>
          <w:p w14:paraId="6F1B3217" w14:textId="742FC462" w:rsidR="007A6A64" w:rsidRDefault="00F51548">
            <w:pPr>
              <w:spacing w:before="60" w:after="60" w:line="240" w:lineRule="auto"/>
              <w:rPr>
                <w:szCs w:val="22"/>
              </w:rPr>
            </w:pPr>
            <w:r w:rsidRPr="00F51548">
              <w:rPr>
                <w:szCs w:val="22"/>
              </w:rPr>
              <w:t xml:space="preserve">Gastrointestinální </w:t>
            </w:r>
            <w:proofErr w:type="spellStart"/>
            <w:r w:rsidRPr="00F51548">
              <w:rPr>
                <w:szCs w:val="22"/>
              </w:rPr>
              <w:t>podráždění</w:t>
            </w:r>
            <w:r w:rsidRPr="00A03F6E">
              <w:rPr>
                <w:szCs w:val="22"/>
                <w:vertAlign w:val="superscript"/>
              </w:rPr>
              <w:t>a</w:t>
            </w:r>
            <w:proofErr w:type="spellEnd"/>
            <w:r w:rsidRPr="00F51548">
              <w:rPr>
                <w:szCs w:val="22"/>
              </w:rPr>
              <w:t xml:space="preserve"> (dehtovitá nebo černá </w:t>
            </w:r>
            <w:proofErr w:type="spellStart"/>
            <w:r w:rsidRPr="00F51548">
              <w:rPr>
                <w:szCs w:val="22"/>
              </w:rPr>
              <w:t>stolice</w:t>
            </w:r>
            <w:r w:rsidRPr="00A03F6E">
              <w:rPr>
                <w:szCs w:val="22"/>
                <w:vertAlign w:val="superscript"/>
              </w:rPr>
              <w:t>a+b</w:t>
            </w:r>
            <w:proofErr w:type="spellEnd"/>
            <w:r w:rsidRPr="00F51548">
              <w:rPr>
                <w:szCs w:val="22"/>
              </w:rPr>
              <w:t>)</w:t>
            </w:r>
          </w:p>
          <w:p w14:paraId="1BC9DFB5" w14:textId="498BA608" w:rsidR="00D75D3E" w:rsidRPr="00D75D3E" w:rsidRDefault="00F51548" w:rsidP="00D67EB1">
            <w:pPr>
              <w:spacing w:before="60" w:after="60" w:line="240" w:lineRule="auto"/>
              <w:rPr>
                <w:iCs/>
                <w:szCs w:val="22"/>
              </w:rPr>
            </w:pPr>
            <w:r w:rsidRPr="00F51548">
              <w:rPr>
                <w:szCs w:val="22"/>
              </w:rPr>
              <w:t xml:space="preserve">Prodloužené </w:t>
            </w:r>
            <w:proofErr w:type="spellStart"/>
            <w:r w:rsidRPr="00F51548">
              <w:rPr>
                <w:szCs w:val="22"/>
              </w:rPr>
              <w:t>krvácení</w:t>
            </w:r>
            <w:r w:rsidRPr="00A03F6E">
              <w:rPr>
                <w:szCs w:val="22"/>
                <w:vertAlign w:val="superscript"/>
              </w:rPr>
              <w:t>c</w:t>
            </w:r>
            <w:proofErr w:type="spellEnd"/>
            <w:r>
              <w:rPr>
                <w:szCs w:val="22"/>
              </w:rPr>
              <w:t xml:space="preserve"> </w:t>
            </w:r>
          </w:p>
        </w:tc>
      </w:tr>
    </w:tbl>
    <w:p w14:paraId="1921272F" w14:textId="0DDE6AC8" w:rsidR="00F51548" w:rsidRPr="00F51548" w:rsidRDefault="00F51548" w:rsidP="008354FA">
      <w:pPr>
        <w:tabs>
          <w:tab w:val="clear" w:pos="567"/>
        </w:tabs>
        <w:spacing w:line="240" w:lineRule="auto"/>
        <w:rPr>
          <w:iCs/>
          <w:szCs w:val="22"/>
        </w:rPr>
      </w:pPr>
      <w:bookmarkStart w:id="11" w:name="_Hlk126761314"/>
      <w:bookmarkEnd w:id="10"/>
      <w:r w:rsidRPr="00D67EB1">
        <w:rPr>
          <w:iCs/>
          <w:szCs w:val="22"/>
          <w:vertAlign w:val="superscript"/>
        </w:rPr>
        <w:t xml:space="preserve">a </w:t>
      </w:r>
      <w:r w:rsidRPr="00F51548">
        <w:rPr>
          <w:iCs/>
          <w:szCs w:val="22"/>
        </w:rPr>
        <w:t>zejména u zvířat s již existujícím gastrointestinálním onemocněním.</w:t>
      </w:r>
    </w:p>
    <w:p w14:paraId="27E8E701" w14:textId="214153F0" w:rsidR="00F51548" w:rsidRPr="00F51548" w:rsidRDefault="00F51548" w:rsidP="008354FA">
      <w:pPr>
        <w:tabs>
          <w:tab w:val="clear" w:pos="567"/>
        </w:tabs>
        <w:spacing w:line="240" w:lineRule="auto"/>
        <w:rPr>
          <w:iCs/>
          <w:szCs w:val="22"/>
        </w:rPr>
      </w:pPr>
      <w:r w:rsidRPr="00D67EB1">
        <w:rPr>
          <w:iCs/>
          <w:szCs w:val="22"/>
          <w:vertAlign w:val="superscript"/>
        </w:rPr>
        <w:t>b</w:t>
      </w:r>
      <w:r w:rsidRPr="00F51548">
        <w:rPr>
          <w:iCs/>
          <w:szCs w:val="22"/>
        </w:rPr>
        <w:t xml:space="preserve"> v důsledku krvácení v gastrointestinálním traktu.</w:t>
      </w:r>
    </w:p>
    <w:p w14:paraId="1D616E5A" w14:textId="6B7EA96B" w:rsidR="00295140" w:rsidRPr="00F51548" w:rsidRDefault="00F51548" w:rsidP="008354FA">
      <w:pPr>
        <w:tabs>
          <w:tab w:val="clear" w:pos="567"/>
        </w:tabs>
        <w:spacing w:line="240" w:lineRule="auto"/>
        <w:rPr>
          <w:iCs/>
          <w:szCs w:val="22"/>
        </w:rPr>
      </w:pPr>
      <w:r w:rsidRPr="00D67EB1">
        <w:rPr>
          <w:iCs/>
          <w:szCs w:val="22"/>
          <w:vertAlign w:val="superscript"/>
        </w:rPr>
        <w:t>c</w:t>
      </w:r>
      <w:r w:rsidRPr="00F51548">
        <w:rPr>
          <w:iCs/>
          <w:szCs w:val="22"/>
        </w:rPr>
        <w:t xml:space="preserve"> náhodně může dojít k inhibici normálního srážení krve. Tento účinek je reverzibilní a odeznívá přibližně do 7 dnů.</w:t>
      </w:r>
      <w:bookmarkEnd w:id="11"/>
    </w:p>
    <w:p w14:paraId="322F3EE7" w14:textId="77777777" w:rsidR="00F51548" w:rsidRPr="00D75D3E" w:rsidRDefault="00F51548" w:rsidP="008354FA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28BC01AD" w:rsidR="00247A48" w:rsidRPr="00D75D3E" w:rsidRDefault="00273FA6" w:rsidP="00D67EB1">
      <w:pPr>
        <w:spacing w:line="240" w:lineRule="auto"/>
        <w:jc w:val="both"/>
        <w:rPr>
          <w:szCs w:val="22"/>
        </w:rPr>
      </w:pPr>
      <w:bookmarkStart w:id="12" w:name="_Hlk66891708"/>
      <w:r w:rsidRPr="00D75D3E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D75D3E">
        <w:rPr>
          <w:szCs w:val="22"/>
        </w:rPr>
        <w:t>,</w:t>
      </w:r>
      <w:r w:rsidRPr="00D75D3E">
        <w:rPr>
          <w:szCs w:val="22"/>
        </w:rPr>
        <w:t xml:space="preserve"> pokud možno</w:t>
      </w:r>
      <w:r w:rsidR="005272F4" w:rsidRPr="00D75D3E">
        <w:rPr>
          <w:szCs w:val="22"/>
        </w:rPr>
        <w:t>,</w:t>
      </w:r>
      <w:r w:rsidRPr="00D75D3E">
        <w:rPr>
          <w:szCs w:val="22"/>
        </w:rPr>
        <w:t xml:space="preserve"> prostřednictvím veterinárního lékaře</w:t>
      </w:r>
      <w:r w:rsidR="00562715" w:rsidRPr="00D75D3E">
        <w:rPr>
          <w:szCs w:val="22"/>
        </w:rPr>
        <w:t>,</w:t>
      </w:r>
      <w:r w:rsidRPr="00D75D3E">
        <w:rPr>
          <w:szCs w:val="22"/>
        </w:rPr>
        <w:t xml:space="preserve"> buď držiteli rozhodnutí o registraci nebo jeho místnímu zástupci, nebo příslušnému vnitrostátnímu orgánu prostřednictvím národního systému hlášení. </w:t>
      </w:r>
      <w:r w:rsidR="00F51548" w:rsidRPr="00F51548">
        <w:rPr>
          <w:szCs w:val="22"/>
        </w:rPr>
        <w:t>Příslušné kontaktní údaje naleznete na kombinovan</w:t>
      </w:r>
      <w:r w:rsidR="005A3BDA">
        <w:rPr>
          <w:szCs w:val="22"/>
        </w:rPr>
        <w:t>é etiketě</w:t>
      </w:r>
      <w:r w:rsidR="00F51548" w:rsidRPr="00F51548">
        <w:rPr>
          <w:szCs w:val="22"/>
        </w:rPr>
        <w:t xml:space="preserve"> a </w:t>
      </w:r>
      <w:r w:rsidR="005A3BDA">
        <w:rPr>
          <w:szCs w:val="22"/>
        </w:rPr>
        <w:t>příbalové informaci</w:t>
      </w:r>
      <w:r w:rsidR="00F51548" w:rsidRPr="00F51548">
        <w:rPr>
          <w:szCs w:val="22"/>
        </w:rPr>
        <w:t>.</w:t>
      </w:r>
    </w:p>
    <w:bookmarkEnd w:id="12"/>
    <w:p w14:paraId="6871F765" w14:textId="77777777" w:rsidR="00247A48" w:rsidRPr="00D75D3E" w:rsidRDefault="00247A48" w:rsidP="008354FA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D75D3E" w:rsidRDefault="00273FA6" w:rsidP="00D67EB1">
      <w:pPr>
        <w:pStyle w:val="Style1"/>
        <w:jc w:val="both"/>
      </w:pPr>
      <w:r w:rsidRPr="00D75D3E">
        <w:t>3.7</w:t>
      </w:r>
      <w:r w:rsidRPr="00D75D3E">
        <w:tab/>
        <w:t>Použití v průběhu březosti, laktace nebo snášky</w:t>
      </w:r>
    </w:p>
    <w:p w14:paraId="795F12D9" w14:textId="77777777" w:rsidR="008354FA" w:rsidRPr="00D75D3E" w:rsidRDefault="008354FA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729F4D" w14:textId="3C5D8D6E" w:rsidR="00F51548" w:rsidRPr="00B41D57" w:rsidRDefault="00F51548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3" w:name="_Hlk126761970"/>
      <w:bookmarkStart w:id="14" w:name="_Hlk126759752"/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4857B912" w14:textId="4072A433" w:rsidR="00FF1F92" w:rsidRPr="00D75D3E" w:rsidRDefault="00FF1F92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75D3E">
        <w:rPr>
          <w:szCs w:val="22"/>
        </w:rPr>
        <w:t xml:space="preserve">Použití není doporučováno během březosti </w:t>
      </w:r>
      <w:r>
        <w:rPr>
          <w:szCs w:val="22"/>
        </w:rPr>
        <w:t xml:space="preserve">a </w:t>
      </w:r>
      <w:r w:rsidRPr="00D75D3E">
        <w:rPr>
          <w:szCs w:val="22"/>
        </w:rPr>
        <w:t>laktace.</w:t>
      </w:r>
    </w:p>
    <w:bookmarkEnd w:id="13"/>
    <w:p w14:paraId="68E50DD1" w14:textId="77F3C341" w:rsidR="008354FA" w:rsidRDefault="00FF1F92" w:rsidP="008354FA">
      <w:pPr>
        <w:widowControl w:val="0"/>
        <w:suppressAutoHyphens/>
        <w:snapToGrid w:val="0"/>
        <w:spacing w:line="240" w:lineRule="auto"/>
        <w:jc w:val="both"/>
        <w:rPr>
          <w:spacing w:val="-3"/>
          <w:szCs w:val="22"/>
        </w:rPr>
      </w:pPr>
      <w:r>
        <w:rPr>
          <w:spacing w:val="-3"/>
          <w:szCs w:val="22"/>
        </w:rPr>
        <w:t>L</w:t>
      </w:r>
      <w:r w:rsidR="00B82B6A" w:rsidRPr="00D75D3E">
        <w:rPr>
          <w:spacing w:val="-3"/>
          <w:szCs w:val="22"/>
        </w:rPr>
        <w:t xml:space="preserve">aboratorní studie na potkanech prokázaly teratogenní a </w:t>
      </w:r>
      <w:proofErr w:type="spellStart"/>
      <w:r w:rsidR="00B82B6A" w:rsidRPr="00D75D3E">
        <w:rPr>
          <w:spacing w:val="-3"/>
          <w:szCs w:val="22"/>
        </w:rPr>
        <w:t>fetotoxický</w:t>
      </w:r>
      <w:proofErr w:type="spellEnd"/>
      <w:r w:rsidR="00B82B6A" w:rsidRPr="00D75D3E">
        <w:rPr>
          <w:spacing w:val="-3"/>
          <w:szCs w:val="22"/>
        </w:rPr>
        <w:t xml:space="preserve"> </w:t>
      </w:r>
      <w:bookmarkStart w:id="15" w:name="_Hlk126761995"/>
      <w:r w:rsidRPr="00D75D3E">
        <w:rPr>
          <w:szCs w:val="22"/>
        </w:rPr>
        <w:t>účinek</w:t>
      </w:r>
      <w:bookmarkEnd w:id="15"/>
      <w:r w:rsidR="00B82B6A" w:rsidRPr="00D75D3E">
        <w:rPr>
          <w:spacing w:val="-3"/>
          <w:szCs w:val="22"/>
        </w:rPr>
        <w:t>.</w:t>
      </w:r>
    </w:p>
    <w:p w14:paraId="0A677ABA" w14:textId="260398DE" w:rsidR="00B82B6A" w:rsidRPr="00D75D3E" w:rsidRDefault="00B82B6A" w:rsidP="008354FA">
      <w:pPr>
        <w:widowControl w:val="0"/>
        <w:suppressAutoHyphens/>
        <w:snapToGrid w:val="0"/>
        <w:spacing w:line="240" w:lineRule="auto"/>
        <w:jc w:val="both"/>
        <w:rPr>
          <w:spacing w:val="-3"/>
          <w:szCs w:val="22"/>
        </w:rPr>
      </w:pPr>
      <w:r w:rsidRPr="00D75D3E">
        <w:rPr>
          <w:spacing w:val="-3"/>
          <w:szCs w:val="22"/>
        </w:rPr>
        <w:t xml:space="preserve">Kyselina salicylová prochází placentou a je vylučována do mléka. </w:t>
      </w:r>
      <w:r w:rsidR="005A3BDA">
        <w:rPr>
          <w:spacing w:val="-3"/>
          <w:szCs w:val="22"/>
        </w:rPr>
        <w:t>Biologický p</w:t>
      </w:r>
      <w:r w:rsidRPr="00D75D3E">
        <w:rPr>
          <w:spacing w:val="-3"/>
          <w:szCs w:val="22"/>
        </w:rPr>
        <w:t>oločas u novorozenců je delší, a proto se mohou příznaky toxicity objevit mnohem dříve. Mimo to inhibuje agregaci destiček a prodlužuje dobu krvácení, což je nepříznivou okolností během obtížného porodu nebo porodu císařským řezem. Nakonec některé studie naznačují, že se porod opožďuje.</w:t>
      </w:r>
    </w:p>
    <w:bookmarkEnd w:id="14"/>
    <w:p w14:paraId="45A16993" w14:textId="77777777" w:rsidR="00C114FF" w:rsidRPr="00D75D3E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7777777" w:rsidR="00C114FF" w:rsidRPr="00D75D3E" w:rsidRDefault="00273FA6" w:rsidP="00D67EB1">
      <w:pPr>
        <w:pStyle w:val="Style1"/>
        <w:jc w:val="both"/>
      </w:pPr>
      <w:r w:rsidRPr="00D75D3E">
        <w:t>3.8</w:t>
      </w:r>
      <w:r w:rsidRPr="00D75D3E">
        <w:tab/>
        <w:t>Interakce s jinými léčivými přípravky a další formy interakce</w:t>
      </w:r>
    </w:p>
    <w:p w14:paraId="5C41503C" w14:textId="77777777" w:rsidR="00B82B6A" w:rsidRPr="00D75D3E" w:rsidRDefault="00B82B6A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AFEDB4" w14:textId="77777777" w:rsidR="00B82B6A" w:rsidRPr="00D75D3E" w:rsidRDefault="00B82B6A" w:rsidP="00D67EB1">
      <w:pPr>
        <w:snapToGrid w:val="0"/>
        <w:spacing w:line="240" w:lineRule="auto"/>
        <w:jc w:val="both"/>
        <w:rPr>
          <w:szCs w:val="22"/>
        </w:rPr>
      </w:pPr>
      <w:bookmarkStart w:id="16" w:name="_Hlk126759773"/>
      <w:r w:rsidRPr="00D75D3E">
        <w:rPr>
          <w:szCs w:val="22"/>
        </w:rPr>
        <w:t>Nepodávat současně s potenciálně neurotoxickými léčivy (například aminoglykosidy).</w:t>
      </w:r>
    </w:p>
    <w:p w14:paraId="083EFF6A" w14:textId="2557C86E" w:rsidR="00B82B6A" w:rsidRPr="00D75D3E" w:rsidRDefault="00B82B6A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 xml:space="preserve">Kyselina salicylová se silně váže na plazmu (albumin) a soupeří s celou řadou sloučenin </w:t>
      </w:r>
      <w:r w:rsidR="005A3BDA" w:rsidRPr="00D75D3E">
        <w:rPr>
          <w:szCs w:val="22"/>
        </w:rPr>
        <w:t xml:space="preserve">(např. </w:t>
      </w:r>
      <w:proofErr w:type="spellStart"/>
      <w:r w:rsidR="005A3BDA" w:rsidRPr="00D75D3E">
        <w:rPr>
          <w:szCs w:val="22"/>
        </w:rPr>
        <w:t>ketoprofen</w:t>
      </w:r>
      <w:r w:rsidR="005A3BDA">
        <w:rPr>
          <w:szCs w:val="22"/>
        </w:rPr>
        <w:t>em</w:t>
      </w:r>
      <w:proofErr w:type="spellEnd"/>
      <w:r w:rsidR="005A3BDA" w:rsidRPr="00D75D3E">
        <w:rPr>
          <w:szCs w:val="22"/>
        </w:rPr>
        <w:t>)</w:t>
      </w:r>
      <w:r w:rsidR="005A3BDA">
        <w:rPr>
          <w:szCs w:val="22"/>
        </w:rPr>
        <w:t xml:space="preserve"> </w:t>
      </w:r>
      <w:r w:rsidRPr="00D75D3E">
        <w:rPr>
          <w:szCs w:val="22"/>
        </w:rPr>
        <w:t xml:space="preserve">o vazebná místa </w:t>
      </w:r>
      <w:r w:rsidR="005A3BDA">
        <w:rPr>
          <w:szCs w:val="22"/>
        </w:rPr>
        <w:t xml:space="preserve">na </w:t>
      </w:r>
      <w:r w:rsidRPr="00D75D3E">
        <w:rPr>
          <w:szCs w:val="22"/>
        </w:rPr>
        <w:t>plazmatick</w:t>
      </w:r>
      <w:r w:rsidR="005A3BDA">
        <w:rPr>
          <w:szCs w:val="22"/>
        </w:rPr>
        <w:t>é</w:t>
      </w:r>
      <w:r w:rsidRPr="00D75D3E">
        <w:rPr>
          <w:szCs w:val="22"/>
        </w:rPr>
        <w:t xml:space="preserve"> bílkovin</w:t>
      </w:r>
      <w:r w:rsidR="005A3BDA">
        <w:rPr>
          <w:szCs w:val="22"/>
        </w:rPr>
        <w:t>y</w:t>
      </w:r>
      <w:r w:rsidRPr="00D75D3E">
        <w:rPr>
          <w:szCs w:val="22"/>
        </w:rPr>
        <w:t xml:space="preserve">. </w:t>
      </w:r>
    </w:p>
    <w:p w14:paraId="73D943FF" w14:textId="77777777" w:rsidR="00B82B6A" w:rsidRPr="00D75D3E" w:rsidRDefault="00B82B6A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 xml:space="preserve">Uvádí se, že clearance kyseliny salicylové v plazmě roste v kombinaci s kortikosteroidy pravděpodobně kvůli indukci metabolismu kyseliny salicylové. </w:t>
      </w:r>
    </w:p>
    <w:p w14:paraId="0BD3FF1E" w14:textId="33B0ECDE" w:rsidR="008354FA" w:rsidRDefault="00B82B6A" w:rsidP="008354FA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 xml:space="preserve">Současné podávání jiných </w:t>
      </w:r>
      <w:bookmarkStart w:id="17" w:name="_Hlk152756320"/>
      <w:r w:rsidR="00F0537B" w:rsidRPr="00D75D3E">
        <w:rPr>
          <w:szCs w:val="22"/>
        </w:rPr>
        <w:t>nesteroidní</w:t>
      </w:r>
      <w:r w:rsidR="005A3BDA">
        <w:rPr>
          <w:szCs w:val="22"/>
        </w:rPr>
        <w:t>ch</w:t>
      </w:r>
      <w:r w:rsidR="00F0537B" w:rsidRPr="00D75D3E">
        <w:rPr>
          <w:szCs w:val="22"/>
        </w:rPr>
        <w:t xml:space="preserve"> antiflogistik </w:t>
      </w:r>
      <w:bookmarkEnd w:id="17"/>
      <w:r w:rsidR="00F0537B">
        <w:rPr>
          <w:szCs w:val="22"/>
        </w:rPr>
        <w:t>(</w:t>
      </w:r>
      <w:r w:rsidRPr="00D75D3E">
        <w:rPr>
          <w:szCs w:val="22"/>
        </w:rPr>
        <w:t>NSAID</w:t>
      </w:r>
      <w:r w:rsidR="00F0537B">
        <w:rPr>
          <w:szCs w:val="22"/>
        </w:rPr>
        <w:t>)</w:t>
      </w:r>
      <w:r w:rsidRPr="00D75D3E">
        <w:rPr>
          <w:szCs w:val="22"/>
        </w:rPr>
        <w:t xml:space="preserve"> se nedoporučuje kvůli zvýšenému riziku vzniku gastrointestinálních vředů.</w:t>
      </w:r>
    </w:p>
    <w:p w14:paraId="71127A35" w14:textId="3A3FB843" w:rsidR="00B82B6A" w:rsidRPr="00D75D3E" w:rsidRDefault="00B82B6A" w:rsidP="008354FA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>Látky, které ovlivňují srážení krve, by se neměly používat v kombinaci se salicylátem sodným.</w:t>
      </w:r>
    </w:p>
    <w:bookmarkEnd w:id="16"/>
    <w:p w14:paraId="0B86F3A7" w14:textId="77777777" w:rsidR="00C90EDA" w:rsidRPr="00D75D3E" w:rsidRDefault="00C90EDA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D75D3E" w:rsidRDefault="00273FA6" w:rsidP="00D67EB1">
      <w:pPr>
        <w:pStyle w:val="Style1"/>
        <w:jc w:val="both"/>
      </w:pPr>
      <w:r w:rsidRPr="00D75D3E">
        <w:t>3.9</w:t>
      </w:r>
      <w:r w:rsidRPr="00D75D3E">
        <w:tab/>
        <w:t>Cesty podání a dávkování</w:t>
      </w:r>
    </w:p>
    <w:p w14:paraId="6C74C26B" w14:textId="07011DD9" w:rsidR="000D059B" w:rsidRDefault="000D059B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FB5287" w14:textId="01828AC8" w:rsidR="005B229D" w:rsidRPr="00D75D3E" w:rsidRDefault="0007628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8" w:name="_Hlk137812243"/>
      <w:r w:rsidRPr="0007628F">
        <w:rPr>
          <w:szCs w:val="22"/>
        </w:rPr>
        <w:t>Podání v pitné vodě/mléce</w:t>
      </w:r>
      <w:r>
        <w:rPr>
          <w:szCs w:val="22"/>
        </w:rPr>
        <w:t>.</w:t>
      </w:r>
    </w:p>
    <w:p w14:paraId="56536B3F" w14:textId="0812DCAC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bookmarkStart w:id="19" w:name="_Hlk126759807"/>
      <w:bookmarkEnd w:id="18"/>
      <w:r w:rsidRPr="00D75D3E">
        <w:rPr>
          <w:szCs w:val="22"/>
          <w:u w:val="single"/>
        </w:rPr>
        <w:t>Telata:</w:t>
      </w:r>
      <w:r w:rsidRPr="00D75D3E">
        <w:rPr>
          <w:szCs w:val="22"/>
        </w:rPr>
        <w:t xml:space="preserve"> 40 mg salicylátu sodného na kg živé hmotnosti jednou denně po dobu 1 až 3 dnů.</w:t>
      </w:r>
    </w:p>
    <w:p w14:paraId="59462AC6" w14:textId="56A866EF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>Podávání: perorálně v pitné vodě či mléce (náhraž</w:t>
      </w:r>
      <w:r w:rsidR="00E50973">
        <w:rPr>
          <w:szCs w:val="22"/>
        </w:rPr>
        <w:t>ce</w:t>
      </w:r>
      <w:r w:rsidRPr="00D75D3E">
        <w:rPr>
          <w:szCs w:val="22"/>
        </w:rPr>
        <w:t>).</w:t>
      </w:r>
    </w:p>
    <w:p w14:paraId="10585822" w14:textId="1581C9DD" w:rsidR="00567001" w:rsidRDefault="000D059B" w:rsidP="008354FA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  <w:u w:val="single"/>
        </w:rPr>
        <w:t>Prasata:</w:t>
      </w:r>
      <w:r w:rsidRPr="00D75D3E">
        <w:rPr>
          <w:szCs w:val="22"/>
        </w:rPr>
        <w:t xml:space="preserve"> 35 mg salicylátu sodného na kg živé hmotnosti jednou denně po dobu 3 až 5 dnů. </w:t>
      </w:r>
    </w:p>
    <w:p w14:paraId="73E3D46E" w14:textId="7F30DB41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>Podávání: perorálně v pitné vodě.</w:t>
      </w:r>
    </w:p>
    <w:p w14:paraId="06596C63" w14:textId="77777777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</w:p>
    <w:p w14:paraId="624A34C0" w14:textId="77777777" w:rsidR="00A00526" w:rsidRPr="00D75D3E" w:rsidRDefault="00A00526" w:rsidP="00D67EB1">
      <w:pPr>
        <w:spacing w:line="240" w:lineRule="auto"/>
        <w:jc w:val="both"/>
        <w:rPr>
          <w:szCs w:val="22"/>
        </w:rPr>
      </w:pPr>
      <w:r w:rsidRPr="00D75D3E">
        <w:rPr>
          <w:szCs w:val="22"/>
        </w:rPr>
        <w:t>Na základě doporučené dávky a počtu a hmotnosti zvířat, která je třeba ošetřit, se přesná denní koncentrace veterinárního léčivého přípravku vypočítá podle následujícího vzorce:</w:t>
      </w:r>
    </w:p>
    <w:p w14:paraId="1E74DC97" w14:textId="77777777" w:rsidR="000D059B" w:rsidRPr="00D75D3E" w:rsidRDefault="000D059B" w:rsidP="000D059B">
      <w:pPr>
        <w:snapToGrid w:val="0"/>
        <w:spacing w:after="60" w:line="240" w:lineRule="auto"/>
        <w:ind w:left="709" w:right="-51"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281"/>
        <w:gridCol w:w="3293"/>
        <w:gridCol w:w="3247"/>
      </w:tblGrid>
      <w:tr w:rsidR="00D67293" w:rsidRPr="00D75D3E" w14:paraId="40548136" w14:textId="77777777" w:rsidTr="00D67EB1">
        <w:trPr>
          <w:cantSplit/>
          <w:trHeight w:val="863"/>
          <w:jc w:val="center"/>
        </w:trPr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A50DC7" w14:textId="4AE6042F" w:rsidR="00D67293" w:rsidRPr="00D75D3E" w:rsidRDefault="00D67293" w:rsidP="00D67EB1">
            <w:pPr>
              <w:spacing w:line="240" w:lineRule="auto"/>
              <w:ind w:right="-95"/>
              <w:jc w:val="center"/>
              <w:rPr>
                <w:szCs w:val="22"/>
              </w:rPr>
            </w:pPr>
            <w:proofErr w:type="gramStart"/>
            <w:r w:rsidRPr="00D75D3E">
              <w:rPr>
                <w:szCs w:val="22"/>
              </w:rPr>
              <w:lastRenderedPageBreak/>
              <w:t>.....</w:t>
            </w:r>
            <w:proofErr w:type="gramEnd"/>
            <w:r w:rsidRPr="00D75D3E">
              <w:rPr>
                <w:szCs w:val="22"/>
              </w:rPr>
              <w:t xml:space="preserve">mg </w:t>
            </w:r>
            <w:r w:rsidRPr="00EE1697">
              <w:t>veterinární</w:t>
            </w:r>
            <w:r w:rsidR="00E50973">
              <w:t>ho</w:t>
            </w:r>
            <w:r w:rsidRPr="00EE1697">
              <w:t xml:space="preserve"> léčiv</w:t>
            </w:r>
            <w:r w:rsidR="00E50973">
              <w:t>ého</w:t>
            </w:r>
            <w:r w:rsidRPr="00EE1697">
              <w:t xml:space="preserve"> přípravk</w:t>
            </w:r>
            <w:r w:rsidR="00E50973">
              <w:t>u</w:t>
            </w:r>
            <w:r w:rsidRPr="00D75D3E">
              <w:rPr>
                <w:szCs w:val="22"/>
              </w:rPr>
              <w:t xml:space="preserve"> /kg</w:t>
            </w:r>
            <w:r w:rsidR="000301A1">
              <w:rPr>
                <w:szCs w:val="22"/>
              </w:rPr>
              <w:t xml:space="preserve"> </w:t>
            </w:r>
            <w:r w:rsidRPr="00D75D3E">
              <w:rPr>
                <w:szCs w:val="22"/>
              </w:rPr>
              <w:t>živé hmotnosti/den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0E4BF5" w14:textId="77777777" w:rsidR="00D67293" w:rsidRPr="00D75D3E" w:rsidRDefault="00D67293" w:rsidP="00D67EB1">
            <w:pPr>
              <w:snapToGrid w:val="0"/>
              <w:spacing w:line="240" w:lineRule="auto"/>
              <w:ind w:right="-51"/>
              <w:jc w:val="center"/>
              <w:rPr>
                <w:szCs w:val="22"/>
              </w:rPr>
            </w:pPr>
            <w:r w:rsidRPr="00D75D3E">
              <w:rPr>
                <w:szCs w:val="22"/>
              </w:rPr>
              <w:br/>
              <w:t>x</w:t>
            </w:r>
          </w:p>
        </w:tc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84C679" w14:textId="77777777" w:rsidR="00D67293" w:rsidRPr="00D75D3E" w:rsidRDefault="00D67293" w:rsidP="00D67EB1">
            <w:pPr>
              <w:tabs>
                <w:tab w:val="clear" w:pos="567"/>
                <w:tab w:val="left" w:pos="0"/>
              </w:tabs>
              <w:snapToGrid w:val="0"/>
              <w:spacing w:line="240" w:lineRule="auto"/>
              <w:ind w:right="-51"/>
              <w:jc w:val="center"/>
              <w:rPr>
                <w:szCs w:val="22"/>
              </w:rPr>
            </w:pPr>
            <w:r w:rsidRPr="00D75D3E">
              <w:rPr>
                <w:szCs w:val="22"/>
              </w:rPr>
              <w:t>průměrná živá hmotnost (kg) zvířat, která se mají léčit</w:t>
            </w:r>
          </w:p>
        </w:tc>
        <w:tc>
          <w:tcPr>
            <w:tcW w:w="1790" w:type="pct"/>
            <w:vMerge w:val="restart"/>
            <w:tcBorders>
              <w:top w:val="nil"/>
              <w:left w:val="nil"/>
              <w:right w:val="nil"/>
            </w:tcBorders>
            <w:hideMark/>
          </w:tcPr>
          <w:p w14:paraId="5FBF134E" w14:textId="3E6F9966" w:rsidR="00D67293" w:rsidRPr="00D75D3E" w:rsidRDefault="00D67293" w:rsidP="00D67EB1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br/>
            </w:r>
            <w:r w:rsidRPr="00D75D3E">
              <w:rPr>
                <w:szCs w:val="22"/>
              </w:rPr>
              <w:t xml:space="preserve">= .... mg </w:t>
            </w:r>
            <w:r w:rsidRPr="00EE1697">
              <w:t>veterinární</w:t>
            </w:r>
            <w:r w:rsidR="00E50973">
              <w:t>ho</w:t>
            </w:r>
            <w:r w:rsidRPr="00EE1697">
              <w:t xml:space="preserve"> léčiv</w:t>
            </w:r>
            <w:r w:rsidR="00E50973">
              <w:t>ého</w:t>
            </w:r>
            <w:r w:rsidRPr="00EE1697">
              <w:t xml:space="preserve"> přípravk</w:t>
            </w:r>
            <w:r w:rsidR="00E50973">
              <w:t>u</w:t>
            </w:r>
            <w:r w:rsidRPr="00D75D3E">
              <w:rPr>
                <w:szCs w:val="22"/>
              </w:rPr>
              <w:t xml:space="preserve"> na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D75D3E">
                <w:rPr>
                  <w:szCs w:val="22"/>
                </w:rPr>
                <w:t>1 l</w:t>
              </w:r>
            </w:smartTag>
            <w:r>
              <w:rPr>
                <w:szCs w:val="22"/>
              </w:rPr>
              <w:t>itr</w:t>
            </w:r>
            <w:r w:rsidRPr="00D75D3E">
              <w:rPr>
                <w:szCs w:val="22"/>
              </w:rPr>
              <w:t xml:space="preserve"> pitné vody/mléka</w:t>
            </w:r>
          </w:p>
        </w:tc>
      </w:tr>
      <w:tr w:rsidR="00D67293" w:rsidRPr="00D75D3E" w14:paraId="3620A4DF" w14:textId="77777777" w:rsidTr="00D67EB1">
        <w:trPr>
          <w:cantSplit/>
          <w:jc w:val="center"/>
        </w:trPr>
        <w:tc>
          <w:tcPr>
            <w:tcW w:w="321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EDC159" w14:textId="5A5CBAE4" w:rsidR="00D67293" w:rsidRPr="00D75D3E" w:rsidRDefault="00D67293" w:rsidP="00D67EB1">
            <w:pPr>
              <w:snapToGrid w:val="0"/>
              <w:spacing w:before="60" w:line="240" w:lineRule="auto"/>
              <w:ind w:right="-51"/>
              <w:jc w:val="center"/>
              <w:rPr>
                <w:szCs w:val="22"/>
              </w:rPr>
            </w:pPr>
            <w:r w:rsidRPr="00D75D3E">
              <w:rPr>
                <w:szCs w:val="22"/>
              </w:rPr>
              <w:t>Průměrná denní spotřeba vody/mléka (l</w:t>
            </w:r>
            <w:r>
              <w:rPr>
                <w:szCs w:val="22"/>
              </w:rPr>
              <w:t>/</w:t>
            </w:r>
            <w:r w:rsidRPr="00D75D3E">
              <w:rPr>
                <w:szCs w:val="22"/>
              </w:rPr>
              <w:t>zvíře</w:t>
            </w:r>
            <w:r>
              <w:rPr>
                <w:szCs w:val="22"/>
              </w:rPr>
              <w:t>)</w:t>
            </w:r>
          </w:p>
        </w:tc>
        <w:tc>
          <w:tcPr>
            <w:tcW w:w="179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01F26CF" w14:textId="77777777" w:rsidR="00D67293" w:rsidRPr="00D75D3E" w:rsidRDefault="00D67293" w:rsidP="00C47166">
            <w:pPr>
              <w:spacing w:line="240" w:lineRule="auto"/>
              <w:rPr>
                <w:szCs w:val="22"/>
              </w:rPr>
            </w:pPr>
          </w:p>
        </w:tc>
      </w:tr>
    </w:tbl>
    <w:p w14:paraId="1840A598" w14:textId="77777777" w:rsidR="000D059B" w:rsidRPr="00D75D3E" w:rsidRDefault="000D059B" w:rsidP="008354FA">
      <w:pPr>
        <w:snapToGrid w:val="0"/>
        <w:spacing w:line="240" w:lineRule="auto"/>
        <w:jc w:val="both"/>
        <w:rPr>
          <w:szCs w:val="22"/>
        </w:rPr>
      </w:pPr>
    </w:p>
    <w:p w14:paraId="1D61D867" w14:textId="24453A6B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 xml:space="preserve">Případně lze </w:t>
      </w:r>
      <w:r w:rsidR="00F51548" w:rsidRPr="00EE1697">
        <w:t xml:space="preserve">veterinární léčivý </w:t>
      </w:r>
      <w:r w:rsidRPr="00D75D3E">
        <w:rPr>
          <w:szCs w:val="22"/>
        </w:rPr>
        <w:t xml:space="preserve">přípravek rovněž podávat v pitné vodě jako pulzní medikaci. Polovina vypočítaného celkového denního množství prášku se smíchá s </w:t>
      </w:r>
      <w:r w:rsidR="00E50973" w:rsidRPr="00D75D3E">
        <w:rPr>
          <w:szCs w:val="22"/>
        </w:rPr>
        <w:t>5–10</w:t>
      </w:r>
      <w:r w:rsidRPr="00D75D3E">
        <w:rPr>
          <w:szCs w:val="22"/>
        </w:rPr>
        <w:t xml:space="preserve"> litry </w:t>
      </w:r>
      <w:r w:rsidR="00E50973">
        <w:rPr>
          <w:szCs w:val="22"/>
        </w:rPr>
        <w:t>pitn</w:t>
      </w:r>
      <w:r w:rsidR="00E50973" w:rsidRPr="00D75D3E">
        <w:rPr>
          <w:szCs w:val="22"/>
        </w:rPr>
        <w:t xml:space="preserve">é </w:t>
      </w:r>
      <w:r w:rsidRPr="00D75D3E">
        <w:rPr>
          <w:szCs w:val="22"/>
        </w:rPr>
        <w:t xml:space="preserve">vody a míchá tak dlouho, </w:t>
      </w:r>
      <w:bookmarkStart w:id="20" w:name="_Hlk152756927"/>
      <w:r w:rsidR="00E50973">
        <w:rPr>
          <w:szCs w:val="22"/>
        </w:rPr>
        <w:t>dokud</w:t>
      </w:r>
      <w:r w:rsidR="00E50973" w:rsidRPr="00D75D3E">
        <w:rPr>
          <w:szCs w:val="22"/>
        </w:rPr>
        <w:t xml:space="preserve"> </w:t>
      </w:r>
      <w:r w:rsidRPr="00D75D3E">
        <w:rPr>
          <w:szCs w:val="22"/>
        </w:rPr>
        <w:t xml:space="preserve">se </w:t>
      </w:r>
      <w:r w:rsidR="00E50973">
        <w:rPr>
          <w:szCs w:val="22"/>
        </w:rPr>
        <w:t>rovnoměrně</w:t>
      </w:r>
      <w:r w:rsidR="00E50973" w:rsidRPr="00D75D3E">
        <w:rPr>
          <w:szCs w:val="22"/>
        </w:rPr>
        <w:t xml:space="preserve"> </w:t>
      </w:r>
      <w:r w:rsidR="00E50973">
        <w:rPr>
          <w:szCs w:val="22"/>
        </w:rPr>
        <w:t>ne</w:t>
      </w:r>
      <w:r w:rsidRPr="00D75D3E">
        <w:rPr>
          <w:szCs w:val="22"/>
        </w:rPr>
        <w:t>rozpustí</w:t>
      </w:r>
      <w:bookmarkEnd w:id="20"/>
      <w:r w:rsidRPr="00D75D3E">
        <w:rPr>
          <w:szCs w:val="22"/>
        </w:rPr>
        <w:t>. Tento roztok se pak za stálého míchání přidá do takového množství pitné vody, které bude spotřebováno přibližně za 3-4 hodiny. Podává se dvakrát denně.</w:t>
      </w:r>
    </w:p>
    <w:p w14:paraId="4DB7B5A5" w14:textId="226DBBF8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 xml:space="preserve">Maximální rozpustnost </w:t>
      </w:r>
      <w:r w:rsidR="00F51548" w:rsidRPr="00EE1697">
        <w:t xml:space="preserve">veterinární léčivý </w:t>
      </w:r>
      <w:r w:rsidRPr="00D75D3E">
        <w:rPr>
          <w:szCs w:val="22"/>
        </w:rPr>
        <w:t>přípravku ve vodě je přibližně 100 g/litr.</w:t>
      </w:r>
    </w:p>
    <w:p w14:paraId="1BC046B2" w14:textId="21B3B327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>Doporučuje se k podávání vypočítaného množství salicylátu sodného využívat vhodně nakalibrované zařízení na vážení.</w:t>
      </w:r>
    </w:p>
    <w:p w14:paraId="6376312C" w14:textId="77777777" w:rsidR="00247A48" w:rsidRPr="00D75D3E" w:rsidRDefault="00247A48" w:rsidP="00D67EB1">
      <w:pPr>
        <w:spacing w:line="240" w:lineRule="auto"/>
        <w:jc w:val="both"/>
        <w:rPr>
          <w:szCs w:val="22"/>
        </w:rPr>
      </w:pPr>
    </w:p>
    <w:bookmarkEnd w:id="19"/>
    <w:p w14:paraId="0A85AF50" w14:textId="198BF553" w:rsidR="00C114FF" w:rsidRPr="00D75D3E" w:rsidRDefault="00273FA6" w:rsidP="00D67EB1">
      <w:pPr>
        <w:pStyle w:val="Style1"/>
        <w:jc w:val="both"/>
      </w:pPr>
      <w:r w:rsidRPr="00D75D3E">
        <w:t>3.10</w:t>
      </w:r>
      <w:r w:rsidRPr="00D75D3E">
        <w:tab/>
        <w:t xml:space="preserve">Příznaky předávkování </w:t>
      </w:r>
      <w:r w:rsidR="00EC5045" w:rsidRPr="00D75D3E">
        <w:t>(</w:t>
      </w:r>
      <w:r w:rsidRPr="00D75D3E">
        <w:t xml:space="preserve">a </w:t>
      </w:r>
      <w:r w:rsidR="00202A85" w:rsidRPr="00D75D3E">
        <w:t>kde</w:t>
      </w:r>
      <w:r w:rsidR="005E66FC" w:rsidRPr="00D75D3E">
        <w:t xml:space="preserve"> </w:t>
      </w:r>
      <w:r w:rsidR="00202A85" w:rsidRPr="00D75D3E">
        <w:t>je</w:t>
      </w:r>
      <w:r w:rsidR="005E66FC" w:rsidRPr="00D75D3E">
        <w:t xml:space="preserve"> </w:t>
      </w:r>
      <w:r w:rsidR="00FB6F2F" w:rsidRPr="00D75D3E">
        <w:t>relevantní</w:t>
      </w:r>
      <w:r w:rsidR="00202A85" w:rsidRPr="00D75D3E">
        <w:t>, první pomoc</w:t>
      </w:r>
      <w:r w:rsidRPr="00D75D3E">
        <w:t xml:space="preserve"> a antidota</w:t>
      </w:r>
      <w:r w:rsidR="00202A85" w:rsidRPr="00D75D3E">
        <w:t>)</w:t>
      </w:r>
      <w:r w:rsidRPr="00D75D3E">
        <w:t xml:space="preserve"> </w:t>
      </w:r>
    </w:p>
    <w:p w14:paraId="45A34650" w14:textId="50AD8A0E" w:rsidR="00C114FF" w:rsidRPr="00D75D3E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AD173E" w14:textId="77777777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bookmarkStart w:id="21" w:name="_Hlk126759925"/>
      <w:r w:rsidRPr="00D75D3E">
        <w:rPr>
          <w:szCs w:val="22"/>
        </w:rPr>
        <w:t xml:space="preserve">Telata snáší dávky až do 80 mg/kg po 5 dnů nebo 40 mg/kg po 10 dnů bez jakýchkoliv nežádoucích účinků. </w:t>
      </w:r>
    </w:p>
    <w:p w14:paraId="7408880A" w14:textId="3A3DF31E" w:rsidR="00D67293" w:rsidRDefault="000D059B" w:rsidP="008354FA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>Prasata snáší dávky až do 175 mg/kg po dobu až 10 dnů bez jakýchkoliv významných nežádoucích účinků.</w:t>
      </w:r>
    </w:p>
    <w:p w14:paraId="666164C3" w14:textId="23C913C7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>V případě akutního předávkování vede intravenózní infúze bikarbonátu k vyšší clearanci kyseliny salicylové díky alkalizaci moči a může být prospěšná pro úpravu (sekundární metabolické) acidózy.</w:t>
      </w:r>
    </w:p>
    <w:bookmarkEnd w:id="21"/>
    <w:p w14:paraId="2C9628EF" w14:textId="77777777" w:rsidR="000D059B" w:rsidRPr="00D75D3E" w:rsidRDefault="000D059B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D75D3E" w:rsidRDefault="00273FA6" w:rsidP="00D67EB1">
      <w:pPr>
        <w:pStyle w:val="Style1"/>
        <w:jc w:val="both"/>
      </w:pPr>
      <w:r w:rsidRPr="00D75D3E">
        <w:t>3.11</w:t>
      </w:r>
      <w:r w:rsidRPr="00D75D3E">
        <w:tab/>
        <w:t>Zvláštní omezení pro použití a zvláštní podmínky pro použití, včetně omezení používání antimikrob</w:t>
      </w:r>
      <w:r w:rsidR="00202A85" w:rsidRPr="00D75D3E">
        <w:t>ních</w:t>
      </w:r>
      <w:r w:rsidRPr="00D75D3E">
        <w:t xml:space="preserve"> a antiparazitárních veterinárních léčivých přípravků, za účelem snížení rizika rozvoje rezistence</w:t>
      </w:r>
    </w:p>
    <w:p w14:paraId="3E58438E" w14:textId="77777777" w:rsidR="009A6509" w:rsidRPr="00D75D3E" w:rsidRDefault="009A6509" w:rsidP="00D67EB1">
      <w:pPr>
        <w:spacing w:line="240" w:lineRule="auto"/>
        <w:jc w:val="both"/>
        <w:rPr>
          <w:szCs w:val="22"/>
        </w:rPr>
      </w:pPr>
    </w:p>
    <w:p w14:paraId="5B24853D" w14:textId="3BD9372F" w:rsidR="009A6509" w:rsidRPr="00D75D3E" w:rsidRDefault="00273FA6" w:rsidP="008354F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2" w:name="_Hlk126759943"/>
      <w:r w:rsidRPr="00D75D3E">
        <w:rPr>
          <w:szCs w:val="22"/>
        </w:rPr>
        <w:t>Neuplatňuje se.</w:t>
      </w:r>
    </w:p>
    <w:bookmarkEnd w:id="22"/>
    <w:p w14:paraId="23184928" w14:textId="77777777" w:rsidR="009A6509" w:rsidRPr="00D75D3E" w:rsidRDefault="009A6509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D75D3E" w:rsidRDefault="00273FA6" w:rsidP="00D67EB1">
      <w:pPr>
        <w:pStyle w:val="Style1"/>
        <w:jc w:val="both"/>
      </w:pPr>
      <w:r w:rsidRPr="00D75D3E">
        <w:t>3.12</w:t>
      </w:r>
      <w:r w:rsidRPr="00D75D3E">
        <w:tab/>
        <w:t>Ochranné lhůty</w:t>
      </w:r>
    </w:p>
    <w:p w14:paraId="0589DEFB" w14:textId="77777777" w:rsidR="000D059B" w:rsidRPr="00D75D3E" w:rsidRDefault="000D059B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3BE7FA" w14:textId="77777777" w:rsidR="000D059B" w:rsidRPr="00D75D3E" w:rsidRDefault="000D059B" w:rsidP="00D67EB1">
      <w:pPr>
        <w:snapToGrid w:val="0"/>
        <w:spacing w:line="240" w:lineRule="auto"/>
        <w:ind w:right="-51"/>
        <w:jc w:val="both"/>
        <w:rPr>
          <w:szCs w:val="22"/>
        </w:rPr>
      </w:pPr>
      <w:bookmarkStart w:id="23" w:name="_Hlk126759973"/>
      <w:r w:rsidRPr="00D75D3E">
        <w:rPr>
          <w:szCs w:val="22"/>
        </w:rPr>
        <w:t xml:space="preserve">Maso: </w:t>
      </w:r>
    </w:p>
    <w:p w14:paraId="363F1C6A" w14:textId="77777777" w:rsidR="000D059B" w:rsidRPr="00D75D3E" w:rsidRDefault="000D059B" w:rsidP="00D67EB1">
      <w:pPr>
        <w:snapToGrid w:val="0"/>
        <w:spacing w:line="240" w:lineRule="auto"/>
        <w:ind w:right="-51"/>
        <w:jc w:val="both"/>
        <w:rPr>
          <w:szCs w:val="22"/>
        </w:rPr>
      </w:pPr>
      <w:r w:rsidRPr="00D75D3E">
        <w:rPr>
          <w:szCs w:val="22"/>
        </w:rPr>
        <w:t>Prasata: Bez ochranných lhůt.</w:t>
      </w:r>
    </w:p>
    <w:p w14:paraId="2E31E9FF" w14:textId="77777777" w:rsidR="000D059B" w:rsidRPr="00D75D3E" w:rsidRDefault="000D059B" w:rsidP="00D67EB1">
      <w:pPr>
        <w:snapToGrid w:val="0"/>
        <w:spacing w:line="240" w:lineRule="auto"/>
        <w:ind w:right="-51"/>
        <w:jc w:val="both"/>
        <w:rPr>
          <w:szCs w:val="22"/>
        </w:rPr>
      </w:pPr>
      <w:r w:rsidRPr="00D75D3E">
        <w:rPr>
          <w:szCs w:val="22"/>
        </w:rPr>
        <w:t>Telata: Bez ochranných lhůt.</w:t>
      </w:r>
    </w:p>
    <w:p w14:paraId="6329CFC5" w14:textId="557FEC92" w:rsidR="00C114FF" w:rsidRPr="00D75D3E" w:rsidRDefault="00F0537B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4" w:name="_Hlk137812320"/>
      <w:r w:rsidRPr="00B41D57">
        <w:t>Nepoužívat u zvířat, jejichž mléko je určeno pro lidskou spotřebu.</w:t>
      </w:r>
      <w:r>
        <w:t xml:space="preserve"> </w:t>
      </w:r>
      <w:bookmarkEnd w:id="23"/>
      <w:bookmarkEnd w:id="24"/>
    </w:p>
    <w:p w14:paraId="1A1B55BD" w14:textId="6FB1AF15" w:rsidR="00FC02F3" w:rsidRDefault="00FC02F3" w:rsidP="008354F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96A9D9" w14:textId="77777777" w:rsidR="008354FA" w:rsidRPr="00D75D3E" w:rsidRDefault="008354FA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0113670F" w:rsidR="00C114FF" w:rsidRPr="00D75D3E" w:rsidRDefault="00273FA6" w:rsidP="00D67EB1">
      <w:pPr>
        <w:pStyle w:val="Style1"/>
        <w:keepNext/>
        <w:jc w:val="both"/>
      </w:pPr>
      <w:r w:rsidRPr="00D75D3E">
        <w:t>4.</w:t>
      </w:r>
      <w:r w:rsidRPr="00D75D3E">
        <w:tab/>
        <w:t>FARMAKOLOGICKÉ INFORMACE</w:t>
      </w:r>
    </w:p>
    <w:p w14:paraId="2C2A4C50" w14:textId="77777777" w:rsidR="00C114FF" w:rsidRPr="00D75D3E" w:rsidRDefault="00C114FF" w:rsidP="00D67EB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DBE6E8E" w14:textId="2B9A2A4F" w:rsidR="005B04A8" w:rsidRPr="00D75D3E" w:rsidRDefault="00273FA6" w:rsidP="00D67EB1">
      <w:pPr>
        <w:pStyle w:val="Style1"/>
        <w:jc w:val="both"/>
      </w:pPr>
      <w:r w:rsidRPr="00D75D3E">
        <w:t>4.1</w:t>
      </w:r>
      <w:r w:rsidRPr="00D75D3E">
        <w:tab/>
      </w:r>
      <w:proofErr w:type="spellStart"/>
      <w:r w:rsidRPr="00D75D3E">
        <w:t>ATCvet</w:t>
      </w:r>
      <w:proofErr w:type="spellEnd"/>
      <w:r w:rsidRPr="00D75D3E">
        <w:t xml:space="preserve"> kód:</w:t>
      </w:r>
      <w:r w:rsidR="000D059B" w:rsidRPr="00D75D3E">
        <w:t xml:space="preserve"> </w:t>
      </w:r>
      <w:r w:rsidR="000D059B" w:rsidRPr="00D67EB1">
        <w:rPr>
          <w:b w:val="0"/>
        </w:rPr>
        <w:t>QN02BA04</w:t>
      </w:r>
    </w:p>
    <w:p w14:paraId="5C965196" w14:textId="77777777" w:rsidR="00C114FF" w:rsidRPr="00D75D3E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C4C65B" w14:textId="2BF68897" w:rsidR="00C114FF" w:rsidRPr="00D75D3E" w:rsidRDefault="00273FA6" w:rsidP="00D67EB1">
      <w:pPr>
        <w:pStyle w:val="Style1"/>
        <w:jc w:val="both"/>
      </w:pPr>
      <w:r w:rsidRPr="00D75D3E">
        <w:t>4.2</w:t>
      </w:r>
      <w:r w:rsidRPr="00D75D3E">
        <w:tab/>
        <w:t>Farmakodynamika</w:t>
      </w:r>
    </w:p>
    <w:p w14:paraId="5BEEA8A8" w14:textId="77777777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</w:p>
    <w:p w14:paraId="11B59A35" w14:textId="5FD7B2F4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>Salicylát sodný je nesteroidní antiflogistikum (NSAID) s protizánětlivým, analgetickým a</w:t>
      </w:r>
      <w:r w:rsidR="008354FA">
        <w:rPr>
          <w:szCs w:val="22"/>
        </w:rPr>
        <w:t> </w:t>
      </w:r>
      <w:r w:rsidRPr="00D75D3E">
        <w:rPr>
          <w:szCs w:val="22"/>
        </w:rPr>
        <w:t>antipyretickým účinkem. Způsob účinku je založen na inhibici enzymu cyklooxygenázy, což má za následek sníženou produkci prostaglandinů (mediátorů zánětu).</w:t>
      </w:r>
    </w:p>
    <w:p w14:paraId="4042C1EB" w14:textId="77777777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</w:p>
    <w:p w14:paraId="2BE4D04A" w14:textId="53F7C9F0" w:rsidR="00C114FF" w:rsidRPr="00D75D3E" w:rsidRDefault="00273FA6" w:rsidP="008354FA">
      <w:pPr>
        <w:pStyle w:val="Style1"/>
        <w:jc w:val="both"/>
      </w:pPr>
      <w:r w:rsidRPr="00D75D3E">
        <w:t>4.3</w:t>
      </w:r>
      <w:r w:rsidRPr="00D75D3E">
        <w:tab/>
        <w:t>Farmakokinetika</w:t>
      </w:r>
    </w:p>
    <w:p w14:paraId="041767DA" w14:textId="77777777" w:rsidR="00C114FF" w:rsidRPr="00D75D3E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BAFC6F" w14:textId="7FFBAD2A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 xml:space="preserve">Perorálně podaný salicylát sodný se rychle absorbuje pasivní difúzí, částečně ze žaludku, ale hlavně z anteriorní části tenkého střeva. Salicylát sodný se velmi dobře distribuuje do různých tkání. Hodnoty distribučního objemu (Vd) jsou u novorozenců vyšší. </w:t>
      </w:r>
      <w:r w:rsidR="006B4303">
        <w:rPr>
          <w:szCs w:val="22"/>
        </w:rPr>
        <w:t>Biologické p</w:t>
      </w:r>
      <w:r w:rsidRPr="00D75D3E">
        <w:rPr>
          <w:szCs w:val="22"/>
        </w:rPr>
        <w:t>oločasy rozpadu jsou delší u velmi mladých zvířat, což vede k pomalejšímu odbourávání látky. To je nejvíce patrné u zvířat do 7 až 14 dnů věku. Metabolismus se odehrává hlavně v endoplasmatickém retikulu a mitochondriích jaterních buněk.</w:t>
      </w:r>
    </w:p>
    <w:p w14:paraId="04730180" w14:textId="572B8855" w:rsidR="000D059B" w:rsidRPr="00D75D3E" w:rsidRDefault="000D059B" w:rsidP="00D67EB1">
      <w:pPr>
        <w:snapToGrid w:val="0"/>
        <w:spacing w:line="240" w:lineRule="auto"/>
        <w:jc w:val="both"/>
        <w:rPr>
          <w:szCs w:val="22"/>
        </w:rPr>
      </w:pPr>
      <w:r w:rsidRPr="00D75D3E">
        <w:rPr>
          <w:szCs w:val="22"/>
        </w:rPr>
        <w:t>Eliminace probíhá hlavně prostřednictvím moči a pH moči může mít na tuto eliminaci velký vliv (viz též bod 3.10).</w:t>
      </w:r>
    </w:p>
    <w:p w14:paraId="44B643E5" w14:textId="77777777" w:rsidR="00C114FF" w:rsidRPr="00D75D3E" w:rsidRDefault="00C114FF" w:rsidP="008354F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8354FA" w:rsidRDefault="00273FA6" w:rsidP="00D67EB1">
      <w:pPr>
        <w:pStyle w:val="Style1"/>
        <w:keepNext/>
      </w:pPr>
      <w:r w:rsidRPr="008354FA">
        <w:lastRenderedPageBreak/>
        <w:t>5.</w:t>
      </w:r>
      <w:r w:rsidRPr="008354FA">
        <w:tab/>
        <w:t>FARMACEUTICKÉ ÚDAJE</w:t>
      </w:r>
    </w:p>
    <w:p w14:paraId="7BC53755" w14:textId="77777777" w:rsidR="00C114FF" w:rsidRPr="008354FA" w:rsidRDefault="00C114FF" w:rsidP="00D67E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8354FA" w:rsidRDefault="00273FA6" w:rsidP="00D67EB1">
      <w:pPr>
        <w:pStyle w:val="Style1"/>
        <w:keepNext/>
      </w:pPr>
      <w:r w:rsidRPr="008354FA">
        <w:t>5.1</w:t>
      </w:r>
      <w:r w:rsidRPr="008354FA">
        <w:tab/>
        <w:t>Hlavní inkompatibility</w:t>
      </w:r>
    </w:p>
    <w:p w14:paraId="6FC36F62" w14:textId="77777777" w:rsidR="000D059B" w:rsidRPr="00A4353F" w:rsidRDefault="000D059B" w:rsidP="00D67E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683EBCE" w14:textId="6B6F7BF6" w:rsidR="00A72284" w:rsidRPr="008354FA" w:rsidRDefault="00A72284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5" w:name="_Hlk126759996"/>
      <w:r w:rsidRPr="00A4353F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3795026E" w14:textId="06BD54F6" w:rsidR="000D059B" w:rsidRPr="008354FA" w:rsidRDefault="00F51548" w:rsidP="00D67EB1">
      <w:pPr>
        <w:snapToGrid w:val="0"/>
        <w:spacing w:line="240" w:lineRule="auto"/>
        <w:jc w:val="both"/>
        <w:rPr>
          <w:szCs w:val="22"/>
        </w:rPr>
      </w:pPr>
      <w:r w:rsidRPr="00727EA6">
        <w:rPr>
          <w:szCs w:val="22"/>
        </w:rPr>
        <w:t xml:space="preserve">Veterinární léčivý </w:t>
      </w:r>
      <w:r w:rsidRPr="008354FA">
        <w:rPr>
          <w:szCs w:val="22"/>
        </w:rPr>
        <w:t xml:space="preserve">přípravek </w:t>
      </w:r>
      <w:r w:rsidR="000D059B" w:rsidRPr="008354FA">
        <w:rPr>
          <w:szCs w:val="22"/>
        </w:rPr>
        <w:t xml:space="preserve">může být podáván jako pulzní medikace (3-4 hodiny) dvakrát denně. To znamená, že v případě, že je třeba jej použít v kombinaci s jinými léčivy, tato léčiva je možné podat samostatně. </w:t>
      </w:r>
    </w:p>
    <w:bookmarkEnd w:id="25"/>
    <w:p w14:paraId="288F0D5C" w14:textId="77777777" w:rsidR="00C114FF" w:rsidRPr="008354FA" w:rsidRDefault="00C114FF" w:rsidP="008354F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8354FA" w:rsidRDefault="00273FA6" w:rsidP="008354FA">
      <w:pPr>
        <w:pStyle w:val="Style1"/>
      </w:pPr>
      <w:r w:rsidRPr="008354FA">
        <w:t>5.2</w:t>
      </w:r>
      <w:r w:rsidRPr="008354FA">
        <w:tab/>
        <w:t>Doba použitelnosti</w:t>
      </w:r>
    </w:p>
    <w:p w14:paraId="100B6613" w14:textId="6390387E" w:rsidR="00C114FF" w:rsidRPr="008354FA" w:rsidRDefault="00C114F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192C5DC5" w14:textId="77777777" w:rsidR="000D059B" w:rsidRPr="008354FA" w:rsidRDefault="000D059B" w:rsidP="008354FA">
      <w:pPr>
        <w:snapToGrid w:val="0"/>
        <w:spacing w:line="240" w:lineRule="auto"/>
        <w:ind w:right="-318"/>
        <w:rPr>
          <w:szCs w:val="22"/>
        </w:rPr>
      </w:pPr>
      <w:bookmarkStart w:id="26" w:name="_Hlk126760241"/>
      <w:r w:rsidRPr="008354FA">
        <w:rPr>
          <w:szCs w:val="22"/>
        </w:rPr>
        <w:t>Doba použitelnosti veterinárního léčivého přípravku v neporušeném obalu: 3 roky</w:t>
      </w:r>
    </w:p>
    <w:p w14:paraId="56161081" w14:textId="77777777" w:rsidR="000D059B" w:rsidRPr="008354FA" w:rsidRDefault="000D059B" w:rsidP="00A4353F">
      <w:pPr>
        <w:snapToGrid w:val="0"/>
        <w:spacing w:line="240" w:lineRule="auto"/>
        <w:rPr>
          <w:szCs w:val="22"/>
        </w:rPr>
      </w:pPr>
      <w:r w:rsidRPr="008354FA">
        <w:rPr>
          <w:szCs w:val="22"/>
        </w:rPr>
        <w:t>Doba použitelnosti po prvním otevření vnitřního obalu: 6 měsíců</w:t>
      </w:r>
    </w:p>
    <w:p w14:paraId="2783F8B6" w14:textId="5A4E80BE" w:rsidR="000D059B" w:rsidRPr="008354FA" w:rsidRDefault="000D059B">
      <w:pPr>
        <w:snapToGrid w:val="0"/>
        <w:spacing w:line="240" w:lineRule="auto"/>
        <w:rPr>
          <w:b/>
          <w:bCs/>
          <w:szCs w:val="22"/>
        </w:rPr>
      </w:pPr>
      <w:r w:rsidRPr="008354FA">
        <w:rPr>
          <w:szCs w:val="22"/>
        </w:rPr>
        <w:t xml:space="preserve">Doba použitelnosti po </w:t>
      </w:r>
      <w:bookmarkStart w:id="27" w:name="_Hlk137812641"/>
      <w:r w:rsidR="005E04B5" w:rsidRPr="00727EA6">
        <w:rPr>
          <w:szCs w:val="22"/>
        </w:rPr>
        <w:t>rozpuštění</w:t>
      </w:r>
      <w:bookmarkEnd w:id="27"/>
      <w:r w:rsidRPr="008354FA">
        <w:rPr>
          <w:szCs w:val="22"/>
        </w:rPr>
        <w:t xml:space="preserve"> v pitné vodě podle návodu: 24 hodin. </w:t>
      </w:r>
    </w:p>
    <w:p w14:paraId="0CE91B69" w14:textId="10ADF0C3" w:rsidR="000D059B" w:rsidRPr="008354FA" w:rsidRDefault="000D059B">
      <w:pPr>
        <w:snapToGrid w:val="0"/>
        <w:spacing w:line="240" w:lineRule="auto"/>
        <w:rPr>
          <w:b/>
          <w:bCs/>
          <w:szCs w:val="22"/>
        </w:rPr>
      </w:pPr>
      <w:r w:rsidRPr="008354FA">
        <w:rPr>
          <w:szCs w:val="22"/>
        </w:rPr>
        <w:t xml:space="preserve">Doba použitelnosti po </w:t>
      </w:r>
      <w:r w:rsidR="005E04B5" w:rsidRPr="008354FA">
        <w:rPr>
          <w:szCs w:val="22"/>
        </w:rPr>
        <w:t>rozpuštění</w:t>
      </w:r>
      <w:r w:rsidRPr="008354FA">
        <w:rPr>
          <w:szCs w:val="22"/>
        </w:rPr>
        <w:t xml:space="preserve"> v mléce (náhražce) podle návodu: 6 hodin. </w:t>
      </w:r>
    </w:p>
    <w:p w14:paraId="4CD9C987" w14:textId="469E4FC5" w:rsidR="00C114FF" w:rsidRPr="008354FA" w:rsidRDefault="000548ED">
      <w:pPr>
        <w:tabs>
          <w:tab w:val="clear" w:pos="567"/>
        </w:tabs>
        <w:spacing w:line="240" w:lineRule="auto"/>
        <w:rPr>
          <w:szCs w:val="22"/>
        </w:rPr>
      </w:pPr>
      <w:bookmarkStart w:id="28" w:name="_Hlk137812669"/>
      <w:bookmarkEnd w:id="26"/>
      <w:r w:rsidRPr="008354FA">
        <w:rPr>
          <w:szCs w:val="22"/>
        </w:rPr>
        <w:t xml:space="preserve">Po uplynutí této doby </w:t>
      </w:r>
      <w:r w:rsidR="00DD16D4" w:rsidRPr="008354FA">
        <w:rPr>
          <w:szCs w:val="22"/>
        </w:rPr>
        <w:t>je třeba</w:t>
      </w:r>
      <w:r w:rsidRPr="008354FA">
        <w:rPr>
          <w:szCs w:val="22"/>
        </w:rPr>
        <w:t xml:space="preserve"> zbývající nepoužitý roztok zlikvidov</w:t>
      </w:r>
      <w:r w:rsidR="00F33F0F" w:rsidRPr="008354FA">
        <w:rPr>
          <w:szCs w:val="22"/>
        </w:rPr>
        <w:t>at</w:t>
      </w:r>
      <w:r w:rsidRPr="008354FA">
        <w:rPr>
          <w:szCs w:val="22"/>
        </w:rPr>
        <w:t>.</w:t>
      </w:r>
    </w:p>
    <w:bookmarkEnd w:id="28"/>
    <w:p w14:paraId="7F312749" w14:textId="77777777" w:rsidR="000548ED" w:rsidRPr="008354FA" w:rsidRDefault="000548ED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8354FA" w:rsidRDefault="00273FA6" w:rsidP="00D67EB1">
      <w:pPr>
        <w:pStyle w:val="Style1"/>
        <w:jc w:val="both"/>
      </w:pPr>
      <w:r w:rsidRPr="008354FA">
        <w:t>5.3</w:t>
      </w:r>
      <w:r w:rsidRPr="008354FA">
        <w:tab/>
        <w:t>Zvláštní opatření pro uchovávání</w:t>
      </w:r>
    </w:p>
    <w:p w14:paraId="7826F268" w14:textId="48FE88D6" w:rsidR="00C114FF" w:rsidRPr="008354FA" w:rsidRDefault="00C114FF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9" w:name="_Hlk126760035"/>
    </w:p>
    <w:p w14:paraId="57552FC6" w14:textId="3BBABF46" w:rsidR="006F6793" w:rsidRDefault="00F0537B" w:rsidP="008354FA">
      <w:pPr>
        <w:snapToGrid w:val="0"/>
        <w:spacing w:line="240" w:lineRule="auto"/>
        <w:jc w:val="both"/>
        <w:rPr>
          <w:szCs w:val="22"/>
        </w:rPr>
      </w:pPr>
      <w:bookmarkStart w:id="30" w:name="_Hlk137812473"/>
      <w:r w:rsidRPr="00727EA6">
        <w:rPr>
          <w:szCs w:val="22"/>
        </w:rPr>
        <w:t xml:space="preserve">Tento veterinární léčivý přípravek nevyžaduje žádné zvláštní teplotní podmínky uchovávání. </w:t>
      </w:r>
      <w:bookmarkEnd w:id="30"/>
    </w:p>
    <w:p w14:paraId="7A16AA60" w14:textId="0648AD76" w:rsidR="006F6793" w:rsidRPr="008354FA" w:rsidRDefault="006F6793" w:rsidP="00D67EB1">
      <w:pPr>
        <w:snapToGrid w:val="0"/>
        <w:spacing w:line="240" w:lineRule="auto"/>
        <w:jc w:val="both"/>
        <w:rPr>
          <w:szCs w:val="22"/>
        </w:rPr>
      </w:pPr>
      <w:r w:rsidRPr="008354FA">
        <w:rPr>
          <w:szCs w:val="22"/>
        </w:rPr>
        <w:t>Po prvním otevření uchovávejte vak těsně uzavřený, aby byl</w:t>
      </w:r>
      <w:r w:rsidRPr="00A4353F">
        <w:rPr>
          <w:szCs w:val="22"/>
        </w:rPr>
        <w:t xml:space="preserve"> </w:t>
      </w:r>
      <w:r w:rsidR="00F33F0F" w:rsidRPr="00A4353F">
        <w:rPr>
          <w:szCs w:val="22"/>
        </w:rPr>
        <w:t xml:space="preserve">přípravek </w:t>
      </w:r>
      <w:r w:rsidRPr="00A4353F">
        <w:rPr>
          <w:szCs w:val="22"/>
        </w:rPr>
        <w:t xml:space="preserve">chráněn před </w:t>
      </w:r>
      <w:bookmarkStart w:id="31" w:name="_Hlk137812459"/>
      <w:r w:rsidR="00F0537B" w:rsidRPr="00A4353F">
        <w:rPr>
          <w:szCs w:val="22"/>
        </w:rPr>
        <w:t>světlem a</w:t>
      </w:r>
      <w:bookmarkEnd w:id="31"/>
      <w:r w:rsidR="00F0537B" w:rsidRPr="008354FA">
        <w:rPr>
          <w:szCs w:val="22"/>
        </w:rPr>
        <w:t xml:space="preserve"> </w:t>
      </w:r>
      <w:r w:rsidRPr="008354FA">
        <w:rPr>
          <w:szCs w:val="22"/>
        </w:rPr>
        <w:t>vlhkostí.</w:t>
      </w:r>
    </w:p>
    <w:bookmarkEnd w:id="29"/>
    <w:p w14:paraId="205A4A8C" w14:textId="77777777" w:rsidR="00C114FF" w:rsidRPr="008354FA" w:rsidRDefault="00C114F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8354FA" w:rsidRDefault="00273FA6" w:rsidP="00D67EB1">
      <w:pPr>
        <w:pStyle w:val="Style1"/>
        <w:jc w:val="both"/>
      </w:pPr>
      <w:r w:rsidRPr="008354FA">
        <w:t>5.4</w:t>
      </w:r>
      <w:r w:rsidRPr="008354FA">
        <w:tab/>
        <w:t>Druh a složení vnitřního obalu</w:t>
      </w:r>
    </w:p>
    <w:p w14:paraId="1C6C7DA0" w14:textId="77777777" w:rsidR="006F6793" w:rsidRPr="008354FA" w:rsidRDefault="006F6793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22617F" w14:textId="1920673D" w:rsidR="00385181" w:rsidRPr="008354FA" w:rsidRDefault="000548ED" w:rsidP="00D67EB1">
      <w:pPr>
        <w:snapToGrid w:val="0"/>
        <w:spacing w:line="240" w:lineRule="auto"/>
        <w:rPr>
          <w:szCs w:val="22"/>
        </w:rPr>
      </w:pPr>
      <w:bookmarkStart w:id="32" w:name="_Hlk137812523"/>
      <w:r w:rsidRPr="00727EA6">
        <w:rPr>
          <w:szCs w:val="22"/>
        </w:rPr>
        <w:t xml:space="preserve">Sáčky/vaky s vnějšími a vnitřními vrstvami </w:t>
      </w:r>
      <w:r w:rsidR="008F64E3" w:rsidRPr="00727EA6">
        <w:rPr>
          <w:szCs w:val="22"/>
        </w:rPr>
        <w:t xml:space="preserve">z </w:t>
      </w:r>
      <w:proofErr w:type="spellStart"/>
      <w:r w:rsidRPr="00727EA6">
        <w:rPr>
          <w:szCs w:val="22"/>
        </w:rPr>
        <w:t>polyethylentereftalátu</w:t>
      </w:r>
      <w:proofErr w:type="spellEnd"/>
      <w:r w:rsidRPr="00727EA6">
        <w:rPr>
          <w:szCs w:val="22"/>
        </w:rPr>
        <w:t xml:space="preserve">, </w:t>
      </w:r>
      <w:proofErr w:type="spellStart"/>
      <w:r w:rsidRPr="00727EA6">
        <w:rPr>
          <w:szCs w:val="22"/>
        </w:rPr>
        <w:t>polyethylenu</w:t>
      </w:r>
      <w:proofErr w:type="spellEnd"/>
      <w:r w:rsidRPr="00727EA6">
        <w:rPr>
          <w:szCs w:val="22"/>
        </w:rPr>
        <w:t xml:space="preserve">, hliníku, </w:t>
      </w:r>
      <w:proofErr w:type="spellStart"/>
      <w:r w:rsidRPr="00727EA6">
        <w:rPr>
          <w:szCs w:val="22"/>
        </w:rPr>
        <w:t>polyethylenu</w:t>
      </w:r>
      <w:proofErr w:type="spellEnd"/>
      <w:r w:rsidRPr="00727EA6">
        <w:rPr>
          <w:szCs w:val="22"/>
        </w:rPr>
        <w:t xml:space="preserve"> (PET/PE/</w:t>
      </w:r>
      <w:r w:rsidR="008F64E3" w:rsidRPr="007A6A64">
        <w:rPr>
          <w:szCs w:val="22"/>
        </w:rPr>
        <w:t>hliník</w:t>
      </w:r>
      <w:r w:rsidRPr="007A6A64">
        <w:rPr>
          <w:szCs w:val="22"/>
        </w:rPr>
        <w:t xml:space="preserve">/PE). </w:t>
      </w:r>
      <w:bookmarkEnd w:id="32"/>
    </w:p>
    <w:p w14:paraId="16DAF544" w14:textId="77777777" w:rsidR="006F6793" w:rsidRPr="008354FA" w:rsidRDefault="006F6793" w:rsidP="00D67EB1">
      <w:pPr>
        <w:snapToGrid w:val="0"/>
        <w:spacing w:line="240" w:lineRule="auto"/>
        <w:rPr>
          <w:szCs w:val="22"/>
        </w:rPr>
      </w:pPr>
    </w:p>
    <w:p w14:paraId="72DEAAED" w14:textId="6DEA6FED" w:rsidR="00385181" w:rsidRPr="008354FA" w:rsidRDefault="000548ED" w:rsidP="00D67EB1">
      <w:pPr>
        <w:snapToGrid w:val="0"/>
        <w:spacing w:line="240" w:lineRule="auto"/>
        <w:rPr>
          <w:szCs w:val="22"/>
        </w:rPr>
      </w:pPr>
      <w:bookmarkStart w:id="33" w:name="_Hlk137812545"/>
      <w:r w:rsidRPr="00727EA6">
        <w:rPr>
          <w:szCs w:val="22"/>
        </w:rPr>
        <w:t xml:space="preserve">Sáčky/vaky s vnějšími a vnitřními vrstvami </w:t>
      </w:r>
      <w:r w:rsidR="008F64E3" w:rsidRPr="00727EA6">
        <w:rPr>
          <w:szCs w:val="22"/>
        </w:rPr>
        <w:t xml:space="preserve">z </w:t>
      </w:r>
      <w:r w:rsidRPr="00727EA6">
        <w:rPr>
          <w:szCs w:val="22"/>
        </w:rPr>
        <w:t xml:space="preserve">polyesteru, </w:t>
      </w:r>
      <w:proofErr w:type="spellStart"/>
      <w:r w:rsidRPr="00727EA6">
        <w:rPr>
          <w:szCs w:val="22"/>
        </w:rPr>
        <w:t>polyethylenu</w:t>
      </w:r>
      <w:proofErr w:type="spellEnd"/>
      <w:r w:rsidRPr="00727EA6">
        <w:rPr>
          <w:szCs w:val="22"/>
        </w:rPr>
        <w:t xml:space="preserve">, hliníku, </w:t>
      </w:r>
      <w:proofErr w:type="spellStart"/>
      <w:r w:rsidRPr="00727EA6">
        <w:rPr>
          <w:szCs w:val="22"/>
        </w:rPr>
        <w:t>ionomeru</w:t>
      </w:r>
      <w:proofErr w:type="spellEnd"/>
      <w:r w:rsidRPr="00727EA6">
        <w:rPr>
          <w:szCs w:val="22"/>
        </w:rPr>
        <w:t xml:space="preserve"> (PO/PE/</w:t>
      </w:r>
      <w:r w:rsidR="008F64E3" w:rsidRPr="007A6A64">
        <w:rPr>
          <w:szCs w:val="22"/>
        </w:rPr>
        <w:t>hliník</w:t>
      </w:r>
      <w:r w:rsidRPr="007A6A64">
        <w:rPr>
          <w:szCs w:val="22"/>
        </w:rPr>
        <w:t>/</w:t>
      </w:r>
      <w:proofErr w:type="spellStart"/>
      <w:r w:rsidRPr="007A6A64">
        <w:rPr>
          <w:szCs w:val="22"/>
        </w:rPr>
        <w:t>Ionomer</w:t>
      </w:r>
      <w:proofErr w:type="spellEnd"/>
      <w:r w:rsidRPr="007A6A64">
        <w:rPr>
          <w:szCs w:val="22"/>
        </w:rPr>
        <w:t>).</w:t>
      </w:r>
      <w:bookmarkEnd w:id="33"/>
    </w:p>
    <w:p w14:paraId="3C66C31E" w14:textId="77777777" w:rsidR="006F6793" w:rsidRPr="008354FA" w:rsidRDefault="006F6793" w:rsidP="00D67EB1">
      <w:pPr>
        <w:snapToGrid w:val="0"/>
        <w:spacing w:line="240" w:lineRule="auto"/>
        <w:rPr>
          <w:szCs w:val="22"/>
        </w:rPr>
      </w:pPr>
    </w:p>
    <w:p w14:paraId="6713798E" w14:textId="24BB7929" w:rsidR="006F6793" w:rsidRPr="008354FA" w:rsidRDefault="000548ED" w:rsidP="00D67EB1">
      <w:pPr>
        <w:snapToGrid w:val="0"/>
        <w:spacing w:line="240" w:lineRule="auto"/>
        <w:rPr>
          <w:szCs w:val="22"/>
        </w:rPr>
      </w:pPr>
      <w:bookmarkStart w:id="34" w:name="_Hlk137812571"/>
      <w:r w:rsidRPr="00727EA6">
        <w:rPr>
          <w:szCs w:val="22"/>
        </w:rPr>
        <w:t xml:space="preserve">Sáčky/vaky s vnějšími a vnitřními vrstvami </w:t>
      </w:r>
      <w:r w:rsidR="008F64E3" w:rsidRPr="00727EA6">
        <w:rPr>
          <w:szCs w:val="22"/>
        </w:rPr>
        <w:t xml:space="preserve">z </w:t>
      </w:r>
      <w:proofErr w:type="spellStart"/>
      <w:r w:rsidRPr="00727EA6">
        <w:rPr>
          <w:szCs w:val="22"/>
        </w:rPr>
        <w:t>polyethylentereftalátu</w:t>
      </w:r>
      <w:proofErr w:type="spellEnd"/>
      <w:r w:rsidRPr="00727EA6">
        <w:rPr>
          <w:szCs w:val="22"/>
        </w:rPr>
        <w:t xml:space="preserve">, hliníku, polyamidu, </w:t>
      </w:r>
      <w:proofErr w:type="spellStart"/>
      <w:r w:rsidRPr="00727EA6">
        <w:rPr>
          <w:szCs w:val="22"/>
        </w:rPr>
        <w:t>polyethylenu</w:t>
      </w:r>
      <w:proofErr w:type="spellEnd"/>
      <w:r w:rsidRPr="00727EA6">
        <w:rPr>
          <w:szCs w:val="22"/>
        </w:rPr>
        <w:t xml:space="preserve"> (PET/</w:t>
      </w:r>
      <w:r w:rsidR="008F64E3" w:rsidRPr="007A6A64">
        <w:rPr>
          <w:szCs w:val="22"/>
        </w:rPr>
        <w:t>hliník</w:t>
      </w:r>
      <w:r w:rsidRPr="007A6A64">
        <w:rPr>
          <w:szCs w:val="22"/>
        </w:rPr>
        <w:t>/PA/PE).</w:t>
      </w:r>
      <w:bookmarkEnd w:id="34"/>
    </w:p>
    <w:p w14:paraId="225633E6" w14:textId="77777777" w:rsidR="00DF2BDC" w:rsidRPr="00727EA6" w:rsidRDefault="00DF2BDC" w:rsidP="00D67EB1">
      <w:pPr>
        <w:spacing w:line="240" w:lineRule="auto"/>
        <w:rPr>
          <w:szCs w:val="22"/>
          <w:u w:val="single"/>
        </w:rPr>
      </w:pPr>
    </w:p>
    <w:p w14:paraId="001811C1" w14:textId="62639BA0" w:rsidR="0007628F" w:rsidRPr="00E07CD8" w:rsidRDefault="0007628F" w:rsidP="00D67EB1">
      <w:pPr>
        <w:spacing w:line="240" w:lineRule="auto"/>
        <w:rPr>
          <w:szCs w:val="22"/>
        </w:rPr>
      </w:pPr>
      <w:r w:rsidRPr="007A6A64">
        <w:rPr>
          <w:szCs w:val="22"/>
          <w:u w:val="single"/>
        </w:rPr>
        <w:t>Velikosti balení</w:t>
      </w:r>
      <w:r w:rsidRPr="007A6A64">
        <w:rPr>
          <w:szCs w:val="22"/>
        </w:rPr>
        <w:t xml:space="preserve">:100 g, 250 g, 500 g, 1 kg, 2,5 kg a 5 kg </w:t>
      </w:r>
    </w:p>
    <w:p w14:paraId="47F483CC" w14:textId="77777777" w:rsidR="0007628F" w:rsidRPr="008354FA" w:rsidRDefault="0007628F" w:rsidP="00D67EB1">
      <w:pPr>
        <w:snapToGrid w:val="0"/>
        <w:spacing w:line="240" w:lineRule="auto"/>
        <w:rPr>
          <w:szCs w:val="22"/>
        </w:rPr>
      </w:pPr>
    </w:p>
    <w:p w14:paraId="5C703918" w14:textId="22C50330" w:rsidR="00C114FF" w:rsidRPr="008354FA" w:rsidRDefault="00273FA6" w:rsidP="008354FA">
      <w:pPr>
        <w:tabs>
          <w:tab w:val="clear" w:pos="567"/>
        </w:tabs>
        <w:spacing w:line="240" w:lineRule="auto"/>
        <w:rPr>
          <w:szCs w:val="22"/>
        </w:rPr>
      </w:pPr>
      <w:r w:rsidRPr="008354FA">
        <w:rPr>
          <w:szCs w:val="22"/>
        </w:rPr>
        <w:t>Na trhu nemusí být všechny velikosti balení.</w:t>
      </w:r>
    </w:p>
    <w:p w14:paraId="584B339F" w14:textId="77777777" w:rsidR="00C114FF" w:rsidRPr="008354FA" w:rsidRDefault="00C114FF" w:rsidP="008354F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8354FA" w:rsidRDefault="00273FA6" w:rsidP="008354FA">
      <w:pPr>
        <w:pStyle w:val="Style1"/>
        <w:keepNext/>
        <w:jc w:val="both"/>
      </w:pPr>
      <w:r w:rsidRPr="008354FA">
        <w:t>5.5</w:t>
      </w:r>
      <w:r w:rsidRPr="008354FA">
        <w:tab/>
        <w:t xml:space="preserve">Zvláštní opatření pro </w:t>
      </w:r>
      <w:r w:rsidR="00CF069C" w:rsidRPr="008354FA">
        <w:t xml:space="preserve">likvidaci </w:t>
      </w:r>
      <w:r w:rsidRPr="008354FA">
        <w:t>nepoužit</w:t>
      </w:r>
      <w:r w:rsidR="002F64C6" w:rsidRPr="008354FA">
        <w:t>ých</w:t>
      </w:r>
      <w:r w:rsidR="00905CAB" w:rsidRPr="008354FA">
        <w:t xml:space="preserve"> </w:t>
      </w:r>
      <w:r w:rsidRPr="008354FA">
        <w:t>veterinární</w:t>
      </w:r>
      <w:r w:rsidR="002F64C6" w:rsidRPr="008354FA">
        <w:t>ch</w:t>
      </w:r>
      <w:r w:rsidRPr="008354FA">
        <w:t xml:space="preserve"> léčiv</w:t>
      </w:r>
      <w:r w:rsidR="002F64C6" w:rsidRPr="008354FA">
        <w:t>ých</w:t>
      </w:r>
      <w:r w:rsidRPr="008354FA">
        <w:t xml:space="preserve"> přípravk</w:t>
      </w:r>
      <w:r w:rsidR="002F64C6" w:rsidRPr="008354FA">
        <w:t>ů</w:t>
      </w:r>
      <w:r w:rsidRPr="008354FA">
        <w:t xml:space="preserve"> nebo odpad</w:t>
      </w:r>
      <w:r w:rsidR="00F84AED" w:rsidRPr="008354FA">
        <w:t>ů</w:t>
      </w:r>
      <w:r w:rsidR="00B36E65" w:rsidRPr="008354FA">
        <w:t>, kter</w:t>
      </w:r>
      <w:r w:rsidR="00F84AED" w:rsidRPr="008354FA">
        <w:t>é</w:t>
      </w:r>
      <w:r w:rsidRPr="008354FA">
        <w:t xml:space="preserve"> pocház</w:t>
      </w:r>
      <w:r w:rsidR="00B36E65" w:rsidRPr="008354FA">
        <w:t>í</w:t>
      </w:r>
      <w:r w:rsidRPr="008354FA">
        <w:t xml:space="preserve"> z</w:t>
      </w:r>
      <w:r w:rsidR="002F64C6" w:rsidRPr="008354FA">
        <w:t> </w:t>
      </w:r>
      <w:r w:rsidRPr="008354FA">
        <w:t>t</w:t>
      </w:r>
      <w:r w:rsidR="002F64C6" w:rsidRPr="008354FA">
        <w:t xml:space="preserve">ěchto </w:t>
      </w:r>
      <w:r w:rsidRPr="008354FA">
        <w:t>přípravk</w:t>
      </w:r>
      <w:r w:rsidR="002F64C6" w:rsidRPr="008354FA">
        <w:t>ů</w:t>
      </w:r>
    </w:p>
    <w:p w14:paraId="3FFBC822" w14:textId="77777777" w:rsidR="006F6793" w:rsidRPr="008354FA" w:rsidRDefault="006F6793" w:rsidP="00D67EB1">
      <w:pPr>
        <w:keepNext/>
        <w:spacing w:line="240" w:lineRule="auto"/>
        <w:jc w:val="both"/>
        <w:rPr>
          <w:szCs w:val="22"/>
        </w:rPr>
      </w:pPr>
    </w:p>
    <w:p w14:paraId="28682A0A" w14:textId="2617D03F" w:rsidR="00FD1E45" w:rsidRPr="008354FA" w:rsidRDefault="00273FA6" w:rsidP="00D67EB1">
      <w:pPr>
        <w:spacing w:line="240" w:lineRule="auto"/>
        <w:jc w:val="both"/>
        <w:rPr>
          <w:szCs w:val="22"/>
        </w:rPr>
      </w:pPr>
      <w:r w:rsidRPr="008354FA">
        <w:rPr>
          <w:szCs w:val="22"/>
        </w:rPr>
        <w:t>Léčivé přípravky se nesmí likvidovat prostřednictvím odpadní vody či domovního odpadu.</w:t>
      </w:r>
    </w:p>
    <w:p w14:paraId="47363B7A" w14:textId="1E0C1412" w:rsidR="00C114FF" w:rsidRPr="008354FA" w:rsidRDefault="00273FA6" w:rsidP="008354F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354FA">
        <w:rPr>
          <w:szCs w:val="22"/>
        </w:rPr>
        <w:t>Všechen n</w:t>
      </w:r>
      <w:r w:rsidR="00DA2A06" w:rsidRPr="008354FA">
        <w:rPr>
          <w:szCs w:val="22"/>
        </w:rPr>
        <w:t xml:space="preserve">epoužitý veterinární léčivý přípravek nebo </w:t>
      </w:r>
      <w:r w:rsidR="00905CAB" w:rsidRPr="008354FA">
        <w:rPr>
          <w:szCs w:val="22"/>
        </w:rPr>
        <w:t>odpad, který pochází z tohoto přípravku,</w:t>
      </w:r>
      <w:r w:rsidR="00DA2A06" w:rsidRPr="008354FA">
        <w:rPr>
          <w:szCs w:val="22"/>
        </w:rPr>
        <w:t xml:space="preserve"> </w:t>
      </w:r>
      <w:r w:rsidR="004C0568" w:rsidRPr="008354FA">
        <w:rPr>
          <w:szCs w:val="22"/>
        </w:rPr>
        <w:t xml:space="preserve">likvidujte </w:t>
      </w:r>
      <w:r w:rsidR="007464DA" w:rsidRPr="008354FA">
        <w:rPr>
          <w:szCs w:val="22"/>
        </w:rPr>
        <w:t>odevzdáním</w:t>
      </w:r>
      <w:r w:rsidR="00730908" w:rsidRPr="008354FA">
        <w:rPr>
          <w:szCs w:val="22"/>
        </w:rPr>
        <w:t xml:space="preserve"> </w:t>
      </w:r>
      <w:r w:rsidR="00DA2A06" w:rsidRPr="008354FA">
        <w:rPr>
          <w:szCs w:val="22"/>
        </w:rPr>
        <w:t>v souladu s místními požadavky a národními systémy sběru, které jsou platné pro příslušný veterinární léčivý přípravek.</w:t>
      </w:r>
    </w:p>
    <w:p w14:paraId="06949C1A" w14:textId="290E8DC6" w:rsidR="00C114FF" w:rsidRDefault="00C114F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2E61B973" w14:textId="77777777" w:rsidR="008354FA" w:rsidRPr="00A4353F" w:rsidRDefault="008354FA" w:rsidP="008354FA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8354FA" w:rsidRDefault="00273FA6" w:rsidP="008354FA">
      <w:pPr>
        <w:pStyle w:val="Style1"/>
      </w:pPr>
      <w:r w:rsidRPr="008354FA">
        <w:t>6.</w:t>
      </w:r>
      <w:r w:rsidRPr="008354FA">
        <w:tab/>
        <w:t>JMÉNO DRŽITELE ROZHODNUTÍ O REGISTRACI</w:t>
      </w:r>
    </w:p>
    <w:p w14:paraId="2E652F1A" w14:textId="77777777" w:rsidR="00C114FF" w:rsidRPr="008354FA" w:rsidRDefault="00C114FF" w:rsidP="00A4353F">
      <w:pPr>
        <w:tabs>
          <w:tab w:val="clear" w:pos="567"/>
        </w:tabs>
        <w:spacing w:line="240" w:lineRule="auto"/>
        <w:rPr>
          <w:szCs w:val="22"/>
        </w:rPr>
      </w:pPr>
    </w:p>
    <w:p w14:paraId="5D47C183" w14:textId="6A7AD18A" w:rsidR="006F6793" w:rsidRPr="008354FA" w:rsidRDefault="006F6793" w:rsidP="00D67EB1">
      <w:pPr>
        <w:tabs>
          <w:tab w:val="left" w:pos="993"/>
        </w:tabs>
        <w:snapToGrid w:val="0"/>
        <w:spacing w:line="240" w:lineRule="auto"/>
        <w:rPr>
          <w:szCs w:val="22"/>
        </w:rPr>
      </w:pPr>
      <w:bookmarkStart w:id="35" w:name="_Hlk126760181"/>
      <w:proofErr w:type="spellStart"/>
      <w:r w:rsidRPr="008354FA">
        <w:rPr>
          <w:szCs w:val="22"/>
        </w:rPr>
        <w:t>Eurovet</w:t>
      </w:r>
      <w:proofErr w:type="spellEnd"/>
      <w:r w:rsidRPr="008354FA">
        <w:rPr>
          <w:szCs w:val="22"/>
        </w:rPr>
        <w:t xml:space="preserve"> Animal </w:t>
      </w:r>
      <w:proofErr w:type="spellStart"/>
      <w:r w:rsidRPr="008354FA">
        <w:rPr>
          <w:szCs w:val="22"/>
        </w:rPr>
        <w:t>Health</w:t>
      </w:r>
      <w:proofErr w:type="spellEnd"/>
      <w:r w:rsidRPr="008354FA">
        <w:rPr>
          <w:szCs w:val="22"/>
        </w:rPr>
        <w:t xml:space="preserve"> BV</w:t>
      </w:r>
    </w:p>
    <w:p w14:paraId="02DE6851" w14:textId="77777777" w:rsidR="008354FA" w:rsidRPr="00A4353F" w:rsidRDefault="008354FA" w:rsidP="00D67EB1">
      <w:pPr>
        <w:tabs>
          <w:tab w:val="left" w:pos="993"/>
        </w:tabs>
        <w:snapToGrid w:val="0"/>
        <w:spacing w:line="240" w:lineRule="auto"/>
        <w:rPr>
          <w:szCs w:val="22"/>
        </w:rPr>
      </w:pPr>
    </w:p>
    <w:bookmarkEnd w:id="35"/>
    <w:p w14:paraId="6CB09C60" w14:textId="77777777" w:rsidR="00C114FF" w:rsidRPr="008354FA" w:rsidRDefault="00C114F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8354FA" w:rsidRDefault="00273FA6" w:rsidP="008354FA">
      <w:pPr>
        <w:pStyle w:val="Style1"/>
      </w:pPr>
      <w:r w:rsidRPr="008354FA">
        <w:t>7.</w:t>
      </w:r>
      <w:r w:rsidRPr="008354FA">
        <w:tab/>
        <w:t>REGISTRAČNÍ ČÍSLO(A)</w:t>
      </w:r>
    </w:p>
    <w:p w14:paraId="427D05E5" w14:textId="200FEEB9" w:rsidR="00C114FF" w:rsidRPr="008354FA" w:rsidRDefault="00C114F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7C74A9F4" w14:textId="77777777" w:rsidR="006F6793" w:rsidRPr="008354FA" w:rsidRDefault="006F6793" w:rsidP="00D67EB1">
      <w:pPr>
        <w:snapToGrid w:val="0"/>
        <w:spacing w:line="240" w:lineRule="auto"/>
        <w:outlineLvl w:val="0"/>
        <w:rPr>
          <w:szCs w:val="22"/>
        </w:rPr>
      </w:pPr>
      <w:bookmarkStart w:id="36" w:name="_Hlk126760098"/>
      <w:r w:rsidRPr="008354FA">
        <w:rPr>
          <w:szCs w:val="22"/>
        </w:rPr>
        <w:t>96/036/</w:t>
      </w:r>
      <w:proofErr w:type="gramStart"/>
      <w:r w:rsidRPr="008354FA">
        <w:rPr>
          <w:szCs w:val="22"/>
        </w:rPr>
        <w:t>08-C</w:t>
      </w:r>
      <w:proofErr w:type="gramEnd"/>
    </w:p>
    <w:bookmarkEnd w:id="36"/>
    <w:p w14:paraId="1E45F27F" w14:textId="1E018739" w:rsidR="006F6793" w:rsidRDefault="006F6793" w:rsidP="008354FA">
      <w:pPr>
        <w:tabs>
          <w:tab w:val="clear" w:pos="567"/>
        </w:tabs>
        <w:spacing w:line="240" w:lineRule="auto"/>
        <w:rPr>
          <w:szCs w:val="22"/>
        </w:rPr>
      </w:pPr>
    </w:p>
    <w:p w14:paraId="3BAD5433" w14:textId="77777777" w:rsidR="008354FA" w:rsidRPr="00D75D3E" w:rsidRDefault="008354FA" w:rsidP="008354FA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D75D3E" w:rsidRDefault="00273FA6" w:rsidP="008354FA">
      <w:pPr>
        <w:pStyle w:val="Style1"/>
      </w:pPr>
      <w:r w:rsidRPr="00D75D3E">
        <w:lastRenderedPageBreak/>
        <w:t>8.</w:t>
      </w:r>
      <w:r w:rsidRPr="00D75D3E">
        <w:tab/>
        <w:t>DATUM PRVNÍ REGISTRACE</w:t>
      </w:r>
    </w:p>
    <w:p w14:paraId="3863C575" w14:textId="77777777" w:rsidR="00C114FF" w:rsidRPr="00D75D3E" w:rsidRDefault="00C114F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3CA80573" w:rsidR="00D65777" w:rsidRPr="00D75D3E" w:rsidRDefault="00273FA6" w:rsidP="008354FA">
      <w:pPr>
        <w:tabs>
          <w:tab w:val="clear" w:pos="567"/>
        </w:tabs>
        <w:spacing w:line="240" w:lineRule="auto"/>
        <w:rPr>
          <w:szCs w:val="22"/>
        </w:rPr>
      </w:pPr>
      <w:r w:rsidRPr="00D75D3E">
        <w:rPr>
          <w:szCs w:val="22"/>
        </w:rPr>
        <w:t>Datum první registrace:</w:t>
      </w:r>
      <w:r w:rsidR="006F6793" w:rsidRPr="00D75D3E">
        <w:rPr>
          <w:szCs w:val="22"/>
        </w:rPr>
        <w:t xml:space="preserve"> 16/06/2008</w:t>
      </w:r>
    </w:p>
    <w:p w14:paraId="70B0A25D" w14:textId="4C4B6F53" w:rsidR="00D65777" w:rsidRDefault="00D65777" w:rsidP="008354FA">
      <w:pPr>
        <w:tabs>
          <w:tab w:val="clear" w:pos="567"/>
        </w:tabs>
        <w:spacing w:line="240" w:lineRule="auto"/>
        <w:rPr>
          <w:szCs w:val="22"/>
        </w:rPr>
      </w:pPr>
    </w:p>
    <w:p w14:paraId="04FAA264" w14:textId="77777777" w:rsidR="008354FA" w:rsidRPr="00D75D3E" w:rsidRDefault="008354FA" w:rsidP="00A4353F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D75D3E" w:rsidRDefault="00273FA6">
      <w:pPr>
        <w:pStyle w:val="Style1"/>
      </w:pPr>
      <w:r w:rsidRPr="00D75D3E">
        <w:t>9.</w:t>
      </w:r>
      <w:r w:rsidRPr="00D75D3E">
        <w:tab/>
        <w:t>DATUM POSLEDNÍ AKTUALIZACE SOUHRNU ÚDAJŮ O PŘÍPRAVKU</w:t>
      </w:r>
    </w:p>
    <w:p w14:paraId="30326986" w14:textId="77777777" w:rsidR="00C114FF" w:rsidRPr="00D75D3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1B4C37D1" w:rsidR="00423968" w:rsidRPr="00D75D3E" w:rsidRDefault="00D67EB1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>Leden</w:t>
      </w:r>
      <w:proofErr w:type="gramEnd"/>
      <w:r>
        <w:rPr>
          <w:szCs w:val="22"/>
        </w:rPr>
        <w:t xml:space="preserve"> 2024</w:t>
      </w:r>
      <w:bookmarkStart w:id="37" w:name="_GoBack"/>
      <w:bookmarkEnd w:id="37"/>
    </w:p>
    <w:p w14:paraId="6FC60129" w14:textId="77777777" w:rsidR="00C114FF" w:rsidRPr="00D75D3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D75D3E" w:rsidRDefault="00B113B9" w:rsidP="008354FA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D75D3E" w:rsidRDefault="00273FA6" w:rsidP="008354FA">
      <w:pPr>
        <w:pStyle w:val="Style1"/>
      </w:pPr>
      <w:r w:rsidRPr="00D75D3E">
        <w:t>10.</w:t>
      </w:r>
      <w:r w:rsidRPr="00D75D3E">
        <w:tab/>
        <w:t>KLASIFIKACE VETERINÁRNÍCH LÉČIVÝCH PŘÍPRAVKŮ</w:t>
      </w:r>
    </w:p>
    <w:p w14:paraId="1F12B426" w14:textId="77777777" w:rsidR="0078538F" w:rsidRPr="00D75D3E" w:rsidRDefault="0078538F" w:rsidP="008354FA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BE9DA3B" w:rsidR="0078538F" w:rsidRPr="00D75D3E" w:rsidRDefault="00273FA6" w:rsidP="00D67EB1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38" w:name="_Hlk126753717"/>
      <w:r w:rsidRPr="00D75D3E">
        <w:rPr>
          <w:szCs w:val="22"/>
        </w:rPr>
        <w:t>Veterinární léčivý přípravek je vydáván pouze na předpis.</w:t>
      </w:r>
    </w:p>
    <w:bookmarkEnd w:id="38"/>
    <w:p w14:paraId="05E12133" w14:textId="77777777" w:rsidR="0078538F" w:rsidRPr="00D75D3E" w:rsidRDefault="0078538F" w:rsidP="00D67EB1">
      <w:pPr>
        <w:spacing w:line="240" w:lineRule="auto"/>
        <w:jc w:val="both"/>
        <w:rPr>
          <w:szCs w:val="22"/>
        </w:rPr>
      </w:pPr>
    </w:p>
    <w:p w14:paraId="28C35B4C" w14:textId="54486960" w:rsidR="0078538F" w:rsidRDefault="00273FA6">
      <w:pPr>
        <w:spacing w:line="240" w:lineRule="auto"/>
        <w:jc w:val="both"/>
        <w:rPr>
          <w:i/>
          <w:szCs w:val="22"/>
        </w:rPr>
      </w:pPr>
      <w:bookmarkStart w:id="39" w:name="_Hlk73467306"/>
      <w:bookmarkStart w:id="40" w:name="_Hlk152757165"/>
      <w:r w:rsidRPr="00D75D3E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D75D3E">
          <w:rPr>
            <w:rStyle w:val="Hypertextovodkaz"/>
            <w:szCs w:val="22"/>
          </w:rPr>
          <w:t>https://medicines.health.europa.eu/veterinary</w:t>
        </w:r>
      </w:hyperlink>
      <w:r w:rsidRPr="00D75D3E">
        <w:rPr>
          <w:szCs w:val="22"/>
        </w:rPr>
        <w:t>)</w:t>
      </w:r>
      <w:r w:rsidRPr="00D75D3E">
        <w:rPr>
          <w:i/>
          <w:szCs w:val="22"/>
        </w:rPr>
        <w:t>.</w:t>
      </w:r>
    </w:p>
    <w:p w14:paraId="78FF696E" w14:textId="77777777" w:rsidR="006B4303" w:rsidRPr="00D75D3E" w:rsidRDefault="006B4303" w:rsidP="00D67EB1">
      <w:pPr>
        <w:spacing w:line="240" w:lineRule="auto"/>
        <w:jc w:val="both"/>
        <w:rPr>
          <w:szCs w:val="22"/>
        </w:rPr>
      </w:pPr>
    </w:p>
    <w:p w14:paraId="620E2904" w14:textId="77777777" w:rsidR="006B4303" w:rsidRPr="00FF6F52" w:rsidRDefault="006B4303" w:rsidP="006B4303">
      <w:pPr>
        <w:spacing w:line="240" w:lineRule="auto"/>
        <w:jc w:val="both"/>
        <w:rPr>
          <w:rFonts w:asciiTheme="minorHAnsi" w:hAnsiTheme="minorHAnsi" w:cstheme="minorHAnsi"/>
        </w:rPr>
      </w:pPr>
      <w:bookmarkStart w:id="41" w:name="_Hlk148432335"/>
      <w:bookmarkEnd w:id="39"/>
      <w:r w:rsidRPr="00FF6F52">
        <w:rPr>
          <w:rFonts w:asciiTheme="minorHAnsi" w:hAnsiTheme="minorHAnsi" w:cstheme="minorHAnsi"/>
        </w:rPr>
        <w:t>Podrobné informace o tomto veterinárním léčivém přípravku naleznete také v národní databázi (</w:t>
      </w:r>
      <w:hyperlink r:id="rId9" w:history="1">
        <w:r w:rsidRPr="00FF6F52">
          <w:rPr>
            <w:rStyle w:val="Hypertextovodkaz"/>
            <w:rFonts w:asciiTheme="minorHAnsi" w:hAnsiTheme="minorHAnsi" w:cstheme="minorHAnsi"/>
          </w:rPr>
          <w:t>https://www.uskvbl.cz</w:t>
        </w:r>
      </w:hyperlink>
      <w:r w:rsidRPr="00FF6F52">
        <w:rPr>
          <w:rFonts w:asciiTheme="minorHAnsi" w:hAnsiTheme="minorHAnsi" w:cstheme="minorHAnsi"/>
        </w:rPr>
        <w:t>).</w:t>
      </w:r>
    </w:p>
    <w:bookmarkEnd w:id="40"/>
    <w:bookmarkEnd w:id="41"/>
    <w:p w14:paraId="0D5DC9AA" w14:textId="77777777" w:rsidR="006B4303" w:rsidRPr="00D75D3E" w:rsidRDefault="006B4303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BBFD3F" w14:textId="77777777" w:rsidR="005F346D" w:rsidRPr="00D75D3E" w:rsidRDefault="005F346D" w:rsidP="00D67EB1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D75D3E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B9530" w14:textId="77777777" w:rsidR="00C02F57" w:rsidRDefault="00C02F57">
      <w:pPr>
        <w:spacing w:line="240" w:lineRule="auto"/>
      </w:pPr>
      <w:r>
        <w:separator/>
      </w:r>
    </w:p>
  </w:endnote>
  <w:endnote w:type="continuationSeparator" w:id="0">
    <w:p w14:paraId="116B4F45" w14:textId="77777777" w:rsidR="00C02F57" w:rsidRDefault="00C02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DAB9C" w14:textId="77777777" w:rsidR="00C02F57" w:rsidRDefault="00C02F57">
      <w:pPr>
        <w:spacing w:line="240" w:lineRule="auto"/>
      </w:pPr>
      <w:r>
        <w:separator/>
      </w:r>
    </w:p>
  </w:footnote>
  <w:footnote w:type="continuationSeparator" w:id="0">
    <w:p w14:paraId="72A5C851" w14:textId="77777777" w:rsidR="00C02F57" w:rsidRDefault="00C02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B1C5" w14:textId="4B948E64" w:rsidR="006A783E" w:rsidRDefault="006A783E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186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6B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CF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4B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6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C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E8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A3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87298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DA7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A8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8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3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0F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F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A4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9E2EF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1CC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3C4A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8B6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8E6F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102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805A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08721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20C7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8361A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00D9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AE1C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4E80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2CC33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C003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E4242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4AE8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12CF0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60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24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82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62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E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81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60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C8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F382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2CD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5C9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9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E7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49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B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8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36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D604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B069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E32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8E8B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9C4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284F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88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62C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6A11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4E655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522B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A9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E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4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0E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8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B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8B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B9AFE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E00C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E66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0D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C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A1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22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0B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C6E1F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666A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8C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5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24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AB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02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CA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B69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3B6F5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0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06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A7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A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A1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63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47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AC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D2AD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F321B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E626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30DA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ADA245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B005B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CAE0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D00F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0C9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D28244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00B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46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45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8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A2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6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69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45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F4868A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6EEB08" w:tentative="1">
      <w:start w:val="1"/>
      <w:numFmt w:val="lowerLetter"/>
      <w:lvlText w:val="%2."/>
      <w:lvlJc w:val="left"/>
      <w:pPr>
        <w:ind w:left="1440" w:hanging="360"/>
      </w:pPr>
    </w:lvl>
    <w:lvl w:ilvl="2" w:tplc="428436E6" w:tentative="1">
      <w:start w:val="1"/>
      <w:numFmt w:val="lowerRoman"/>
      <w:lvlText w:val="%3."/>
      <w:lvlJc w:val="right"/>
      <w:pPr>
        <w:ind w:left="2160" w:hanging="180"/>
      </w:pPr>
    </w:lvl>
    <w:lvl w:ilvl="3" w:tplc="7AFA435A" w:tentative="1">
      <w:start w:val="1"/>
      <w:numFmt w:val="decimal"/>
      <w:lvlText w:val="%4."/>
      <w:lvlJc w:val="left"/>
      <w:pPr>
        <w:ind w:left="2880" w:hanging="360"/>
      </w:pPr>
    </w:lvl>
    <w:lvl w:ilvl="4" w:tplc="376EDA92" w:tentative="1">
      <w:start w:val="1"/>
      <w:numFmt w:val="lowerLetter"/>
      <w:lvlText w:val="%5."/>
      <w:lvlJc w:val="left"/>
      <w:pPr>
        <w:ind w:left="3600" w:hanging="360"/>
      </w:pPr>
    </w:lvl>
    <w:lvl w:ilvl="5" w:tplc="C9AA2BAE" w:tentative="1">
      <w:start w:val="1"/>
      <w:numFmt w:val="lowerRoman"/>
      <w:lvlText w:val="%6."/>
      <w:lvlJc w:val="right"/>
      <w:pPr>
        <w:ind w:left="4320" w:hanging="180"/>
      </w:pPr>
    </w:lvl>
    <w:lvl w:ilvl="6" w:tplc="326A7EAE" w:tentative="1">
      <w:start w:val="1"/>
      <w:numFmt w:val="decimal"/>
      <w:lvlText w:val="%7."/>
      <w:lvlJc w:val="left"/>
      <w:pPr>
        <w:ind w:left="5040" w:hanging="360"/>
      </w:pPr>
    </w:lvl>
    <w:lvl w:ilvl="7" w:tplc="74A4597E" w:tentative="1">
      <w:start w:val="1"/>
      <w:numFmt w:val="lowerLetter"/>
      <w:lvlText w:val="%8."/>
      <w:lvlJc w:val="left"/>
      <w:pPr>
        <w:ind w:left="5760" w:hanging="360"/>
      </w:pPr>
    </w:lvl>
    <w:lvl w:ilvl="8" w:tplc="B22A9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004F2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AE3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36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2B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A8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321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C4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9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60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652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A3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A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0B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E1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8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E3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8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E6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92C48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08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6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67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2D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06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6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C9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29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8540270">
      <w:start w:val="1"/>
      <w:numFmt w:val="decimal"/>
      <w:lvlText w:val="%1."/>
      <w:lvlJc w:val="left"/>
      <w:pPr>
        <w:ind w:left="720" w:hanging="360"/>
      </w:pPr>
    </w:lvl>
    <w:lvl w:ilvl="1" w:tplc="CD40B0D8" w:tentative="1">
      <w:start w:val="1"/>
      <w:numFmt w:val="lowerLetter"/>
      <w:lvlText w:val="%2."/>
      <w:lvlJc w:val="left"/>
      <w:pPr>
        <w:ind w:left="1440" w:hanging="360"/>
      </w:pPr>
    </w:lvl>
    <w:lvl w:ilvl="2" w:tplc="C4AA2120" w:tentative="1">
      <w:start w:val="1"/>
      <w:numFmt w:val="lowerRoman"/>
      <w:lvlText w:val="%3."/>
      <w:lvlJc w:val="right"/>
      <w:pPr>
        <w:ind w:left="2160" w:hanging="180"/>
      </w:pPr>
    </w:lvl>
    <w:lvl w:ilvl="3" w:tplc="3BA4713C" w:tentative="1">
      <w:start w:val="1"/>
      <w:numFmt w:val="decimal"/>
      <w:lvlText w:val="%4."/>
      <w:lvlJc w:val="left"/>
      <w:pPr>
        <w:ind w:left="2880" w:hanging="360"/>
      </w:pPr>
    </w:lvl>
    <w:lvl w:ilvl="4" w:tplc="97980CAE" w:tentative="1">
      <w:start w:val="1"/>
      <w:numFmt w:val="lowerLetter"/>
      <w:lvlText w:val="%5."/>
      <w:lvlJc w:val="left"/>
      <w:pPr>
        <w:ind w:left="3600" w:hanging="360"/>
      </w:pPr>
    </w:lvl>
    <w:lvl w:ilvl="5" w:tplc="B3E2615A" w:tentative="1">
      <w:start w:val="1"/>
      <w:numFmt w:val="lowerRoman"/>
      <w:lvlText w:val="%6."/>
      <w:lvlJc w:val="right"/>
      <w:pPr>
        <w:ind w:left="4320" w:hanging="180"/>
      </w:pPr>
    </w:lvl>
    <w:lvl w:ilvl="6" w:tplc="37087AE6" w:tentative="1">
      <w:start w:val="1"/>
      <w:numFmt w:val="decimal"/>
      <w:lvlText w:val="%7."/>
      <w:lvlJc w:val="left"/>
      <w:pPr>
        <w:ind w:left="5040" w:hanging="360"/>
      </w:pPr>
    </w:lvl>
    <w:lvl w:ilvl="7" w:tplc="53DA6C38" w:tentative="1">
      <w:start w:val="1"/>
      <w:numFmt w:val="lowerLetter"/>
      <w:lvlText w:val="%8."/>
      <w:lvlJc w:val="left"/>
      <w:pPr>
        <w:ind w:left="5760" w:hanging="360"/>
      </w:pPr>
    </w:lvl>
    <w:lvl w:ilvl="8" w:tplc="0B448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6E273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2E1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FE6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9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86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09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4C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6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C3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1A1"/>
    <w:rsid w:val="000349AA"/>
    <w:rsid w:val="00036C50"/>
    <w:rsid w:val="000503FC"/>
    <w:rsid w:val="00052D2B"/>
    <w:rsid w:val="000548ED"/>
    <w:rsid w:val="00054F55"/>
    <w:rsid w:val="00056EE7"/>
    <w:rsid w:val="00062945"/>
    <w:rsid w:val="00063946"/>
    <w:rsid w:val="0007628F"/>
    <w:rsid w:val="00080453"/>
    <w:rsid w:val="0008169A"/>
    <w:rsid w:val="00082200"/>
    <w:rsid w:val="000838BB"/>
    <w:rsid w:val="000860CE"/>
    <w:rsid w:val="00092A37"/>
    <w:rsid w:val="000938A6"/>
    <w:rsid w:val="00093FFF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059B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3682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1C6A"/>
    <w:rsid w:val="0022380D"/>
    <w:rsid w:val="00224B93"/>
    <w:rsid w:val="00226630"/>
    <w:rsid w:val="002302A4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FA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79BF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181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2610"/>
    <w:rsid w:val="00506AAE"/>
    <w:rsid w:val="00517756"/>
    <w:rsid w:val="005202C6"/>
    <w:rsid w:val="00523C53"/>
    <w:rsid w:val="005272F4"/>
    <w:rsid w:val="00527B8F"/>
    <w:rsid w:val="005333D5"/>
    <w:rsid w:val="00536031"/>
    <w:rsid w:val="0054134B"/>
    <w:rsid w:val="00542012"/>
    <w:rsid w:val="00543DF5"/>
    <w:rsid w:val="00545A61"/>
    <w:rsid w:val="00551A87"/>
    <w:rsid w:val="0055260D"/>
    <w:rsid w:val="00555422"/>
    <w:rsid w:val="00555810"/>
    <w:rsid w:val="00562715"/>
    <w:rsid w:val="00562DCA"/>
    <w:rsid w:val="0056568F"/>
    <w:rsid w:val="00567001"/>
    <w:rsid w:val="0057436C"/>
    <w:rsid w:val="00575DE3"/>
    <w:rsid w:val="00580B08"/>
    <w:rsid w:val="00582578"/>
    <w:rsid w:val="0058621D"/>
    <w:rsid w:val="00586904"/>
    <w:rsid w:val="005A3BDA"/>
    <w:rsid w:val="005A4CBE"/>
    <w:rsid w:val="005B04A8"/>
    <w:rsid w:val="005B1FD0"/>
    <w:rsid w:val="005B229D"/>
    <w:rsid w:val="005B28AD"/>
    <w:rsid w:val="005B328D"/>
    <w:rsid w:val="005B3503"/>
    <w:rsid w:val="005B3EE7"/>
    <w:rsid w:val="005B4DCD"/>
    <w:rsid w:val="005B4FAD"/>
    <w:rsid w:val="005C276A"/>
    <w:rsid w:val="005C31DD"/>
    <w:rsid w:val="005C3AA4"/>
    <w:rsid w:val="005D380C"/>
    <w:rsid w:val="005D3F79"/>
    <w:rsid w:val="005D6E04"/>
    <w:rsid w:val="005D7A12"/>
    <w:rsid w:val="005E04B5"/>
    <w:rsid w:val="005E53EE"/>
    <w:rsid w:val="005E66FC"/>
    <w:rsid w:val="005F0542"/>
    <w:rsid w:val="005F0F72"/>
    <w:rsid w:val="005F1C1F"/>
    <w:rsid w:val="005F2FAD"/>
    <w:rsid w:val="005F346D"/>
    <w:rsid w:val="005F38FB"/>
    <w:rsid w:val="00600B59"/>
    <w:rsid w:val="00602D3B"/>
    <w:rsid w:val="0060326F"/>
    <w:rsid w:val="006034D8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83E"/>
    <w:rsid w:val="006B12CB"/>
    <w:rsid w:val="006B2030"/>
    <w:rsid w:val="006B4303"/>
    <w:rsid w:val="006B4FF2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6793"/>
    <w:rsid w:val="00705EAF"/>
    <w:rsid w:val="0070773E"/>
    <w:rsid w:val="007101CC"/>
    <w:rsid w:val="00715C55"/>
    <w:rsid w:val="00724E3B"/>
    <w:rsid w:val="00725EEA"/>
    <w:rsid w:val="007276B6"/>
    <w:rsid w:val="00727EA6"/>
    <w:rsid w:val="00730908"/>
    <w:rsid w:val="00730CE9"/>
    <w:rsid w:val="0073373D"/>
    <w:rsid w:val="00736B1E"/>
    <w:rsid w:val="007439DB"/>
    <w:rsid w:val="007464DA"/>
    <w:rsid w:val="00750916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9CD"/>
    <w:rsid w:val="007A286D"/>
    <w:rsid w:val="007A314D"/>
    <w:rsid w:val="007A38DF"/>
    <w:rsid w:val="007A6A64"/>
    <w:rsid w:val="007B00E5"/>
    <w:rsid w:val="007B02EF"/>
    <w:rsid w:val="007B20CF"/>
    <w:rsid w:val="007B2499"/>
    <w:rsid w:val="007B57D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4FA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5976"/>
    <w:rsid w:val="008C261B"/>
    <w:rsid w:val="008C2B29"/>
    <w:rsid w:val="008C4FCA"/>
    <w:rsid w:val="008C7882"/>
    <w:rsid w:val="008C7CE5"/>
    <w:rsid w:val="008D2261"/>
    <w:rsid w:val="008D4897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4E3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526"/>
    <w:rsid w:val="00A00C78"/>
    <w:rsid w:val="00A03F6E"/>
    <w:rsid w:val="00A0479E"/>
    <w:rsid w:val="00A068D7"/>
    <w:rsid w:val="00A07979"/>
    <w:rsid w:val="00A11755"/>
    <w:rsid w:val="00A16BAC"/>
    <w:rsid w:val="00A207FB"/>
    <w:rsid w:val="00A20ADC"/>
    <w:rsid w:val="00A24016"/>
    <w:rsid w:val="00A24CFA"/>
    <w:rsid w:val="00A265BF"/>
    <w:rsid w:val="00A26F44"/>
    <w:rsid w:val="00A34FAB"/>
    <w:rsid w:val="00A42C43"/>
    <w:rsid w:val="00A4313D"/>
    <w:rsid w:val="00A4353F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2284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37093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B6A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2F57"/>
    <w:rsid w:val="00C05321"/>
    <w:rsid w:val="00C06AE4"/>
    <w:rsid w:val="00C114FF"/>
    <w:rsid w:val="00C11D49"/>
    <w:rsid w:val="00C12B6B"/>
    <w:rsid w:val="00C12F42"/>
    <w:rsid w:val="00C171A1"/>
    <w:rsid w:val="00C171A4"/>
    <w:rsid w:val="00C177ED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9AD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1A8"/>
    <w:rsid w:val="00C90EDA"/>
    <w:rsid w:val="00C959E7"/>
    <w:rsid w:val="00CA28D8"/>
    <w:rsid w:val="00CC1E65"/>
    <w:rsid w:val="00CC567A"/>
    <w:rsid w:val="00CC72B4"/>
    <w:rsid w:val="00CD4059"/>
    <w:rsid w:val="00CD4E5A"/>
    <w:rsid w:val="00CD62CF"/>
    <w:rsid w:val="00CD6AFD"/>
    <w:rsid w:val="00CE03CE"/>
    <w:rsid w:val="00CE0F5D"/>
    <w:rsid w:val="00CE1A6A"/>
    <w:rsid w:val="00CF069C"/>
    <w:rsid w:val="00CF0DFF"/>
    <w:rsid w:val="00D028A9"/>
    <w:rsid w:val="00D0359D"/>
    <w:rsid w:val="00D047DB"/>
    <w:rsid w:val="00D04DED"/>
    <w:rsid w:val="00D1089A"/>
    <w:rsid w:val="00D116BD"/>
    <w:rsid w:val="00D16FE0"/>
    <w:rsid w:val="00D2001A"/>
    <w:rsid w:val="00D20684"/>
    <w:rsid w:val="00D257D6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35DA"/>
    <w:rsid w:val="00D606B2"/>
    <w:rsid w:val="00D625A7"/>
    <w:rsid w:val="00D63575"/>
    <w:rsid w:val="00D64074"/>
    <w:rsid w:val="00D65777"/>
    <w:rsid w:val="00D67293"/>
    <w:rsid w:val="00D67EB1"/>
    <w:rsid w:val="00D728A0"/>
    <w:rsid w:val="00D74018"/>
    <w:rsid w:val="00D75D3E"/>
    <w:rsid w:val="00D83661"/>
    <w:rsid w:val="00D9216A"/>
    <w:rsid w:val="00D95BBB"/>
    <w:rsid w:val="00D97E7D"/>
    <w:rsid w:val="00DA2A06"/>
    <w:rsid w:val="00DA56D2"/>
    <w:rsid w:val="00DB1C8C"/>
    <w:rsid w:val="00DB3439"/>
    <w:rsid w:val="00DB3618"/>
    <w:rsid w:val="00DB468A"/>
    <w:rsid w:val="00DC2946"/>
    <w:rsid w:val="00DC4340"/>
    <w:rsid w:val="00DC550F"/>
    <w:rsid w:val="00DC64FD"/>
    <w:rsid w:val="00DD16D4"/>
    <w:rsid w:val="00DD53C3"/>
    <w:rsid w:val="00DD669D"/>
    <w:rsid w:val="00DE127F"/>
    <w:rsid w:val="00DE424A"/>
    <w:rsid w:val="00DE4419"/>
    <w:rsid w:val="00DE67C4"/>
    <w:rsid w:val="00DF0ACA"/>
    <w:rsid w:val="00DF2245"/>
    <w:rsid w:val="00DF2BDC"/>
    <w:rsid w:val="00DF35C8"/>
    <w:rsid w:val="00DF4CE9"/>
    <w:rsid w:val="00DF4F68"/>
    <w:rsid w:val="00DF60ED"/>
    <w:rsid w:val="00DF77CF"/>
    <w:rsid w:val="00E0068C"/>
    <w:rsid w:val="00E026E8"/>
    <w:rsid w:val="00E060F7"/>
    <w:rsid w:val="00E07CD8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0973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72B7"/>
    <w:rsid w:val="00EC0893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537B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3F0F"/>
    <w:rsid w:val="00F343C8"/>
    <w:rsid w:val="00F345A8"/>
    <w:rsid w:val="00F354C5"/>
    <w:rsid w:val="00F37108"/>
    <w:rsid w:val="00F40449"/>
    <w:rsid w:val="00F45B8E"/>
    <w:rsid w:val="00F47BAA"/>
    <w:rsid w:val="00F50315"/>
    <w:rsid w:val="00F51548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37E"/>
    <w:rsid w:val="00FF18D2"/>
    <w:rsid w:val="00FF1F9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4B43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6838D-2E29-4375-9313-E78F7DB1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1515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34</cp:revision>
  <cp:lastPrinted>2024-01-05T13:07:00Z</cp:lastPrinted>
  <dcterms:created xsi:type="dcterms:W3CDTF">2023-01-12T07:52:00Z</dcterms:created>
  <dcterms:modified xsi:type="dcterms:W3CDTF">2024-01-05T13:07:00Z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