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Veterinární léčivý přípravek</w:t>
      </w: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Nelio</w:t>
      </w:r>
      <w:proofErr w:type="spellEnd"/>
      <w:r>
        <w:rPr>
          <w:rFonts w:ascii="Arial" w:hAnsi="Arial" w:cs="Arial"/>
          <w:szCs w:val="22"/>
        </w:rPr>
        <w:t xml:space="preserve"> 5 mg tableta pro kočky</w:t>
      </w: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ČÁST IB</w:t>
      </w:r>
    </w:p>
    <w:p w:rsidR="001759A4" w:rsidRDefault="001759A4" w:rsidP="0017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SOUHRN ÚDAJŮ O PŘÍPRAVKU</w:t>
      </w:r>
    </w:p>
    <w:p w:rsidR="001759A4" w:rsidRDefault="001759A4" w:rsidP="0017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Léková forma</w:t>
      </w: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Tableta</w:t>
      </w: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szCs w:val="22"/>
        </w:rPr>
      </w:pPr>
    </w:p>
    <w:p w:rsidR="001759A4" w:rsidRDefault="001759A4" w:rsidP="001759A4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lastRenderedPageBreak/>
        <w:t>1.</w:t>
      </w:r>
      <w:r>
        <w:rPr>
          <w:rFonts w:ascii="Arial" w:hAnsi="Arial" w:cs="Arial"/>
          <w:b/>
          <w:szCs w:val="22"/>
        </w:rPr>
        <w:tab/>
        <w:t>NÁZEV VETERINÁRNÍHO LÉČIVÉHO PŘÍPRAVKU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Nelio</w:t>
      </w:r>
      <w:proofErr w:type="spellEnd"/>
      <w:r>
        <w:rPr>
          <w:rFonts w:ascii="Arial" w:hAnsi="Arial" w:cs="Arial"/>
          <w:szCs w:val="22"/>
        </w:rPr>
        <w:t xml:space="preserve"> 5 mg tableta pro kočky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2.</w:t>
      </w:r>
      <w:r>
        <w:rPr>
          <w:rFonts w:ascii="Arial" w:hAnsi="Arial" w:cs="Arial"/>
          <w:b/>
          <w:szCs w:val="22"/>
        </w:rPr>
        <w:tab/>
        <w:t>KVALITATIVNÍ A KVANTITATIVNÍ SLOŽENÍ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tabs>
          <w:tab w:val="left" w:pos="1701"/>
        </w:tabs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Jedna tableta obsahuje: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Léčivá látka:</w:t>
      </w:r>
    </w:p>
    <w:p w:rsidR="001759A4" w:rsidRDefault="001759A4" w:rsidP="001759A4">
      <w:pPr>
        <w:tabs>
          <w:tab w:val="left" w:pos="1701"/>
          <w:tab w:val="right" w:leader="dot" w:pos="6237"/>
        </w:tabs>
        <w:rPr>
          <w:rFonts w:ascii="Arial" w:hAnsi="Arial" w:cs="Arial"/>
          <w:iCs/>
          <w:szCs w:val="22"/>
        </w:rPr>
      </w:pPr>
      <w:proofErr w:type="spellStart"/>
      <w:r>
        <w:rPr>
          <w:rFonts w:ascii="Arial" w:hAnsi="Arial" w:cs="Arial"/>
          <w:iCs/>
          <w:szCs w:val="22"/>
        </w:rPr>
        <w:t>Benazeprili</w:t>
      </w:r>
      <w:proofErr w:type="spellEnd"/>
      <w:r>
        <w:rPr>
          <w:rFonts w:ascii="Arial" w:hAnsi="Arial" w:cs="Arial"/>
          <w:iCs/>
          <w:szCs w:val="22"/>
        </w:rPr>
        <w:t xml:space="preserve"> </w:t>
      </w:r>
      <w:proofErr w:type="spellStart"/>
      <w:r>
        <w:rPr>
          <w:rFonts w:ascii="Arial" w:hAnsi="Arial" w:cs="Arial"/>
          <w:iCs/>
          <w:szCs w:val="22"/>
        </w:rPr>
        <w:t>hydrochloridum</w:t>
      </w:r>
      <w:proofErr w:type="spellEnd"/>
      <w:r>
        <w:rPr>
          <w:rFonts w:ascii="Arial" w:hAnsi="Arial" w:cs="Arial"/>
          <w:iCs/>
          <w:szCs w:val="22"/>
        </w:rPr>
        <w:tab/>
        <w:t>5 mg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Pomocné látky:</w:t>
      </w: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Úplný seznam pomocných látek viz bod 6.1.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3.</w:t>
      </w:r>
      <w:r>
        <w:rPr>
          <w:rFonts w:ascii="Arial" w:hAnsi="Arial" w:cs="Arial"/>
          <w:b/>
          <w:szCs w:val="22"/>
        </w:rPr>
        <w:tab/>
        <w:t>LÉKOVÁ FORMA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Tableta </w:t>
      </w:r>
    </w:p>
    <w:p w:rsidR="001759A4" w:rsidRDefault="001759A4" w:rsidP="001759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szCs w:val="22"/>
        </w:rPr>
        <w:t>Béžová tableta ve tvaru jetelového listu s dělícími rýhami, dělitelná na poloviny nebo na čtvrtiny.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</w:t>
      </w:r>
      <w:r>
        <w:rPr>
          <w:rFonts w:ascii="Arial" w:hAnsi="Arial" w:cs="Arial"/>
          <w:b/>
          <w:szCs w:val="22"/>
        </w:rPr>
        <w:tab/>
        <w:t>KLINICKÉ ÚDAJE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4.1</w:t>
      </w:r>
      <w:r>
        <w:rPr>
          <w:rFonts w:ascii="Arial" w:hAnsi="Arial" w:cs="Arial"/>
          <w:b/>
          <w:szCs w:val="22"/>
        </w:rPr>
        <w:tab/>
        <w:t>Cílové druhy zvířat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Kočky.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4.2</w:t>
      </w:r>
      <w:r>
        <w:rPr>
          <w:rFonts w:ascii="Arial" w:hAnsi="Arial" w:cs="Arial"/>
          <w:b/>
          <w:szCs w:val="22"/>
        </w:rPr>
        <w:tab/>
        <w:t xml:space="preserve">Indikace s upřesněním pro cílový druh zvířat </w:t>
      </w:r>
    </w:p>
    <w:p w:rsidR="001759A4" w:rsidRDefault="001759A4" w:rsidP="001759A4">
      <w:pPr>
        <w:tabs>
          <w:tab w:val="left" w:pos="0"/>
        </w:tabs>
        <w:ind w:left="0" w:firstLine="0"/>
        <w:rPr>
          <w:rFonts w:ascii="Arial" w:hAnsi="Arial" w:cs="Arial"/>
          <w:szCs w:val="22"/>
        </w:rPr>
      </w:pPr>
    </w:p>
    <w:p w:rsidR="001759A4" w:rsidRDefault="001759A4" w:rsidP="001759A4">
      <w:pPr>
        <w:tabs>
          <w:tab w:val="left" w:pos="0"/>
        </w:tabs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Kočky</w:t>
      </w: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Zmírnění proteinurie v souvislosti s chronickým onemocněním ledvin.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4.3</w:t>
      </w:r>
      <w:r>
        <w:rPr>
          <w:rFonts w:ascii="Arial" w:hAnsi="Arial" w:cs="Arial"/>
          <w:b/>
          <w:szCs w:val="22"/>
        </w:rPr>
        <w:tab/>
        <w:t>Kontraindikace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Nepoužívat v případě přecitlivělosti na léčivou látku nebo na některou z pomocných látek.</w:t>
      </w: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Nepoužívat v případě hypotenze, hypovolemie, </w:t>
      </w:r>
      <w:proofErr w:type="spellStart"/>
      <w:r>
        <w:rPr>
          <w:rFonts w:ascii="Arial" w:hAnsi="Arial" w:cs="Arial"/>
          <w:szCs w:val="22"/>
        </w:rPr>
        <w:t>hyponatremie</w:t>
      </w:r>
      <w:proofErr w:type="spellEnd"/>
      <w:r>
        <w:rPr>
          <w:rFonts w:ascii="Arial" w:hAnsi="Arial" w:cs="Arial"/>
          <w:szCs w:val="22"/>
        </w:rPr>
        <w:t xml:space="preserve"> nebo akutního selhání ledvin.</w:t>
      </w: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Nepoužívat v případě snížení srdečního výdeje v důsledku aortální nebo pulmonální stenózy.</w:t>
      </w: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Nepoužívat během březosti a laktace (viz bod 4.7). 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4.4</w:t>
      </w:r>
      <w:r>
        <w:rPr>
          <w:rFonts w:ascii="Arial" w:hAnsi="Arial" w:cs="Arial"/>
          <w:b/>
          <w:szCs w:val="22"/>
        </w:rPr>
        <w:tab/>
        <w:t>Zvláštní upozornění pro každý cílový druh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Nejsou.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4.5</w:t>
      </w:r>
      <w:r>
        <w:rPr>
          <w:rFonts w:ascii="Arial" w:hAnsi="Arial" w:cs="Arial"/>
          <w:b/>
          <w:szCs w:val="22"/>
        </w:rPr>
        <w:tab/>
        <w:t>Zvláštní opatření pro použití</w:t>
      </w:r>
    </w:p>
    <w:p w:rsidR="001759A4" w:rsidRDefault="001759A4" w:rsidP="001759A4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Zvláštní opatření pro použití u zvířat</w:t>
      </w:r>
    </w:p>
    <w:p w:rsidR="001759A4" w:rsidRDefault="001759A4" w:rsidP="001759A4">
      <w:pPr>
        <w:ind w:left="0" w:firstLine="0"/>
        <w:jc w:val="both"/>
        <w:rPr>
          <w:rFonts w:ascii="Arial" w:hAnsi="Arial" w:cs="Arial"/>
          <w:iCs/>
          <w:szCs w:val="22"/>
        </w:rPr>
      </w:pPr>
    </w:p>
    <w:p w:rsidR="001759A4" w:rsidRDefault="001759A4" w:rsidP="001759A4">
      <w:pPr>
        <w:ind w:left="0" w:firstLine="0"/>
        <w:jc w:val="both"/>
        <w:rPr>
          <w:rFonts w:ascii="Arial" w:hAnsi="Arial"/>
          <w:iCs/>
          <w:szCs w:val="22"/>
        </w:rPr>
      </w:pPr>
      <w:r>
        <w:rPr>
          <w:rFonts w:ascii="Arial" w:hAnsi="Arial"/>
          <w:iCs/>
          <w:szCs w:val="22"/>
        </w:rPr>
        <w:t xml:space="preserve">U koček s hmotností nižší než </w:t>
      </w:r>
      <w:smartTag w:uri="urn:schemas-microsoft-com:office:smarttags" w:element="metricconverter">
        <w:smartTagPr>
          <w:attr w:name="ProductID" w:val="2,5 kg"/>
        </w:smartTagPr>
        <w:r>
          <w:rPr>
            <w:rFonts w:ascii="Arial" w:hAnsi="Arial"/>
            <w:iCs/>
            <w:szCs w:val="22"/>
          </w:rPr>
          <w:t>2,5 kg</w:t>
        </w:r>
      </w:smartTag>
      <w:r>
        <w:rPr>
          <w:rFonts w:ascii="Arial" w:hAnsi="Arial"/>
          <w:iCs/>
          <w:szCs w:val="22"/>
        </w:rPr>
        <w:t xml:space="preserve"> nebyla účinnost a bezpečnost </w:t>
      </w:r>
      <w:proofErr w:type="spellStart"/>
      <w:r>
        <w:rPr>
          <w:rFonts w:ascii="Arial" w:hAnsi="Arial"/>
          <w:iCs/>
          <w:szCs w:val="22"/>
        </w:rPr>
        <w:t>benazeprilu</w:t>
      </w:r>
      <w:proofErr w:type="spellEnd"/>
      <w:r>
        <w:rPr>
          <w:rFonts w:ascii="Arial" w:hAnsi="Arial"/>
          <w:iCs/>
          <w:szCs w:val="22"/>
        </w:rPr>
        <w:t xml:space="preserve"> stanovena.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 průběhu klinických hodnocení nebyly u koček pozorovány známky renální toxicity přípravku, avšak vzhledem k tomu, že se jedná o chronické onemocnění ledvin, doporučuje se jako obvykle v průběhu léčby sledovat hladinu kreatininu a močoviny v plazmě a počet erytrocytů.</w:t>
      </w:r>
    </w:p>
    <w:p w:rsidR="001759A4" w:rsidRDefault="001759A4" w:rsidP="001759A4">
      <w:pPr>
        <w:autoSpaceDE w:val="0"/>
        <w:autoSpaceDN w:val="0"/>
        <w:adjustRightInd w:val="0"/>
        <w:ind w:left="0" w:firstLine="0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Zvláštní opatření určené osobám, které podávají veterinární léčivý přípravek zvířatům</w:t>
      </w:r>
    </w:p>
    <w:p w:rsidR="001759A4" w:rsidRDefault="001759A4" w:rsidP="001759A4">
      <w:pPr>
        <w:ind w:left="0" w:firstLine="0"/>
        <w:jc w:val="both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jc w:val="both"/>
        <w:rPr>
          <w:rFonts w:ascii="Arial" w:hAnsi="Arial" w:cs="Arial"/>
          <w:iCs/>
          <w:szCs w:val="22"/>
          <w:lang w:val="it-IT"/>
        </w:rPr>
      </w:pPr>
      <w:r>
        <w:rPr>
          <w:rFonts w:ascii="Arial" w:hAnsi="Arial" w:cs="Arial"/>
          <w:iCs/>
          <w:szCs w:val="22"/>
          <w:lang w:val="it-IT"/>
        </w:rPr>
        <w:t>Po použití si umyjte ruce.</w:t>
      </w:r>
    </w:p>
    <w:p w:rsidR="001759A4" w:rsidRDefault="001759A4" w:rsidP="001759A4">
      <w:pPr>
        <w:ind w:left="0" w:firstLine="0"/>
        <w:jc w:val="both"/>
        <w:rPr>
          <w:rFonts w:ascii="Arial" w:hAnsi="Arial" w:cs="Arial"/>
          <w:iCs/>
          <w:szCs w:val="22"/>
          <w:lang w:val="it-IT"/>
        </w:rPr>
      </w:pPr>
    </w:p>
    <w:p w:rsidR="001759A4" w:rsidRDefault="001759A4" w:rsidP="001759A4">
      <w:pPr>
        <w:ind w:left="0" w:firstLine="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V případě náhodného pozření vyhledejte ihned lékařskou pomoc a ukažte příbalovou informaci nebo etiketu praktickému lékaři. </w:t>
      </w:r>
    </w:p>
    <w:p w:rsidR="001759A4" w:rsidRDefault="001759A4" w:rsidP="001759A4">
      <w:pPr>
        <w:ind w:left="0" w:firstLine="0"/>
        <w:jc w:val="both"/>
        <w:rPr>
          <w:rFonts w:ascii="Arial" w:hAnsi="Arial" w:cs="Arial"/>
          <w:iCs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iCs/>
          <w:szCs w:val="22"/>
        </w:rPr>
        <w:t xml:space="preserve">Těhotné ženy by měly dbát zvýšené opatrnosti, aby se vyhnuly náhodnému pozření přípravku, protože bylo zjištěno, že </w:t>
      </w:r>
      <w:r>
        <w:rPr>
          <w:rFonts w:ascii="Arial" w:hAnsi="Arial" w:cs="Arial"/>
          <w:szCs w:val="22"/>
        </w:rPr>
        <w:t xml:space="preserve">inhibitory </w:t>
      </w:r>
      <w:proofErr w:type="spellStart"/>
      <w:r>
        <w:rPr>
          <w:rFonts w:ascii="Arial" w:hAnsi="Arial" w:cs="Arial"/>
          <w:szCs w:val="22"/>
        </w:rPr>
        <w:t>angiotenzin</w:t>
      </w:r>
      <w:proofErr w:type="spellEnd"/>
      <w:r>
        <w:rPr>
          <w:rFonts w:ascii="Arial" w:hAnsi="Arial" w:cs="Arial"/>
          <w:szCs w:val="22"/>
        </w:rPr>
        <w:t xml:space="preserve"> konvertujícího enzymu (ACE) </w:t>
      </w:r>
      <w:r>
        <w:rPr>
          <w:rFonts w:ascii="Arial" w:hAnsi="Arial" w:cs="Arial"/>
          <w:iCs/>
          <w:szCs w:val="22"/>
        </w:rPr>
        <w:t>mají vliv na lidský plod v průběhu těhotenství.</w:t>
      </w:r>
    </w:p>
    <w:p w:rsidR="001759A4" w:rsidRDefault="001759A4" w:rsidP="001759A4">
      <w:pPr>
        <w:jc w:val="both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both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4.6</w:t>
      </w:r>
      <w:r>
        <w:rPr>
          <w:rFonts w:ascii="Arial" w:hAnsi="Arial" w:cs="Arial"/>
          <w:b/>
          <w:szCs w:val="22"/>
        </w:rPr>
        <w:tab/>
        <w:t>Nežádoucí účinky (frekvence a závažnost)</w:t>
      </w:r>
    </w:p>
    <w:p w:rsidR="001759A4" w:rsidRDefault="001759A4" w:rsidP="001759A4">
      <w:pPr>
        <w:jc w:val="both"/>
        <w:rPr>
          <w:rFonts w:ascii="Arial" w:hAnsi="Arial" w:cs="Arial"/>
          <w:b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 koček s chronickým onemocněním ledvin může přípravek na začátku léčby zvýšit koncentrace kreatininu v plazmě. Mírné zvýšení koncentrací kreatininu v plazmě po podání inhibitorů ACE je kompatibilní se snížením glomerulární hypertenze vyvolané těmito látkami, a proto není v případě absence dalších příznaků nezbytným důvodem k zastavení léčby.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Přípravek může zvyšovat příjem stravy a živou hmotnost.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Ve vzácných případech byla zaznamenána </w:t>
      </w:r>
      <w:proofErr w:type="spellStart"/>
      <w:r>
        <w:rPr>
          <w:rFonts w:ascii="Arial" w:hAnsi="Arial" w:cs="Arial"/>
          <w:szCs w:val="22"/>
        </w:rPr>
        <w:t>emeze</w:t>
      </w:r>
      <w:proofErr w:type="spellEnd"/>
      <w:r>
        <w:rPr>
          <w:rFonts w:ascii="Arial" w:hAnsi="Arial" w:cs="Arial"/>
          <w:szCs w:val="22"/>
        </w:rPr>
        <w:t>, anorexie, dehydratace, letargie a diarea.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ind w:left="0" w:firstLine="0"/>
        <w:jc w:val="both"/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4.7</w:t>
      </w:r>
      <w:r>
        <w:rPr>
          <w:rFonts w:ascii="Arial" w:hAnsi="Arial" w:cs="Arial"/>
          <w:b/>
          <w:szCs w:val="22"/>
        </w:rPr>
        <w:tab/>
        <w:t>Použití v průběhu březosti, laktace nebo snášky</w:t>
      </w:r>
    </w:p>
    <w:p w:rsidR="001759A4" w:rsidRDefault="001759A4" w:rsidP="001759A4">
      <w:pPr>
        <w:jc w:val="both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Nepoužívat během březosti nebo laktace. Bezpečnost přípravku nebyla stanovena u chovných zvířat, březích nebo kojících koček. </w:t>
      </w:r>
      <w:proofErr w:type="spellStart"/>
      <w:r>
        <w:rPr>
          <w:rFonts w:ascii="Arial" w:hAnsi="Arial" w:cs="Arial"/>
          <w:iCs/>
          <w:szCs w:val="22"/>
        </w:rPr>
        <w:t>Benazepril</w:t>
      </w:r>
      <w:proofErr w:type="spellEnd"/>
      <w:r>
        <w:rPr>
          <w:rFonts w:ascii="Arial" w:hAnsi="Arial" w:cs="Arial"/>
          <w:iCs/>
          <w:szCs w:val="22"/>
        </w:rPr>
        <w:t xml:space="preserve"> podávaný kočkám v denních dávkách 10 mg/ kg po dobu 52 týdnů vyvolal snížení hmotnosti vaječníků / vejcovodů. </w:t>
      </w:r>
      <w:r>
        <w:rPr>
          <w:rFonts w:ascii="Arial" w:hAnsi="Arial" w:cs="Arial"/>
          <w:szCs w:val="22"/>
        </w:rPr>
        <w:t>Embryotoxické účinky (malformace močového ústrojí plodu) byly pozorovány v klinických hodnoceních u laboratorních zvířat (potkanů) při dávkách netoxických pro matku.</w:t>
      </w:r>
    </w:p>
    <w:p w:rsidR="001759A4" w:rsidRDefault="001759A4" w:rsidP="001759A4">
      <w:pPr>
        <w:jc w:val="both"/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4.8</w:t>
      </w:r>
      <w:r>
        <w:rPr>
          <w:rFonts w:ascii="Arial" w:hAnsi="Arial" w:cs="Arial"/>
          <w:b/>
          <w:szCs w:val="22"/>
        </w:rPr>
        <w:tab/>
        <w:t>Interakce s dalšími léčivými přípravky a další formy interakce</w:t>
      </w:r>
    </w:p>
    <w:p w:rsidR="001759A4" w:rsidRDefault="001759A4" w:rsidP="001759A4">
      <w:pPr>
        <w:jc w:val="both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 lidí může vést kombinace inhibitorů ACE s nesteroidními antiflogistiky (NSAID) ke snížené antihypertenzní účinnosti či k narušení funkce ledvin. Kombinace přípravku a dalších antihypertenzních léčiv (např. blokátorů kalciového kanálu, </w:t>
      </w:r>
      <w:r>
        <w:t>ß</w:t>
      </w:r>
      <w:r>
        <w:rPr>
          <w:rFonts w:ascii="Arial" w:hAnsi="Arial" w:cs="Arial"/>
          <w:szCs w:val="22"/>
        </w:rPr>
        <w:t xml:space="preserve">-blokátorů nebo diuretik), anestetik nebo sedativ může vést k zvýšeným hypotenzním účinkům. Proto je zapotřebí pečlivě zvážit současné podávání NSAID nebo jiných léčiv s hypotenzním účinkem. Renální funkce a příznaky hypotenze (letargie, slabost atd.) je třeba pečlivě sledovat a léčit podle potřeby. Nelze vyloučit interakce s diuretiky šetřícími draslík jako je </w:t>
      </w:r>
      <w:proofErr w:type="spellStart"/>
      <w:r>
        <w:rPr>
          <w:rFonts w:ascii="Arial" w:hAnsi="Arial" w:cs="Arial"/>
          <w:szCs w:val="22"/>
        </w:rPr>
        <w:t>spironolakton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triamteren</w:t>
      </w:r>
      <w:proofErr w:type="spellEnd"/>
      <w:r>
        <w:rPr>
          <w:rFonts w:ascii="Arial" w:hAnsi="Arial" w:cs="Arial"/>
          <w:szCs w:val="22"/>
        </w:rPr>
        <w:t xml:space="preserve"> nebo </w:t>
      </w:r>
      <w:proofErr w:type="spellStart"/>
      <w:r>
        <w:rPr>
          <w:rFonts w:ascii="Arial" w:hAnsi="Arial" w:cs="Arial"/>
          <w:szCs w:val="22"/>
        </w:rPr>
        <w:t>amilorid</w:t>
      </w:r>
      <w:proofErr w:type="spellEnd"/>
      <w:r>
        <w:rPr>
          <w:rFonts w:ascii="Arial" w:hAnsi="Arial" w:cs="Arial"/>
          <w:szCs w:val="22"/>
        </w:rPr>
        <w:t xml:space="preserve">. Doporučuje se sledovat hladiny draslíku v plazmě při užívání přípravku v kombinaci s diuretiky šetřícími draslík vzhledem k riziku </w:t>
      </w:r>
      <w:proofErr w:type="spellStart"/>
      <w:r>
        <w:rPr>
          <w:rFonts w:ascii="Arial" w:hAnsi="Arial" w:cs="Arial"/>
          <w:szCs w:val="22"/>
        </w:rPr>
        <w:t>hyperkalemie</w:t>
      </w:r>
      <w:proofErr w:type="spellEnd"/>
      <w:r>
        <w:rPr>
          <w:rFonts w:ascii="Arial" w:hAnsi="Arial" w:cs="Arial"/>
          <w:szCs w:val="22"/>
        </w:rPr>
        <w:t>.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4.9</w:t>
      </w:r>
      <w:r>
        <w:rPr>
          <w:rFonts w:ascii="Arial" w:hAnsi="Arial" w:cs="Arial"/>
          <w:b/>
          <w:szCs w:val="22"/>
        </w:rPr>
        <w:tab/>
        <w:t>Podávané množství a způsob podání</w:t>
      </w:r>
    </w:p>
    <w:p w:rsidR="001759A4" w:rsidRDefault="001759A4" w:rsidP="001759A4">
      <w:pPr>
        <w:jc w:val="both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Přípravek se podává perorálně jednou denně s potravou nebo bez ní. Délka léčby je neomezená.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Tablety přípravku jsou ochucené a jsou většinou koček přijímány dobrovolně.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Kočky: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Přípravek se podává perorálně v minimální dávce 0,5 mg (rozmezí 0,5 - 1,0) </w:t>
      </w:r>
      <w:proofErr w:type="spellStart"/>
      <w:r>
        <w:rPr>
          <w:rFonts w:ascii="Arial" w:hAnsi="Arial" w:cs="Arial"/>
          <w:szCs w:val="22"/>
        </w:rPr>
        <w:t>benazepril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hydrochloridu</w:t>
      </w:r>
      <w:proofErr w:type="spellEnd"/>
      <w:r>
        <w:rPr>
          <w:rFonts w:ascii="Arial" w:hAnsi="Arial" w:cs="Arial"/>
          <w:szCs w:val="22"/>
        </w:rPr>
        <w:t xml:space="preserve">/kg živé hmotnosti jednou denně podle následující tabulky: </w:t>
      </w:r>
    </w:p>
    <w:p w:rsidR="001759A4" w:rsidRDefault="001759A4" w:rsidP="001759A4">
      <w:pPr>
        <w:ind w:left="0" w:firstLine="0"/>
        <w:jc w:val="both"/>
        <w:rPr>
          <w:rFonts w:ascii="Arial" w:hAnsi="Arial" w:cs="Arial"/>
          <w:szCs w:val="22"/>
        </w:rPr>
      </w:pPr>
    </w:p>
    <w:p w:rsidR="001759A4" w:rsidRDefault="001759A4" w:rsidP="001759A4">
      <w:pPr>
        <w:jc w:val="both"/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4"/>
      </w:tblGrid>
      <w:tr w:rsidR="001759A4" w:rsidTr="0011088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A4" w:rsidRDefault="001759A4" w:rsidP="00110880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Hmotnost kočky (kg)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A4" w:rsidRDefault="001759A4" w:rsidP="00110880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tablet</w:t>
            </w:r>
          </w:p>
        </w:tc>
      </w:tr>
      <w:tr w:rsidR="001759A4" w:rsidTr="0011088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A4" w:rsidRDefault="001759A4" w:rsidP="00110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– 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A4" w:rsidRDefault="001759A4" w:rsidP="00110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759A4" w:rsidTr="0011088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A4" w:rsidRDefault="001759A4" w:rsidP="00110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&gt;5,0 – 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A4" w:rsidRDefault="001759A4" w:rsidP="00110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1759A4" w:rsidRDefault="001759A4" w:rsidP="001759A4">
      <w:pPr>
        <w:jc w:val="both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V případě používání polovičních tablet: Vložte zbývající polovinu tablety zpět do pouzdra blistru a použijte při </w:t>
      </w:r>
      <w:r>
        <w:rPr>
          <w:rFonts w:ascii="Arial" w:hAnsi="Arial" w:cs="Arial"/>
        </w:rPr>
        <w:t>následujícím podání.</w:t>
      </w:r>
    </w:p>
    <w:p w:rsidR="001759A4" w:rsidRDefault="001759A4" w:rsidP="001759A4">
      <w:pPr>
        <w:ind w:left="0" w:firstLine="0"/>
        <w:rPr>
          <w:rFonts w:ascii="Arial" w:hAnsi="Arial" w:cs="Arial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 w:rsidRPr="00784BE0">
        <w:rPr>
          <w:rFonts w:ascii="Arial" w:hAnsi="Arial" w:cs="Arial"/>
          <w:szCs w:val="22"/>
        </w:rPr>
        <w:lastRenderedPageBreak/>
        <w:t>Pokyny k dělení tablet: Položte tabletu na rovný povrch stranou s rýhou dolů k povrchu (konvexní stranou nahoru). Lehkým vertikálním tlakem špičkou ukazováčku na střed tablety rozlomíte tabletu po šířce na dvě poloviny. Chcete-li tabletu rozdělit na čtvrtiny, lehkým tlakem ukazováčku na střed jedné poloviny ji rozlomíte na dvě části.</w:t>
      </w:r>
    </w:p>
    <w:p w:rsidR="001759A4" w:rsidRDefault="001759A4" w:rsidP="001759A4">
      <w:pPr>
        <w:ind w:left="0" w:firstLine="0"/>
        <w:jc w:val="both"/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4.10</w:t>
      </w:r>
      <w:r>
        <w:rPr>
          <w:rFonts w:ascii="Arial" w:hAnsi="Arial" w:cs="Arial"/>
          <w:b/>
          <w:szCs w:val="22"/>
        </w:rPr>
        <w:tab/>
        <w:t xml:space="preserve">Předávkování (symptomy, první pomoc, </w:t>
      </w:r>
      <w:proofErr w:type="spellStart"/>
      <w:r>
        <w:rPr>
          <w:rFonts w:ascii="Arial" w:hAnsi="Arial" w:cs="Arial"/>
          <w:b/>
          <w:szCs w:val="22"/>
        </w:rPr>
        <w:t>antidota</w:t>
      </w:r>
      <w:proofErr w:type="spellEnd"/>
      <w:r>
        <w:rPr>
          <w:rFonts w:ascii="Arial" w:hAnsi="Arial" w:cs="Arial"/>
          <w:b/>
          <w:szCs w:val="22"/>
        </w:rPr>
        <w:t>), pokud je to nutné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Přípravek snižoval u zdravých koček počet erytrocytů při dávkování 10 mg/kg jednou denně po dobu 12 měsíců. Tento účinek však nebyl pozorován při doporučeném dávkování během klinických hodnocení na kočkách.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 případě náhodného předávkování může nastat přechodná reverzibilní hypotenze.  Léčba by měla spočívat v podání intravenózní infuze teplého fyziologického roztoku.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4.11</w:t>
      </w:r>
      <w:r>
        <w:rPr>
          <w:rFonts w:ascii="Arial" w:hAnsi="Arial" w:cs="Arial"/>
          <w:b/>
          <w:szCs w:val="22"/>
        </w:rPr>
        <w:tab/>
        <w:t>Ochranné lhůty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Není určeno pro potravinová zvířata.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5.</w:t>
      </w:r>
      <w:r>
        <w:rPr>
          <w:rFonts w:ascii="Arial" w:hAnsi="Arial" w:cs="Arial"/>
          <w:b/>
          <w:szCs w:val="22"/>
        </w:rPr>
        <w:tab/>
        <w:t>FARMAKOLOGICKÉ VLASTNOSTI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Farmakoterapeutická skupina: </w:t>
      </w:r>
      <w:r>
        <w:rPr>
          <w:rFonts w:ascii="Arial" w:hAnsi="Arial" w:cs="Arial"/>
        </w:rPr>
        <w:t xml:space="preserve">kardiovaskulární systém, ACE inhibitory, samotné, </w:t>
      </w:r>
      <w:proofErr w:type="spellStart"/>
      <w:r>
        <w:rPr>
          <w:rFonts w:ascii="Arial" w:hAnsi="Arial" w:cs="Arial"/>
        </w:rPr>
        <w:t>benazepril</w:t>
      </w:r>
      <w:proofErr w:type="spellEnd"/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ATCvet</w:t>
      </w:r>
      <w:proofErr w:type="spellEnd"/>
      <w:r>
        <w:rPr>
          <w:rFonts w:ascii="Arial" w:hAnsi="Arial" w:cs="Arial"/>
          <w:szCs w:val="22"/>
        </w:rPr>
        <w:t xml:space="preserve"> kód: QC09AA07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5.1</w:t>
      </w:r>
      <w:r>
        <w:rPr>
          <w:rFonts w:ascii="Arial" w:hAnsi="Arial" w:cs="Arial"/>
          <w:b/>
          <w:szCs w:val="22"/>
        </w:rPr>
        <w:tab/>
        <w:t>Farmakodynamické vlastnosti</w:t>
      </w:r>
    </w:p>
    <w:p w:rsidR="001759A4" w:rsidRDefault="001759A4" w:rsidP="001759A4">
      <w:pPr>
        <w:jc w:val="both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Benazepril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hydrochlorid</w:t>
      </w:r>
      <w:proofErr w:type="spellEnd"/>
      <w:r>
        <w:rPr>
          <w:rFonts w:ascii="Arial" w:hAnsi="Arial" w:cs="Arial"/>
          <w:szCs w:val="22"/>
        </w:rPr>
        <w:t xml:space="preserve"> je lékový prekurzor hydrolyzovaný in </w:t>
      </w:r>
      <w:proofErr w:type="spellStart"/>
      <w:r>
        <w:rPr>
          <w:rFonts w:ascii="Arial" w:hAnsi="Arial" w:cs="Arial"/>
          <w:szCs w:val="22"/>
        </w:rPr>
        <w:t>vivo</w:t>
      </w:r>
      <w:proofErr w:type="spellEnd"/>
      <w:r>
        <w:rPr>
          <w:rFonts w:ascii="Arial" w:hAnsi="Arial" w:cs="Arial"/>
          <w:szCs w:val="22"/>
        </w:rPr>
        <w:t xml:space="preserve"> na svůj aktivní metabolit </w:t>
      </w:r>
      <w:proofErr w:type="spellStart"/>
      <w:r>
        <w:rPr>
          <w:rFonts w:ascii="Arial" w:hAnsi="Arial" w:cs="Arial"/>
          <w:szCs w:val="22"/>
        </w:rPr>
        <w:t>benazeprilát</w:t>
      </w:r>
      <w:proofErr w:type="spellEnd"/>
      <w:r>
        <w:rPr>
          <w:rFonts w:ascii="Arial" w:hAnsi="Arial" w:cs="Arial"/>
          <w:szCs w:val="22"/>
        </w:rPr>
        <w:t xml:space="preserve">. </w:t>
      </w:r>
      <w:proofErr w:type="spellStart"/>
      <w:r>
        <w:rPr>
          <w:rFonts w:ascii="Arial" w:hAnsi="Arial" w:cs="Arial"/>
          <w:szCs w:val="22"/>
        </w:rPr>
        <w:t>Benazeprilát</w:t>
      </w:r>
      <w:proofErr w:type="spellEnd"/>
      <w:r>
        <w:rPr>
          <w:rFonts w:ascii="Arial" w:hAnsi="Arial" w:cs="Arial"/>
          <w:szCs w:val="22"/>
        </w:rPr>
        <w:t xml:space="preserve"> je vysoce potentní selektivní inhibitor ACE, který brání konverzi inaktivního angiotensinu </w:t>
      </w:r>
      <w:proofErr w:type="gramStart"/>
      <w:r>
        <w:rPr>
          <w:rFonts w:ascii="Arial" w:hAnsi="Arial" w:cs="Arial"/>
          <w:szCs w:val="22"/>
        </w:rPr>
        <w:t>I</w:t>
      </w:r>
      <w:proofErr w:type="gramEnd"/>
      <w:r>
        <w:rPr>
          <w:rFonts w:ascii="Arial" w:hAnsi="Arial" w:cs="Arial"/>
          <w:szCs w:val="22"/>
        </w:rPr>
        <w:t xml:space="preserve"> na aktivní angiotensin II, a tím také snižuje syntézu aldosteronu. Tak blokuje účinky zprostředkované </w:t>
      </w:r>
      <w:proofErr w:type="spellStart"/>
      <w:r>
        <w:rPr>
          <w:rFonts w:ascii="Arial" w:hAnsi="Arial" w:cs="Arial"/>
          <w:szCs w:val="22"/>
        </w:rPr>
        <w:t>angiotenzinem</w:t>
      </w:r>
      <w:proofErr w:type="spellEnd"/>
      <w:r>
        <w:rPr>
          <w:rFonts w:ascii="Arial" w:hAnsi="Arial" w:cs="Arial"/>
          <w:szCs w:val="22"/>
        </w:rPr>
        <w:t xml:space="preserve"> II a aldosteronem včetně vazokonstrikce tepen i žil, retence sodíku a vody ledvinami a </w:t>
      </w:r>
      <w:proofErr w:type="spellStart"/>
      <w:r>
        <w:rPr>
          <w:rFonts w:ascii="Arial" w:hAnsi="Arial" w:cs="Arial"/>
          <w:szCs w:val="22"/>
        </w:rPr>
        <w:t>remodelačních</w:t>
      </w:r>
      <w:proofErr w:type="spellEnd"/>
      <w:r>
        <w:rPr>
          <w:rFonts w:ascii="Arial" w:hAnsi="Arial" w:cs="Arial"/>
          <w:szCs w:val="22"/>
        </w:rPr>
        <w:t xml:space="preserve"> účinků (včetně patologické srdeční hypertrofie a degenerativních změn ledvin).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Přípravek způsobuje dlouhotrvající inhibici aktivity ACE v plazmě koček s vyšší než 95 % inhibicí při maximálním účinku a významnou účinností (&gt; 90 %) přetrvávající 24 hodin po podání. Přípravek u koček s experimentální renální nedostatečností normalizoval zvýšený glomerulární kapilární tlak a snížil systémový krevní tlak.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Snížení glomerulární hypertenze může zpomalit progresi onemocnění ledvin inhibicí dalšího poškození ledvin. Placebem kontrolované klinické terénní studie u koček s chronickým onemocněním ledvin (</w:t>
      </w:r>
      <w:proofErr w:type="spellStart"/>
      <w:r>
        <w:rPr>
          <w:rFonts w:ascii="Arial" w:hAnsi="Arial" w:cs="Arial"/>
          <w:szCs w:val="22"/>
        </w:rPr>
        <w:t>chronic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kidney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Cs w:val="22"/>
        </w:rPr>
        <w:t>disease</w:t>
      </w:r>
      <w:proofErr w:type="spellEnd"/>
      <w:r>
        <w:rPr>
          <w:rFonts w:ascii="Arial" w:hAnsi="Arial" w:cs="Arial"/>
          <w:szCs w:val="22"/>
        </w:rPr>
        <w:t xml:space="preserve"> - CKD</w:t>
      </w:r>
      <w:proofErr w:type="gramEnd"/>
      <w:r>
        <w:rPr>
          <w:rFonts w:ascii="Arial" w:hAnsi="Arial" w:cs="Arial"/>
          <w:szCs w:val="22"/>
        </w:rPr>
        <w:t xml:space="preserve">) prokázaly, že přípravek významně redukuje hladiny bílkoviny v moči a poměr bílkoviny a kreatininu v moči (urine protein to </w:t>
      </w:r>
      <w:proofErr w:type="spellStart"/>
      <w:r>
        <w:rPr>
          <w:rFonts w:ascii="Arial" w:hAnsi="Arial" w:cs="Arial"/>
          <w:szCs w:val="22"/>
        </w:rPr>
        <w:t>creatinine</w:t>
      </w:r>
      <w:proofErr w:type="spellEnd"/>
      <w:r>
        <w:rPr>
          <w:rFonts w:ascii="Arial" w:hAnsi="Arial" w:cs="Arial"/>
          <w:szCs w:val="22"/>
        </w:rPr>
        <w:t xml:space="preserve"> ratio - UPC); tento účinek je patrně vyvolán sníženou glomerulární hypertenzí a příznivými účinky na bazální glomerulární membránu.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Nebyl prokázán žádný vliv přípravku na přežití u koček s chronickým onemocněním ledvin, avšak přípravek u koček zvyšoval chuť k jídlu, zejména v pokročilejších případech.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5.2</w:t>
      </w:r>
      <w:r>
        <w:rPr>
          <w:rFonts w:ascii="Arial" w:hAnsi="Arial" w:cs="Arial"/>
          <w:b/>
          <w:szCs w:val="22"/>
        </w:rPr>
        <w:tab/>
        <w:t>Farmakokinetické údaje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 perorálním podáním </w:t>
      </w:r>
      <w:proofErr w:type="spellStart"/>
      <w:r>
        <w:rPr>
          <w:rFonts w:ascii="Arial" w:hAnsi="Arial" w:cs="Arial"/>
          <w:szCs w:val="22"/>
        </w:rPr>
        <w:t>benazepril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hydrochloridu</w:t>
      </w:r>
      <w:proofErr w:type="spellEnd"/>
      <w:r>
        <w:rPr>
          <w:rFonts w:ascii="Arial" w:hAnsi="Arial" w:cs="Arial"/>
          <w:szCs w:val="22"/>
        </w:rPr>
        <w:t xml:space="preserve"> jsou rychle dosaženy maximální plazmatické koncentrace </w:t>
      </w:r>
      <w:proofErr w:type="spellStart"/>
      <w:r>
        <w:rPr>
          <w:rFonts w:ascii="Arial" w:hAnsi="Arial" w:cs="Arial"/>
          <w:szCs w:val="22"/>
        </w:rPr>
        <w:t>benazeprilu</w:t>
      </w:r>
      <w:proofErr w:type="spellEnd"/>
      <w:r>
        <w:rPr>
          <w:rFonts w:ascii="Arial" w:hAnsi="Arial" w:cs="Arial"/>
          <w:szCs w:val="22"/>
        </w:rPr>
        <w:t xml:space="preserve"> (</w:t>
      </w:r>
      <w:proofErr w:type="spellStart"/>
      <w:r>
        <w:rPr>
          <w:rFonts w:ascii="Arial" w:hAnsi="Arial" w:cs="Arial"/>
          <w:szCs w:val="22"/>
        </w:rPr>
        <w:t>Tmax</w:t>
      </w:r>
      <w:proofErr w:type="spellEnd"/>
      <w:r>
        <w:rPr>
          <w:rFonts w:ascii="Arial" w:hAnsi="Arial" w:cs="Arial"/>
          <w:szCs w:val="22"/>
        </w:rPr>
        <w:t xml:space="preserve"> do 2 hodin), které se pak rychle snižují, jak je lék částečně metabolizován jaterními enzymy na </w:t>
      </w:r>
      <w:proofErr w:type="spellStart"/>
      <w:r>
        <w:rPr>
          <w:rFonts w:ascii="Arial" w:hAnsi="Arial" w:cs="Arial"/>
          <w:szCs w:val="22"/>
        </w:rPr>
        <w:t>benazeprilát</w:t>
      </w:r>
      <w:proofErr w:type="spellEnd"/>
      <w:r>
        <w:rPr>
          <w:rFonts w:ascii="Arial" w:hAnsi="Arial" w:cs="Arial"/>
          <w:szCs w:val="22"/>
        </w:rPr>
        <w:t xml:space="preserve">.  Systémová biologická dostupnost je neúplná vzhledem k neúplné absorpci </w:t>
      </w:r>
      <w:proofErr w:type="gramStart"/>
      <w:r>
        <w:rPr>
          <w:rFonts w:ascii="Arial" w:hAnsi="Arial" w:cs="Arial"/>
          <w:szCs w:val="22"/>
        </w:rPr>
        <w:t>(&lt; 30</w:t>
      </w:r>
      <w:proofErr w:type="gramEnd"/>
      <w:r>
        <w:rPr>
          <w:rFonts w:ascii="Arial" w:hAnsi="Arial" w:cs="Arial"/>
          <w:szCs w:val="22"/>
        </w:rPr>
        <w:t xml:space="preserve"> % u koček) a metabolismu prvního průchodu játry.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Maximální plazmatické koncentrace </w:t>
      </w:r>
      <w:proofErr w:type="spellStart"/>
      <w:r>
        <w:rPr>
          <w:rFonts w:ascii="Arial" w:hAnsi="Arial" w:cs="Arial"/>
          <w:szCs w:val="22"/>
        </w:rPr>
        <w:t>benazeprilátu</w:t>
      </w:r>
      <w:proofErr w:type="spellEnd"/>
      <w:r>
        <w:rPr>
          <w:rFonts w:ascii="Arial" w:hAnsi="Arial" w:cs="Arial"/>
          <w:szCs w:val="22"/>
        </w:rPr>
        <w:t xml:space="preserve"> (</w:t>
      </w:r>
      <w:proofErr w:type="spellStart"/>
      <w:r>
        <w:rPr>
          <w:rFonts w:ascii="Arial" w:hAnsi="Arial" w:cs="Arial"/>
          <w:szCs w:val="22"/>
        </w:rPr>
        <w:t>Cmax</w:t>
      </w:r>
      <w:proofErr w:type="spellEnd"/>
      <w:r>
        <w:rPr>
          <w:rFonts w:ascii="Arial" w:hAnsi="Arial" w:cs="Arial"/>
          <w:szCs w:val="22"/>
        </w:rPr>
        <w:t xml:space="preserve"> 110,0 </w:t>
      </w:r>
      <w:proofErr w:type="spellStart"/>
      <w:r>
        <w:rPr>
          <w:rFonts w:ascii="Arial" w:hAnsi="Arial" w:cs="Arial"/>
          <w:szCs w:val="22"/>
        </w:rPr>
        <w:t>ng</w:t>
      </w:r>
      <w:proofErr w:type="spellEnd"/>
      <w:r>
        <w:rPr>
          <w:rFonts w:ascii="Arial" w:hAnsi="Arial" w:cs="Arial"/>
          <w:szCs w:val="22"/>
        </w:rPr>
        <w:t xml:space="preserve">/ml po dávce 0,65 mg </w:t>
      </w:r>
      <w:proofErr w:type="spellStart"/>
      <w:r>
        <w:rPr>
          <w:rFonts w:ascii="Arial" w:hAnsi="Arial" w:cs="Arial"/>
          <w:szCs w:val="22"/>
        </w:rPr>
        <w:t>benazepril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hydrochloridu</w:t>
      </w:r>
      <w:proofErr w:type="spellEnd"/>
      <w:r>
        <w:rPr>
          <w:rFonts w:ascii="Arial" w:hAnsi="Arial" w:cs="Arial"/>
          <w:szCs w:val="22"/>
        </w:rPr>
        <w:t xml:space="preserve"> /kg) jsou dosaženy v čase </w:t>
      </w:r>
      <w:proofErr w:type="spellStart"/>
      <w:r>
        <w:rPr>
          <w:rFonts w:ascii="Arial" w:hAnsi="Arial" w:cs="Arial"/>
          <w:szCs w:val="22"/>
        </w:rPr>
        <w:t>Tmax</w:t>
      </w:r>
      <w:proofErr w:type="spellEnd"/>
      <w:r>
        <w:rPr>
          <w:rFonts w:ascii="Arial" w:hAnsi="Arial" w:cs="Arial"/>
          <w:szCs w:val="22"/>
        </w:rPr>
        <w:t xml:space="preserve"> 1,5 hodiny.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Koncentrace </w:t>
      </w:r>
      <w:proofErr w:type="spellStart"/>
      <w:r>
        <w:rPr>
          <w:rFonts w:ascii="Arial" w:hAnsi="Arial" w:cs="Arial"/>
          <w:szCs w:val="22"/>
        </w:rPr>
        <w:t>benazeprilátu</w:t>
      </w:r>
      <w:proofErr w:type="spellEnd"/>
      <w:r>
        <w:rPr>
          <w:rFonts w:ascii="Arial" w:hAnsi="Arial" w:cs="Arial"/>
          <w:szCs w:val="22"/>
        </w:rPr>
        <w:t xml:space="preserve"> klesají dvoufázově: počáteční rychlá fáze (t1/2 = 2,4 hodiny) představuje eliminaci volného léčiva, zatímco konečná fáze (t1/2 = 29 hodin) odráží uvolňování </w:t>
      </w:r>
      <w:proofErr w:type="spellStart"/>
      <w:r>
        <w:rPr>
          <w:rFonts w:ascii="Arial" w:hAnsi="Arial" w:cs="Arial"/>
          <w:szCs w:val="22"/>
        </w:rPr>
        <w:t>benazeprilátu</w:t>
      </w:r>
      <w:proofErr w:type="spellEnd"/>
      <w:r>
        <w:rPr>
          <w:rFonts w:ascii="Arial" w:hAnsi="Arial" w:cs="Arial"/>
          <w:szCs w:val="22"/>
        </w:rPr>
        <w:t>, který byl vázán na ACE, zejména ve tkáních.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lastRenderedPageBreak/>
        <w:t>Benazepril</w:t>
      </w:r>
      <w:proofErr w:type="spellEnd"/>
      <w:r>
        <w:rPr>
          <w:rFonts w:ascii="Arial" w:hAnsi="Arial" w:cs="Arial"/>
          <w:szCs w:val="22"/>
        </w:rPr>
        <w:t xml:space="preserve"> a </w:t>
      </w:r>
      <w:proofErr w:type="spellStart"/>
      <w:r>
        <w:rPr>
          <w:rFonts w:ascii="Arial" w:hAnsi="Arial" w:cs="Arial"/>
          <w:szCs w:val="22"/>
        </w:rPr>
        <w:t>benazeprilát</w:t>
      </w:r>
      <w:proofErr w:type="spellEnd"/>
      <w:r>
        <w:rPr>
          <w:rFonts w:ascii="Arial" w:hAnsi="Arial" w:cs="Arial"/>
          <w:szCs w:val="22"/>
        </w:rPr>
        <w:t xml:space="preserve"> jsou ve velké míře vázány na plazmatické bílkoviny (</w:t>
      </w:r>
      <w:proofErr w:type="gramStart"/>
      <w:r>
        <w:rPr>
          <w:rFonts w:ascii="Arial" w:hAnsi="Arial" w:cs="Arial"/>
          <w:szCs w:val="22"/>
        </w:rPr>
        <w:t>85 - 90</w:t>
      </w:r>
      <w:proofErr w:type="gramEnd"/>
      <w:r>
        <w:rPr>
          <w:rFonts w:ascii="Arial" w:hAnsi="Arial" w:cs="Arial"/>
          <w:szCs w:val="22"/>
        </w:rPr>
        <w:t xml:space="preserve"> %) a ve tkáních byly nalezeny zejména v játrech a v ledvinách.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Opakované podání přípravku vede k mírné </w:t>
      </w:r>
      <w:proofErr w:type="spellStart"/>
      <w:r>
        <w:rPr>
          <w:rFonts w:ascii="Arial" w:hAnsi="Arial" w:cs="Arial"/>
          <w:szCs w:val="22"/>
        </w:rPr>
        <w:t>bioakumulaci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benazeprilátu</w:t>
      </w:r>
      <w:proofErr w:type="spellEnd"/>
      <w:r>
        <w:rPr>
          <w:rFonts w:ascii="Arial" w:hAnsi="Arial" w:cs="Arial"/>
          <w:szCs w:val="22"/>
        </w:rPr>
        <w:t xml:space="preserve"> (R = 1,36 při 0,5 mg/kg). Stabilizovaného stavu je dosaženo během několika dní.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Benazeprilát</w:t>
      </w:r>
      <w:proofErr w:type="spellEnd"/>
      <w:r>
        <w:rPr>
          <w:rFonts w:ascii="Arial" w:hAnsi="Arial" w:cs="Arial"/>
          <w:szCs w:val="22"/>
        </w:rPr>
        <w:t xml:space="preserve"> je vylučován z 85 % žlučí a z 15 % močí. </w:t>
      </w:r>
      <w:proofErr w:type="spellStart"/>
      <w:r>
        <w:rPr>
          <w:rFonts w:ascii="Arial" w:hAnsi="Arial" w:cs="Arial"/>
          <w:szCs w:val="22"/>
        </w:rPr>
        <w:t>Clearance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benazeprilátu</w:t>
      </w:r>
      <w:proofErr w:type="spellEnd"/>
      <w:r>
        <w:rPr>
          <w:rFonts w:ascii="Arial" w:hAnsi="Arial" w:cs="Arial"/>
          <w:szCs w:val="22"/>
        </w:rPr>
        <w:t xml:space="preserve"> není u koček s poškozenou renální funkcí ovlivněna, a proto není zapotřebí v případě renální nedostatečnosti upravovat dávku přípravku. 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6.</w:t>
      </w:r>
      <w:r>
        <w:rPr>
          <w:rFonts w:ascii="Arial" w:hAnsi="Arial" w:cs="Arial"/>
          <w:b/>
          <w:szCs w:val="22"/>
        </w:rPr>
        <w:tab/>
        <w:t>FARMACEUTICKÉ ÚDAJE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6.1</w:t>
      </w:r>
      <w:r>
        <w:rPr>
          <w:rFonts w:ascii="Arial" w:hAnsi="Arial" w:cs="Arial"/>
          <w:b/>
          <w:szCs w:val="22"/>
        </w:rPr>
        <w:tab/>
        <w:t>Seznam pomocných látek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Aroma prasečích jater 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Kvasnice</w:t>
      </w:r>
    </w:p>
    <w:p w:rsidR="001759A4" w:rsidRDefault="001759A4" w:rsidP="001759A4">
      <w:p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Monohydrát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laktosy</w:t>
      </w:r>
      <w:proofErr w:type="spellEnd"/>
      <w:r>
        <w:rPr>
          <w:rFonts w:ascii="Arial" w:hAnsi="Arial" w:cs="Arial"/>
          <w:szCs w:val="22"/>
        </w:rPr>
        <w:t xml:space="preserve"> </w:t>
      </w: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Sodná sůl </w:t>
      </w:r>
      <w:proofErr w:type="spellStart"/>
      <w:r>
        <w:rPr>
          <w:rFonts w:ascii="Arial" w:hAnsi="Arial" w:cs="Arial"/>
          <w:szCs w:val="22"/>
        </w:rPr>
        <w:t>kroskarmelosy</w:t>
      </w:r>
      <w:proofErr w:type="spellEnd"/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Koloidní bezvodý oxid křemičitý</w:t>
      </w: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Hydrogenovaný ricinový olej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Mikrokrystalická </w:t>
      </w:r>
      <w:proofErr w:type="spellStart"/>
      <w:r>
        <w:rPr>
          <w:rFonts w:ascii="Arial" w:hAnsi="Arial" w:cs="Arial"/>
          <w:szCs w:val="22"/>
        </w:rPr>
        <w:t>celulosa</w:t>
      </w:r>
      <w:proofErr w:type="spellEnd"/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6.2</w:t>
      </w:r>
      <w:r>
        <w:rPr>
          <w:rFonts w:ascii="Arial" w:hAnsi="Arial" w:cs="Arial"/>
          <w:b/>
          <w:szCs w:val="22"/>
        </w:rPr>
        <w:tab/>
        <w:t>Hlavní inkompatibility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Nejsou známy.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6.3</w:t>
      </w:r>
      <w:r>
        <w:rPr>
          <w:rFonts w:ascii="Arial" w:hAnsi="Arial" w:cs="Arial"/>
          <w:b/>
          <w:szCs w:val="22"/>
        </w:rPr>
        <w:tab/>
        <w:t>Doba použitelnosti</w:t>
      </w: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2B136A" w:rsidRDefault="001759A4" w:rsidP="001759A4">
      <w:pPr>
        <w:ind w:right="-31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Doba po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užitelnosti veterinárního léčivého přípravku v neporušeném obalu: </w:t>
      </w:r>
    </w:p>
    <w:p w:rsidR="001759A4" w:rsidRDefault="002B136A" w:rsidP="001759A4">
      <w:pPr>
        <w:ind w:right="-31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Zatavený blistr hliník/hliník obsahující 10 tablet v 1 blistru: </w:t>
      </w:r>
      <w:r w:rsidR="001759A4">
        <w:rPr>
          <w:rFonts w:ascii="Arial" w:hAnsi="Arial" w:cs="Arial"/>
          <w:szCs w:val="22"/>
        </w:rPr>
        <w:t>1 rok.</w:t>
      </w:r>
    </w:p>
    <w:p w:rsidR="002B136A" w:rsidRDefault="002B136A" w:rsidP="002B136A">
      <w:pPr>
        <w:ind w:right="-31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Zatavený blistr p</w:t>
      </w:r>
      <w:r w:rsidRPr="002F67BB">
        <w:rPr>
          <w:rFonts w:ascii="Arial" w:hAnsi="Arial" w:cs="Arial"/>
          <w:szCs w:val="22"/>
        </w:rPr>
        <w:t>olyamid-hliník-</w:t>
      </w:r>
      <w:r w:rsidR="00AF1602">
        <w:rPr>
          <w:rFonts w:ascii="Arial" w:hAnsi="Arial" w:cs="Arial"/>
          <w:szCs w:val="22"/>
        </w:rPr>
        <w:t>vysoušedlo</w:t>
      </w:r>
      <w:r w:rsidRPr="002F67BB">
        <w:rPr>
          <w:rFonts w:ascii="Arial" w:hAnsi="Arial" w:cs="Arial"/>
          <w:szCs w:val="22"/>
        </w:rPr>
        <w:t>/hli</w:t>
      </w:r>
      <w:r>
        <w:rPr>
          <w:rFonts w:ascii="Arial" w:hAnsi="Arial" w:cs="Arial"/>
          <w:szCs w:val="22"/>
        </w:rPr>
        <w:t>ník</w:t>
      </w:r>
      <w:r w:rsidRPr="002F67B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obsahující </w:t>
      </w:r>
      <w:r w:rsidRPr="002F67BB">
        <w:rPr>
          <w:rFonts w:ascii="Arial" w:hAnsi="Arial" w:cs="Arial"/>
          <w:szCs w:val="22"/>
        </w:rPr>
        <w:t xml:space="preserve">10 tablet </w:t>
      </w:r>
      <w:r>
        <w:rPr>
          <w:rFonts w:ascii="Arial" w:hAnsi="Arial" w:cs="Arial"/>
          <w:szCs w:val="22"/>
        </w:rPr>
        <w:t>v</w:t>
      </w:r>
      <w:r w:rsidR="00631351">
        <w:rPr>
          <w:rFonts w:ascii="Arial" w:hAnsi="Arial" w:cs="Arial"/>
          <w:szCs w:val="22"/>
        </w:rPr>
        <w:t xml:space="preserve"> 1 </w:t>
      </w:r>
      <w:r>
        <w:rPr>
          <w:rFonts w:ascii="Arial" w:hAnsi="Arial" w:cs="Arial"/>
          <w:szCs w:val="22"/>
        </w:rPr>
        <w:t>blistru: 2 roky.</w:t>
      </w:r>
    </w:p>
    <w:p w:rsidR="00F96443" w:rsidRDefault="00F96443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  <w:r>
        <w:rPr>
          <w:rFonts w:ascii="Arial" w:hAnsi="Arial" w:cs="Arial"/>
          <w:iCs/>
          <w:szCs w:val="22"/>
        </w:rPr>
        <w:t>Doba použitelnosti rozdělených tablet:</w:t>
      </w:r>
      <w:r>
        <w:rPr>
          <w:rFonts w:ascii="Arial" w:hAnsi="Arial" w:cs="Arial"/>
          <w:szCs w:val="22"/>
        </w:rPr>
        <w:t xml:space="preserve"> 72 hodin.</w:t>
      </w: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6.4</w:t>
      </w:r>
      <w:r>
        <w:rPr>
          <w:rFonts w:ascii="Arial" w:hAnsi="Arial" w:cs="Arial"/>
          <w:b/>
          <w:szCs w:val="22"/>
        </w:rPr>
        <w:tab/>
        <w:t>Zvláštní opatření pro uchovávání</w:t>
      </w: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Uchovávejte při teplotě do 25 °C.</w:t>
      </w: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Uchovávejte v původním obalu, aby byl přípravek chráněn před vlhkostí.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Každou nepoužitou rozdělenou tabletu vraťte zpět do otevřeného blistru a spotřebujte do 72 hodin. 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6.5</w:t>
      </w:r>
      <w:r>
        <w:rPr>
          <w:rFonts w:ascii="Arial" w:hAnsi="Arial" w:cs="Arial"/>
          <w:b/>
          <w:szCs w:val="22"/>
        </w:rPr>
        <w:tab/>
        <w:t>Druh a složení vnitřního obalu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Zatavený blistr hliník/hliník obsahující 10 tablet v 1 blistru</w:t>
      </w:r>
    </w:p>
    <w:p w:rsidR="002B136A" w:rsidRDefault="002B136A" w:rsidP="001759A4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nebo</w:t>
      </w:r>
    </w:p>
    <w:p w:rsidR="002B136A" w:rsidRDefault="002B136A" w:rsidP="002B136A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zatavený blistr p</w:t>
      </w:r>
      <w:r w:rsidRPr="002F67BB">
        <w:rPr>
          <w:rFonts w:ascii="Arial" w:hAnsi="Arial" w:cs="Arial"/>
          <w:szCs w:val="22"/>
        </w:rPr>
        <w:t>olyamid-hliník-</w:t>
      </w:r>
      <w:r w:rsidR="006139B6">
        <w:rPr>
          <w:rFonts w:ascii="Arial" w:hAnsi="Arial" w:cs="Arial"/>
          <w:szCs w:val="22"/>
        </w:rPr>
        <w:t>vysoušedlo</w:t>
      </w:r>
      <w:r w:rsidRPr="002F67BB">
        <w:rPr>
          <w:rFonts w:ascii="Arial" w:hAnsi="Arial" w:cs="Arial"/>
          <w:szCs w:val="22"/>
        </w:rPr>
        <w:t>/hli</w:t>
      </w:r>
      <w:r>
        <w:rPr>
          <w:rFonts w:ascii="Arial" w:hAnsi="Arial" w:cs="Arial"/>
          <w:szCs w:val="22"/>
        </w:rPr>
        <w:t>ník</w:t>
      </w:r>
      <w:r w:rsidRPr="002F67B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obsahující </w:t>
      </w:r>
      <w:r w:rsidRPr="002F67BB">
        <w:rPr>
          <w:rFonts w:ascii="Arial" w:hAnsi="Arial" w:cs="Arial"/>
          <w:szCs w:val="22"/>
        </w:rPr>
        <w:t xml:space="preserve">10 tablet </w:t>
      </w:r>
      <w:r>
        <w:rPr>
          <w:rFonts w:ascii="Arial" w:hAnsi="Arial" w:cs="Arial"/>
          <w:szCs w:val="22"/>
        </w:rPr>
        <w:t>v</w:t>
      </w:r>
      <w:r w:rsidR="00631351">
        <w:rPr>
          <w:rFonts w:ascii="Arial" w:hAnsi="Arial" w:cs="Arial"/>
          <w:szCs w:val="22"/>
        </w:rPr>
        <w:t xml:space="preserve"> 1 </w:t>
      </w:r>
      <w:r>
        <w:rPr>
          <w:rFonts w:ascii="Arial" w:hAnsi="Arial" w:cs="Arial"/>
          <w:szCs w:val="22"/>
        </w:rPr>
        <w:t>blistru</w:t>
      </w:r>
      <w:r w:rsidRPr="002F67BB">
        <w:rPr>
          <w:rFonts w:ascii="Arial" w:hAnsi="Arial" w:cs="Arial"/>
          <w:szCs w:val="22"/>
        </w:rPr>
        <w:t>.</w:t>
      </w:r>
    </w:p>
    <w:p w:rsidR="002B136A" w:rsidRDefault="002B136A" w:rsidP="001759A4">
      <w:pPr>
        <w:ind w:right="720"/>
        <w:rPr>
          <w:rFonts w:ascii="Arial" w:hAnsi="Arial" w:cs="Arial"/>
          <w:szCs w:val="22"/>
        </w:rPr>
      </w:pPr>
    </w:p>
    <w:p w:rsidR="001759A4" w:rsidRDefault="001759A4" w:rsidP="001759A4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Krabička s 1 blistrem po 10 tabletách </w:t>
      </w:r>
    </w:p>
    <w:p w:rsidR="001759A4" w:rsidRDefault="001759A4" w:rsidP="001759A4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Krabička s 2 blistry po 10 tabletách </w:t>
      </w:r>
    </w:p>
    <w:p w:rsidR="001759A4" w:rsidRDefault="001759A4" w:rsidP="001759A4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Krabička s 3 blistry po 10 tabletách </w:t>
      </w:r>
    </w:p>
    <w:p w:rsidR="001759A4" w:rsidRDefault="001759A4" w:rsidP="001759A4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Krabička s 5 blistry po 10 tabletách </w:t>
      </w:r>
    </w:p>
    <w:p w:rsidR="001759A4" w:rsidRDefault="001759A4" w:rsidP="001759A4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Krabička s 10 blistry po 10 tabletách </w:t>
      </w:r>
    </w:p>
    <w:p w:rsidR="001759A4" w:rsidRDefault="001759A4" w:rsidP="001759A4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Krabička s 20 blistry po 10 tabletách </w:t>
      </w:r>
    </w:p>
    <w:p w:rsidR="001759A4" w:rsidRDefault="001759A4" w:rsidP="001759A4">
      <w:pPr>
        <w:ind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Krabička s 50 blistry po 10 tabletách </w:t>
      </w:r>
    </w:p>
    <w:p w:rsidR="001759A4" w:rsidRDefault="001759A4" w:rsidP="001759A4">
      <w:pPr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trhu nemusí být všechny velikosti balení.</w:t>
      </w: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6.6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 xml:space="preserve">Zvláštní opatření pro zneškodňování nepoužitého veterinárního léčivého přípravku nebo odpadu, který pochází z tohoto přípravku </w:t>
      </w: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ind w:left="0" w:right="-318" w:firstLine="0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7.</w:t>
      </w:r>
      <w:r>
        <w:rPr>
          <w:rFonts w:ascii="Arial" w:hAnsi="Arial" w:cs="Arial"/>
          <w:b/>
          <w:szCs w:val="22"/>
        </w:rPr>
        <w:tab/>
        <w:t xml:space="preserve">DRŽITEL ROZHODNUTÍ O REGISTRACI </w:t>
      </w:r>
    </w:p>
    <w:p w:rsidR="001759A4" w:rsidRDefault="001759A4" w:rsidP="001759A4">
      <w:pPr>
        <w:rPr>
          <w:rFonts w:ascii="Arial" w:hAnsi="Arial" w:cs="Arial"/>
          <w:b/>
          <w:szCs w:val="22"/>
        </w:rPr>
      </w:pPr>
    </w:p>
    <w:p w:rsidR="001759A4" w:rsidRDefault="001759A4" w:rsidP="001759A4">
      <w:pPr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Ceva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Santé</w:t>
      </w:r>
      <w:proofErr w:type="spellEnd"/>
      <w:r>
        <w:rPr>
          <w:rFonts w:ascii="Arial" w:hAnsi="Arial" w:cs="Arial"/>
          <w:iCs/>
        </w:rPr>
        <w:t xml:space="preserve"> Animale</w:t>
      </w:r>
    </w:p>
    <w:p w:rsidR="001759A4" w:rsidRDefault="001759A4" w:rsidP="001759A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10 Avenue de La </w:t>
      </w:r>
      <w:proofErr w:type="spellStart"/>
      <w:r>
        <w:rPr>
          <w:rFonts w:ascii="Arial" w:hAnsi="Arial" w:cs="Arial"/>
          <w:iCs/>
        </w:rPr>
        <w:t>Ballastière</w:t>
      </w:r>
      <w:proofErr w:type="spellEnd"/>
    </w:p>
    <w:p w:rsidR="001759A4" w:rsidRDefault="001759A4" w:rsidP="001759A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33500 </w:t>
      </w:r>
      <w:proofErr w:type="spellStart"/>
      <w:r>
        <w:rPr>
          <w:rFonts w:ascii="Arial" w:hAnsi="Arial" w:cs="Arial"/>
          <w:iCs/>
        </w:rPr>
        <w:t>Libourne</w:t>
      </w:r>
      <w:proofErr w:type="spellEnd"/>
    </w:p>
    <w:p w:rsidR="001759A4" w:rsidRDefault="001759A4" w:rsidP="001759A4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Francie</w:t>
      </w:r>
      <w:r>
        <w:rPr>
          <w:rFonts w:ascii="Arial" w:hAnsi="Arial" w:cs="Arial"/>
        </w:rPr>
        <w:t xml:space="preserve"> </w:t>
      </w: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ind w:right="-318"/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b/>
          <w:szCs w:val="22"/>
        </w:rPr>
        <w:t>8.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caps/>
          <w:szCs w:val="22"/>
        </w:rPr>
        <w:t>Registrační číslo(a)</w:t>
      </w:r>
    </w:p>
    <w:p w:rsidR="001759A4" w:rsidRDefault="001759A4" w:rsidP="001759A4">
      <w:pPr>
        <w:ind w:right="-318"/>
        <w:rPr>
          <w:rFonts w:ascii="Arial" w:hAnsi="Arial" w:cs="Arial"/>
          <w:caps/>
        </w:rPr>
      </w:pPr>
    </w:p>
    <w:p w:rsidR="001759A4" w:rsidRDefault="001759A4" w:rsidP="001759A4">
      <w:pPr>
        <w:ind w:right="-318"/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caps/>
        </w:rPr>
        <w:t>96/005/</w:t>
      </w:r>
      <w:proofErr w:type="gramStart"/>
      <w:r>
        <w:rPr>
          <w:rFonts w:ascii="Arial" w:hAnsi="Arial" w:cs="Arial"/>
          <w:caps/>
        </w:rPr>
        <w:t>10-C</w:t>
      </w:r>
      <w:proofErr w:type="gramEnd"/>
    </w:p>
    <w:p w:rsidR="001759A4" w:rsidRDefault="001759A4" w:rsidP="001759A4">
      <w:pPr>
        <w:ind w:right="-318"/>
        <w:rPr>
          <w:rFonts w:ascii="Arial" w:hAnsi="Arial" w:cs="Arial"/>
          <w:b/>
          <w:caps/>
          <w:szCs w:val="22"/>
        </w:rPr>
      </w:pPr>
    </w:p>
    <w:p w:rsidR="001759A4" w:rsidRDefault="001759A4" w:rsidP="001759A4">
      <w:pPr>
        <w:ind w:right="-318"/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b/>
          <w:caps/>
          <w:szCs w:val="22"/>
        </w:rPr>
        <w:t>9.</w:t>
      </w:r>
      <w:r>
        <w:rPr>
          <w:rFonts w:ascii="Arial" w:hAnsi="Arial" w:cs="Arial"/>
          <w:b/>
          <w:caps/>
          <w:szCs w:val="22"/>
        </w:rPr>
        <w:tab/>
        <w:t>Datum registrace/ prodloužení registrace</w:t>
      </w:r>
    </w:p>
    <w:p w:rsidR="001759A4" w:rsidRDefault="001759A4" w:rsidP="001759A4">
      <w:pPr>
        <w:ind w:right="-318"/>
        <w:rPr>
          <w:rFonts w:ascii="Arial" w:hAnsi="Arial" w:cs="Arial"/>
          <w:caps/>
          <w:szCs w:val="22"/>
        </w:rPr>
      </w:pPr>
    </w:p>
    <w:p w:rsidR="001759A4" w:rsidRDefault="001759A4" w:rsidP="001759A4">
      <w:pPr>
        <w:ind w:right="-318"/>
        <w:rPr>
          <w:rFonts w:ascii="Arial" w:hAnsi="Arial" w:cs="Arial"/>
          <w:caps/>
          <w:szCs w:val="22"/>
        </w:rPr>
      </w:pPr>
      <w:r>
        <w:rPr>
          <w:rFonts w:ascii="Arial" w:hAnsi="Arial" w:cs="Arial"/>
          <w:caps/>
          <w:szCs w:val="22"/>
        </w:rPr>
        <w:t xml:space="preserve">18. 3. 2010/16. 1. 2014 </w:t>
      </w:r>
    </w:p>
    <w:p w:rsidR="001759A4" w:rsidRDefault="001759A4" w:rsidP="001759A4">
      <w:pPr>
        <w:ind w:right="-318"/>
        <w:rPr>
          <w:rFonts w:ascii="Arial" w:hAnsi="Arial" w:cs="Arial"/>
          <w:szCs w:val="22"/>
        </w:rPr>
      </w:pPr>
    </w:p>
    <w:p w:rsidR="001759A4" w:rsidRDefault="001759A4" w:rsidP="001759A4">
      <w:pPr>
        <w:ind w:right="-318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10. </w:t>
      </w:r>
      <w:r>
        <w:rPr>
          <w:rFonts w:ascii="Arial" w:hAnsi="Arial" w:cs="Arial"/>
          <w:b/>
          <w:szCs w:val="22"/>
        </w:rPr>
        <w:tab/>
        <w:t>DATUM REVIZE TEXTU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</w:p>
    <w:p w:rsidR="001759A4" w:rsidRDefault="005B5A81" w:rsidP="001759A4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Únor</w:t>
      </w:r>
      <w:r w:rsidR="00AF1602">
        <w:rPr>
          <w:rFonts w:ascii="Arial" w:hAnsi="Arial" w:cs="Arial"/>
          <w:szCs w:val="22"/>
        </w:rPr>
        <w:t xml:space="preserve"> </w:t>
      </w:r>
      <w:r w:rsidR="001759A4">
        <w:rPr>
          <w:rFonts w:ascii="Arial" w:hAnsi="Arial" w:cs="Arial"/>
          <w:szCs w:val="22"/>
        </w:rPr>
        <w:t>202</w:t>
      </w:r>
      <w:r w:rsidR="00AF1602">
        <w:rPr>
          <w:rFonts w:ascii="Arial" w:hAnsi="Arial" w:cs="Arial"/>
          <w:szCs w:val="22"/>
        </w:rPr>
        <w:t>4</w:t>
      </w:r>
    </w:p>
    <w:p w:rsidR="001759A4" w:rsidRDefault="001759A4" w:rsidP="001759A4">
      <w:pPr>
        <w:ind w:left="0" w:firstLine="0"/>
        <w:rPr>
          <w:rFonts w:ascii="Arial" w:hAnsi="Arial" w:cs="Arial"/>
          <w:szCs w:val="22"/>
        </w:rPr>
      </w:pPr>
    </w:p>
    <w:p w:rsidR="001759A4" w:rsidRDefault="001759A4" w:rsidP="001759A4">
      <w:pPr>
        <w:rPr>
          <w:rFonts w:ascii="Arial" w:hAnsi="Arial" w:cs="Arial"/>
        </w:rPr>
      </w:pPr>
      <w:r>
        <w:rPr>
          <w:rFonts w:ascii="Arial" w:hAnsi="Arial" w:cs="Arial"/>
          <w:b/>
        </w:rPr>
        <w:t>DALŠÍ INFORMACE</w:t>
      </w:r>
    </w:p>
    <w:p w:rsidR="001759A4" w:rsidRDefault="001759A4" w:rsidP="001759A4">
      <w:pPr>
        <w:ind w:right="-318"/>
        <w:jc w:val="both"/>
        <w:rPr>
          <w:rFonts w:ascii="Arial" w:hAnsi="Arial" w:cs="Arial"/>
        </w:rPr>
      </w:pPr>
    </w:p>
    <w:p w:rsidR="001759A4" w:rsidRDefault="001759A4" w:rsidP="001759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Veterinární léčivý přípravek je vydáván pouze na předpis.</w:t>
      </w:r>
    </w:p>
    <w:p w:rsidR="001759A4" w:rsidRDefault="001759A4" w:rsidP="001759A4"/>
    <w:p w:rsidR="001759A4" w:rsidRDefault="001759A4" w:rsidP="001759A4"/>
    <w:p w:rsidR="001759A4" w:rsidRDefault="001759A4" w:rsidP="001759A4"/>
    <w:p w:rsidR="001759A4" w:rsidRPr="006B59D0" w:rsidRDefault="001759A4" w:rsidP="001759A4"/>
    <w:p w:rsidR="001120C9" w:rsidRPr="001759A4" w:rsidRDefault="001120C9" w:rsidP="001759A4"/>
    <w:sectPr w:rsidR="001120C9" w:rsidRPr="001759A4" w:rsidSect="008E1F4C">
      <w:footerReference w:type="even" r:id="rId7"/>
      <w:footerReference w:type="defaul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pgNumType w:fmt="numberInDash" w:start="1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3C" w:rsidRDefault="00D0363C">
      <w:r>
        <w:separator/>
      </w:r>
    </w:p>
  </w:endnote>
  <w:endnote w:type="continuationSeparator" w:id="0">
    <w:p w:rsidR="00D0363C" w:rsidRDefault="00D0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DEF" w:rsidRDefault="00075DEF" w:rsidP="00C7483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75DEF" w:rsidRDefault="00075DEF" w:rsidP="008E1F4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DEF" w:rsidRDefault="00075DEF" w:rsidP="008E1F4C">
    <w:pPr>
      <w:pStyle w:val="Zpat"/>
      <w:tabs>
        <w:tab w:val="clear" w:pos="8930"/>
        <w:tab w:val="right" w:pos="8931"/>
      </w:tabs>
      <w:ind w:right="360"/>
      <w:rPr>
        <w:rFonts w:ascii="Times New Roman" w:hAnsi="Times New Roman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DEF" w:rsidRDefault="00075DEF">
    <w:pPr>
      <w:pStyle w:val="Zpat"/>
      <w:tabs>
        <w:tab w:val="clear" w:pos="8930"/>
        <w:tab w:val="right" w:pos="89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3C" w:rsidRDefault="00D0363C">
      <w:r>
        <w:separator/>
      </w:r>
    </w:p>
  </w:footnote>
  <w:footnote w:type="continuationSeparator" w:id="0">
    <w:p w:rsidR="00D0363C" w:rsidRDefault="00D0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4B0624"/>
    <w:multiLevelType w:val="hybridMultilevel"/>
    <w:tmpl w:val="E56290A8"/>
    <w:lvl w:ilvl="0" w:tplc="2D3A77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30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9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7D50B7"/>
    <w:rsid w:val="000466EF"/>
    <w:rsid w:val="00075DEF"/>
    <w:rsid w:val="000837DB"/>
    <w:rsid w:val="0008524D"/>
    <w:rsid w:val="000C398B"/>
    <w:rsid w:val="000E6EB9"/>
    <w:rsid w:val="000F60A0"/>
    <w:rsid w:val="00110880"/>
    <w:rsid w:val="001120C9"/>
    <w:rsid w:val="001759A4"/>
    <w:rsid w:val="001C6EB2"/>
    <w:rsid w:val="001D64A0"/>
    <w:rsid w:val="00207E7E"/>
    <w:rsid w:val="00235C8C"/>
    <w:rsid w:val="00240338"/>
    <w:rsid w:val="00246E0E"/>
    <w:rsid w:val="00285AFC"/>
    <w:rsid w:val="0028638B"/>
    <w:rsid w:val="00291480"/>
    <w:rsid w:val="002B136A"/>
    <w:rsid w:val="002C09EE"/>
    <w:rsid w:val="002E22A0"/>
    <w:rsid w:val="002F0574"/>
    <w:rsid w:val="00311AC8"/>
    <w:rsid w:val="0032243B"/>
    <w:rsid w:val="003529A2"/>
    <w:rsid w:val="00353DB3"/>
    <w:rsid w:val="0036771C"/>
    <w:rsid w:val="003706F8"/>
    <w:rsid w:val="00390796"/>
    <w:rsid w:val="003A293E"/>
    <w:rsid w:val="003D0369"/>
    <w:rsid w:val="00434F79"/>
    <w:rsid w:val="00457CAC"/>
    <w:rsid w:val="00462419"/>
    <w:rsid w:val="00491E67"/>
    <w:rsid w:val="004A74CA"/>
    <w:rsid w:val="004C61EE"/>
    <w:rsid w:val="0055333D"/>
    <w:rsid w:val="00572374"/>
    <w:rsid w:val="005B5A81"/>
    <w:rsid w:val="00610446"/>
    <w:rsid w:val="006139B6"/>
    <w:rsid w:val="006278DC"/>
    <w:rsid w:val="00631351"/>
    <w:rsid w:val="00657A29"/>
    <w:rsid w:val="00673F87"/>
    <w:rsid w:val="006939E9"/>
    <w:rsid w:val="0069679D"/>
    <w:rsid w:val="006B59D0"/>
    <w:rsid w:val="006F2224"/>
    <w:rsid w:val="007327C4"/>
    <w:rsid w:val="0075581F"/>
    <w:rsid w:val="00756DBC"/>
    <w:rsid w:val="007D50B7"/>
    <w:rsid w:val="00810AFC"/>
    <w:rsid w:val="00812416"/>
    <w:rsid w:val="00835829"/>
    <w:rsid w:val="008539A3"/>
    <w:rsid w:val="00881F5D"/>
    <w:rsid w:val="008E1F4C"/>
    <w:rsid w:val="00931117"/>
    <w:rsid w:val="00951853"/>
    <w:rsid w:val="009828A7"/>
    <w:rsid w:val="0098398E"/>
    <w:rsid w:val="009861AF"/>
    <w:rsid w:val="009C0752"/>
    <w:rsid w:val="009E72A0"/>
    <w:rsid w:val="009F016D"/>
    <w:rsid w:val="00A16EF5"/>
    <w:rsid w:val="00A25522"/>
    <w:rsid w:val="00A51EA3"/>
    <w:rsid w:val="00AB787C"/>
    <w:rsid w:val="00AF1602"/>
    <w:rsid w:val="00AF71CA"/>
    <w:rsid w:val="00B07951"/>
    <w:rsid w:val="00B37109"/>
    <w:rsid w:val="00B42436"/>
    <w:rsid w:val="00B76D62"/>
    <w:rsid w:val="00BA2A17"/>
    <w:rsid w:val="00BA2C6C"/>
    <w:rsid w:val="00BE26E4"/>
    <w:rsid w:val="00C0420F"/>
    <w:rsid w:val="00C477D0"/>
    <w:rsid w:val="00C620F4"/>
    <w:rsid w:val="00C71EE3"/>
    <w:rsid w:val="00C74835"/>
    <w:rsid w:val="00C94E59"/>
    <w:rsid w:val="00CA1062"/>
    <w:rsid w:val="00CB1F3F"/>
    <w:rsid w:val="00CB264A"/>
    <w:rsid w:val="00CE2067"/>
    <w:rsid w:val="00D0363C"/>
    <w:rsid w:val="00D12B67"/>
    <w:rsid w:val="00D15EF1"/>
    <w:rsid w:val="00D309C8"/>
    <w:rsid w:val="00D56497"/>
    <w:rsid w:val="00D605B2"/>
    <w:rsid w:val="00DA3890"/>
    <w:rsid w:val="00DA679A"/>
    <w:rsid w:val="00DB5801"/>
    <w:rsid w:val="00DC3E09"/>
    <w:rsid w:val="00E11917"/>
    <w:rsid w:val="00EE269E"/>
    <w:rsid w:val="00EE31D4"/>
    <w:rsid w:val="00F3167A"/>
    <w:rsid w:val="00F853DC"/>
    <w:rsid w:val="00F8639D"/>
    <w:rsid w:val="00F96443"/>
    <w:rsid w:val="00FC33A9"/>
    <w:rsid w:val="00FE4671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946966"/>
  <w15:chartTrackingRefBased/>
  <w15:docId w15:val="{B03B61DF-4994-40C0-BA97-FB164020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1F5D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0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Textedebulles1">
    <w:name w:val="Texte de bulles1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8E1F4C"/>
  </w:style>
  <w:style w:type="character" w:customStyle="1" w:styleId="tw4winMark">
    <w:name w:val="tw4winMark"/>
    <w:rPr>
      <w:rFonts w:ascii="Courier New" w:hAnsi="Courier New" w:cs="Courier New"/>
      <w:b w:val="0"/>
      <w:i w:val="0"/>
      <w:dstrike w:val="0"/>
      <w:vanish/>
      <w:color w:val="800080"/>
      <w:sz w:val="22"/>
      <w:effect w:val="none"/>
      <w:vertAlign w:val="subscript"/>
      <w:lang w:val="fr-FR"/>
    </w:rPr>
  </w:style>
  <w:style w:type="paragraph" w:styleId="Textbubliny">
    <w:name w:val="Balloon Text"/>
    <w:basedOn w:val="Normln"/>
    <w:semiHidden/>
    <w:rsid w:val="00F85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1473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ACCESS EUROPE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 EUROPE</dc:creator>
  <cp:keywords/>
  <dc:description/>
  <cp:lastModifiedBy>Neugebauerová Kateřina</cp:lastModifiedBy>
  <cp:revision>8</cp:revision>
  <cp:lastPrinted>2024-02-06T14:56:00Z</cp:lastPrinted>
  <dcterms:created xsi:type="dcterms:W3CDTF">2024-01-03T13:52:00Z</dcterms:created>
  <dcterms:modified xsi:type="dcterms:W3CDTF">2024-02-06T14:56:00Z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1696382517</vt:i4>
  </property>
  <property fmtid="{D5CDD505-2E9C-101B-9397-08002B2CF9AE}" pid="3" name="_EmailSubject">
    <vt:lpwstr>Livraison Traductions thèque et hongroise document 'PART IB NELIO 5'</vt:lpwstr>
  </property>
  <property fmtid="{D5CDD505-2E9C-101B-9397-08002B2CF9AE}" pid="4" name="_AuthorEmail">
    <vt:lpwstr>mail@accesseurope.eu</vt:lpwstr>
  </property>
  <property fmtid="{D5CDD505-2E9C-101B-9397-08002B2CF9AE}" pid="5" name="_AuthorEmailDisplayName">
    <vt:lpwstr>ACCESS EUROPE</vt:lpwstr>
  </property>
  <property fmtid="{D5CDD505-2E9C-101B-9397-08002B2CF9AE}" pid="6" name="_ReviewingToolsShownOnce">
    <vt:lpwstr/>
  </property>
</Properties>
</file>