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718" w:rsidRPr="00334E97" w:rsidRDefault="00083718" w:rsidP="00083718">
      <w:pPr>
        <w:rPr>
          <w:color w:val="008000"/>
        </w:rPr>
      </w:pPr>
    </w:p>
    <w:p w:rsidR="00083718" w:rsidRPr="00334E97" w:rsidRDefault="00083718" w:rsidP="00083718">
      <w:pPr>
        <w:rPr>
          <w:b/>
          <w:bCs/>
        </w:rPr>
      </w:pPr>
    </w:p>
    <w:p w:rsidR="00083718" w:rsidRPr="00334E97" w:rsidRDefault="00083718" w:rsidP="00083718">
      <w:pPr>
        <w:rPr>
          <w:b/>
          <w:bCs/>
        </w:rPr>
      </w:pPr>
    </w:p>
    <w:p w:rsidR="00083718" w:rsidRPr="00334E97" w:rsidRDefault="00083718" w:rsidP="00083718">
      <w:pPr>
        <w:rPr>
          <w:b/>
          <w:bCs/>
        </w:rPr>
      </w:pPr>
    </w:p>
    <w:p w:rsidR="00083718" w:rsidRPr="00334E97" w:rsidRDefault="00083718" w:rsidP="00083718">
      <w:pPr>
        <w:rPr>
          <w:b/>
          <w:bCs/>
        </w:rPr>
      </w:pPr>
    </w:p>
    <w:p w:rsidR="00083718" w:rsidRPr="00334E97" w:rsidRDefault="00083718" w:rsidP="00083718">
      <w:pPr>
        <w:rPr>
          <w:b/>
          <w:bCs/>
        </w:rPr>
      </w:pPr>
    </w:p>
    <w:p w:rsidR="00083718" w:rsidRPr="00334E97" w:rsidRDefault="00083718" w:rsidP="00083718">
      <w:pPr>
        <w:rPr>
          <w:b/>
          <w:bCs/>
        </w:rPr>
      </w:pPr>
    </w:p>
    <w:p w:rsidR="00083718" w:rsidRPr="00334E97" w:rsidRDefault="00083718" w:rsidP="00083718">
      <w:pPr>
        <w:rPr>
          <w:b/>
          <w:bCs/>
        </w:rPr>
      </w:pPr>
    </w:p>
    <w:p w:rsidR="00083718" w:rsidRPr="00334E97" w:rsidRDefault="00083718" w:rsidP="00083718">
      <w:pPr>
        <w:rPr>
          <w:b/>
          <w:bCs/>
        </w:rPr>
      </w:pPr>
    </w:p>
    <w:p w:rsidR="00083718" w:rsidRPr="00334E97" w:rsidRDefault="00083718" w:rsidP="00083718">
      <w:pPr>
        <w:rPr>
          <w:b/>
          <w:bCs/>
        </w:rPr>
      </w:pPr>
    </w:p>
    <w:p w:rsidR="00083718" w:rsidRPr="00334E97" w:rsidRDefault="00083718" w:rsidP="00083718">
      <w:pPr>
        <w:rPr>
          <w:b/>
          <w:bCs/>
        </w:rPr>
      </w:pPr>
    </w:p>
    <w:p w:rsidR="00083718" w:rsidRPr="00334E97" w:rsidRDefault="00083718" w:rsidP="00083718">
      <w:pPr>
        <w:rPr>
          <w:b/>
          <w:bCs/>
        </w:rPr>
      </w:pPr>
    </w:p>
    <w:p w:rsidR="00083718" w:rsidRPr="00334E97" w:rsidRDefault="00083718" w:rsidP="00083718">
      <w:pPr>
        <w:rPr>
          <w:b/>
          <w:bCs/>
        </w:rPr>
      </w:pPr>
    </w:p>
    <w:p w:rsidR="00083718" w:rsidRPr="00334E97" w:rsidRDefault="00083718" w:rsidP="00083718">
      <w:pPr>
        <w:rPr>
          <w:b/>
          <w:bCs/>
        </w:rPr>
      </w:pPr>
    </w:p>
    <w:p w:rsidR="00083718" w:rsidRPr="00334E97" w:rsidRDefault="00083718" w:rsidP="00083718">
      <w:pPr>
        <w:rPr>
          <w:b/>
          <w:bCs/>
        </w:rPr>
      </w:pPr>
    </w:p>
    <w:p w:rsidR="00083718" w:rsidRPr="00334E97" w:rsidRDefault="00083718" w:rsidP="00083718">
      <w:pPr>
        <w:rPr>
          <w:b/>
          <w:bCs/>
        </w:rPr>
      </w:pPr>
    </w:p>
    <w:p w:rsidR="00083718" w:rsidRPr="00334E97" w:rsidRDefault="00083718" w:rsidP="00083718">
      <w:pPr>
        <w:rPr>
          <w:b/>
          <w:bCs/>
        </w:rPr>
      </w:pPr>
    </w:p>
    <w:p w:rsidR="00083718" w:rsidRPr="00334E97" w:rsidRDefault="00083718" w:rsidP="00083718">
      <w:pPr>
        <w:rPr>
          <w:b/>
          <w:bCs/>
        </w:rPr>
      </w:pPr>
    </w:p>
    <w:p w:rsidR="00083718" w:rsidRPr="00334E97" w:rsidRDefault="00083718" w:rsidP="00083718">
      <w:pPr>
        <w:rPr>
          <w:b/>
          <w:bCs/>
        </w:rPr>
      </w:pPr>
    </w:p>
    <w:p w:rsidR="00083718" w:rsidRPr="00334E97" w:rsidRDefault="00083718" w:rsidP="00083718">
      <w:pPr>
        <w:rPr>
          <w:b/>
          <w:bCs/>
        </w:rPr>
      </w:pPr>
    </w:p>
    <w:p w:rsidR="00083718" w:rsidRPr="00334E97" w:rsidRDefault="00083718" w:rsidP="00083718">
      <w:pPr>
        <w:rPr>
          <w:b/>
          <w:bCs/>
        </w:rPr>
      </w:pPr>
    </w:p>
    <w:p w:rsidR="00083718" w:rsidRPr="00334E97" w:rsidRDefault="00083718" w:rsidP="00083718">
      <w:pPr>
        <w:rPr>
          <w:b/>
          <w:bCs/>
        </w:rPr>
      </w:pPr>
    </w:p>
    <w:p w:rsidR="00083718" w:rsidRPr="00334E97" w:rsidRDefault="00083718" w:rsidP="00083718">
      <w:pPr>
        <w:rPr>
          <w:b/>
          <w:bCs/>
        </w:rPr>
      </w:pPr>
    </w:p>
    <w:p w:rsidR="00083718" w:rsidRPr="00334E97" w:rsidRDefault="00083718" w:rsidP="00083718">
      <w:pPr>
        <w:jc w:val="center"/>
        <w:rPr>
          <w:b/>
          <w:bCs/>
        </w:rPr>
      </w:pPr>
      <w:r w:rsidRPr="00334E97">
        <w:rPr>
          <w:b/>
          <w:bCs/>
        </w:rPr>
        <w:t>PŘÍLOHA I</w:t>
      </w:r>
    </w:p>
    <w:p w:rsidR="00083718" w:rsidRPr="00334E97" w:rsidRDefault="00083718" w:rsidP="00083718">
      <w:pPr>
        <w:jc w:val="center"/>
        <w:rPr>
          <w:b/>
          <w:bCs/>
        </w:rPr>
      </w:pPr>
    </w:p>
    <w:p w:rsidR="00083718" w:rsidRPr="00334E97" w:rsidRDefault="00083718" w:rsidP="00083718">
      <w:pPr>
        <w:jc w:val="center"/>
        <w:rPr>
          <w:b/>
          <w:bCs/>
        </w:rPr>
      </w:pPr>
      <w:r w:rsidRPr="00334E97">
        <w:rPr>
          <w:b/>
          <w:bCs/>
        </w:rPr>
        <w:t>SOUHRN NÁVRHU ÚDAJŮ O PŘÍPRAVKU</w:t>
      </w:r>
    </w:p>
    <w:p w:rsidR="00083718" w:rsidRPr="00334E97" w:rsidRDefault="00083718" w:rsidP="00083718"/>
    <w:p w:rsidR="00083718" w:rsidRPr="00334E97" w:rsidRDefault="00083718" w:rsidP="00083718">
      <w:r w:rsidRPr="00334E97">
        <w:rPr>
          <w:b/>
          <w:bCs/>
        </w:rPr>
        <w:br w:type="page"/>
      </w:r>
      <w:r w:rsidRPr="00334E97">
        <w:rPr>
          <w:b/>
          <w:bCs/>
        </w:rPr>
        <w:lastRenderedPageBreak/>
        <w:t>1.</w:t>
      </w:r>
      <w:r w:rsidRPr="00334E97">
        <w:rPr>
          <w:b/>
          <w:bCs/>
        </w:rPr>
        <w:tab/>
        <w:t>NÁZEV VETERINÁRNÍHO LÉČIVÉHO PŘÍPRAVKU</w:t>
      </w:r>
    </w:p>
    <w:p w:rsidR="00083718" w:rsidRPr="00334E97" w:rsidRDefault="00083718" w:rsidP="00083718"/>
    <w:p w:rsidR="00083718" w:rsidRPr="00334E97" w:rsidRDefault="00083718" w:rsidP="00083718">
      <w:pPr>
        <w:rPr>
          <w:color w:val="FF0000"/>
        </w:rPr>
      </w:pPr>
      <w:proofErr w:type="spellStart"/>
      <w:r w:rsidRPr="00334E97">
        <w:rPr>
          <w:spacing w:val="-3"/>
        </w:rPr>
        <w:t>Uniferon</w:t>
      </w:r>
      <w:proofErr w:type="spellEnd"/>
      <w:r w:rsidRPr="00334E97">
        <w:rPr>
          <w:spacing w:val="-3"/>
        </w:rPr>
        <w:t xml:space="preserve"> 200 mg/ml</w:t>
      </w:r>
      <w:r w:rsidRPr="00334E97">
        <w:t xml:space="preserve"> injekční roztok </w:t>
      </w:r>
    </w:p>
    <w:p w:rsidR="00083718" w:rsidRPr="00334E97" w:rsidRDefault="00083718" w:rsidP="00083718"/>
    <w:p w:rsidR="00083718" w:rsidRPr="00334E97" w:rsidRDefault="00083718" w:rsidP="00083718">
      <w:r w:rsidRPr="00334E97">
        <w:rPr>
          <w:b/>
          <w:bCs/>
        </w:rPr>
        <w:t>2.</w:t>
      </w:r>
      <w:r w:rsidRPr="00334E97">
        <w:rPr>
          <w:b/>
          <w:bCs/>
        </w:rPr>
        <w:tab/>
        <w:t>KVALITATIVNÍ A KVANTITATIVNÍ SLOŽENÍ</w:t>
      </w:r>
    </w:p>
    <w:p w:rsidR="00083718" w:rsidRPr="00334E97" w:rsidRDefault="00083718" w:rsidP="00083718"/>
    <w:p w:rsidR="00083718" w:rsidRPr="00334E97" w:rsidRDefault="00083718" w:rsidP="00083718">
      <w:pPr>
        <w:rPr>
          <w:b/>
          <w:bCs/>
          <w:spacing w:val="-3"/>
        </w:rPr>
      </w:pPr>
      <w:r w:rsidRPr="00334E97">
        <w:rPr>
          <w:b/>
          <w:bCs/>
          <w:spacing w:val="-3"/>
        </w:rPr>
        <w:t>Léčivá látka:</w:t>
      </w:r>
    </w:p>
    <w:p w:rsidR="00083718" w:rsidRPr="00334E97" w:rsidRDefault="00083718" w:rsidP="00083718">
      <w:pPr>
        <w:rPr>
          <w:b/>
          <w:bCs/>
          <w:spacing w:val="-3"/>
        </w:rPr>
      </w:pPr>
    </w:p>
    <w:p w:rsidR="00083718" w:rsidRDefault="00083718" w:rsidP="00083718">
      <w:r w:rsidRPr="00334E97">
        <w:t xml:space="preserve">Každý </w:t>
      </w:r>
      <w:r>
        <w:t xml:space="preserve">1 </w:t>
      </w:r>
      <w:r w:rsidRPr="00334E97">
        <w:t>ml</w:t>
      </w:r>
      <w:r>
        <w:t xml:space="preserve"> obsahuje</w:t>
      </w:r>
      <w:r w:rsidRPr="00334E97">
        <w:t xml:space="preserve"> </w:t>
      </w:r>
      <w:r w:rsidRPr="00FD7DEB">
        <w:t xml:space="preserve">200 mg </w:t>
      </w:r>
      <w:proofErr w:type="spellStart"/>
      <w:r>
        <w:t>ferrum</w:t>
      </w:r>
      <w:proofErr w:type="spellEnd"/>
      <w:r>
        <w:t xml:space="preserve"> </w:t>
      </w:r>
      <w:r w:rsidRPr="00FD7DEB">
        <w:t>(</w:t>
      </w:r>
      <w:r>
        <w:t>III</w:t>
      </w:r>
      <w:r w:rsidRPr="00FD7DEB">
        <w:t xml:space="preserve">) ve formě </w:t>
      </w:r>
      <w:proofErr w:type="spellStart"/>
      <w:r>
        <w:t>d</w:t>
      </w:r>
      <w:r w:rsidRPr="00FD7DEB">
        <w:t>extraferranum</w:t>
      </w:r>
      <w:proofErr w:type="spellEnd"/>
    </w:p>
    <w:p w:rsidR="00083718" w:rsidRPr="00334E97" w:rsidRDefault="00083718" w:rsidP="00083718">
      <w:pPr>
        <w:rPr>
          <w:spacing w:val="-3"/>
        </w:rPr>
      </w:pPr>
    </w:p>
    <w:p w:rsidR="00083718" w:rsidRPr="00334E97" w:rsidRDefault="00083718" w:rsidP="00083718">
      <w:pPr>
        <w:rPr>
          <w:b/>
          <w:bCs/>
          <w:spacing w:val="-3"/>
        </w:rPr>
      </w:pPr>
      <w:r w:rsidRPr="00334E97">
        <w:rPr>
          <w:b/>
          <w:bCs/>
          <w:spacing w:val="-3"/>
        </w:rPr>
        <w:t>Pomocné látky:</w:t>
      </w:r>
    </w:p>
    <w:p w:rsidR="00083718" w:rsidRPr="00334E97" w:rsidRDefault="00083718" w:rsidP="00083718">
      <w:pPr>
        <w:rPr>
          <w:b/>
          <w:bCs/>
          <w:spacing w:val="-3"/>
        </w:rPr>
      </w:pPr>
    </w:p>
    <w:p w:rsidR="00083718" w:rsidRPr="00334E97" w:rsidRDefault="00083718" w:rsidP="00083718">
      <w:pPr>
        <w:rPr>
          <w:spacing w:val="-3"/>
        </w:rPr>
      </w:pPr>
      <w:r w:rsidRPr="00334E97">
        <w:rPr>
          <w:spacing w:val="-3"/>
        </w:rPr>
        <w:t xml:space="preserve">Každý </w:t>
      </w:r>
      <w:r>
        <w:rPr>
          <w:spacing w:val="-3"/>
        </w:rPr>
        <w:t xml:space="preserve">1 </w:t>
      </w:r>
      <w:r w:rsidRPr="00334E97">
        <w:rPr>
          <w:spacing w:val="-3"/>
        </w:rPr>
        <w:t>ml obsahuje 5 mg fenolu jako konzervační látku.</w:t>
      </w:r>
    </w:p>
    <w:p w:rsidR="00083718" w:rsidRPr="00334E97" w:rsidRDefault="00083718" w:rsidP="00083718"/>
    <w:p w:rsidR="00083718" w:rsidRPr="00334E97" w:rsidRDefault="00083718" w:rsidP="00083718">
      <w:r w:rsidRPr="00334E97">
        <w:t>Úplný seznam pomocných látek viz bod 6.1.</w:t>
      </w:r>
    </w:p>
    <w:p w:rsidR="00083718" w:rsidRPr="00334E97" w:rsidRDefault="00083718" w:rsidP="00083718"/>
    <w:p w:rsidR="00083718" w:rsidRPr="00334E97" w:rsidRDefault="00083718" w:rsidP="00083718">
      <w:r w:rsidRPr="00334E97">
        <w:rPr>
          <w:b/>
          <w:bCs/>
        </w:rPr>
        <w:t>3.</w:t>
      </w:r>
      <w:r w:rsidRPr="00334E97">
        <w:rPr>
          <w:b/>
          <w:bCs/>
        </w:rPr>
        <w:tab/>
        <w:t>LÉKOVÁ FORMA</w:t>
      </w:r>
    </w:p>
    <w:p w:rsidR="00083718" w:rsidRPr="00334E97" w:rsidRDefault="00083718" w:rsidP="00083718"/>
    <w:p w:rsidR="00083718" w:rsidRPr="00334E97" w:rsidRDefault="00083718" w:rsidP="00083718">
      <w:r w:rsidRPr="00334E97">
        <w:rPr>
          <w:spacing w:val="-3"/>
        </w:rPr>
        <w:t xml:space="preserve">Injekční roztok. </w:t>
      </w:r>
    </w:p>
    <w:p w:rsidR="00083718" w:rsidRPr="00334E97" w:rsidRDefault="00083718" w:rsidP="00083718">
      <w:pPr>
        <w:rPr>
          <w:spacing w:val="-3"/>
        </w:rPr>
      </w:pPr>
      <w:r w:rsidRPr="00334E97">
        <w:rPr>
          <w:spacing w:val="-3"/>
        </w:rPr>
        <w:t xml:space="preserve">Tmavě hnědý </w:t>
      </w:r>
      <w:r w:rsidRPr="00FD7DEB">
        <w:rPr>
          <w:spacing w:val="-3"/>
        </w:rPr>
        <w:t>neprůhledný</w:t>
      </w:r>
      <w:r w:rsidRPr="00334E97">
        <w:rPr>
          <w:spacing w:val="-3"/>
        </w:rPr>
        <w:t xml:space="preserve"> roztok.</w:t>
      </w:r>
    </w:p>
    <w:p w:rsidR="00083718" w:rsidRPr="00334E97" w:rsidRDefault="00083718" w:rsidP="00083718"/>
    <w:p w:rsidR="00083718" w:rsidRPr="00334E97" w:rsidRDefault="00083718" w:rsidP="00083718">
      <w:pPr>
        <w:rPr>
          <w:b/>
          <w:bCs/>
        </w:rPr>
      </w:pPr>
      <w:r w:rsidRPr="00334E97">
        <w:rPr>
          <w:b/>
          <w:bCs/>
        </w:rPr>
        <w:t>4.</w:t>
      </w:r>
      <w:r w:rsidRPr="00334E97">
        <w:rPr>
          <w:b/>
          <w:bCs/>
        </w:rPr>
        <w:tab/>
        <w:t>KLINICKÉ ÚDAJE</w:t>
      </w:r>
    </w:p>
    <w:p w:rsidR="00083718" w:rsidRPr="00334E97" w:rsidRDefault="00083718" w:rsidP="00083718"/>
    <w:p w:rsidR="00083718" w:rsidRPr="00334E97" w:rsidRDefault="00083718" w:rsidP="00083718">
      <w:pPr>
        <w:rPr>
          <w:b/>
          <w:bCs/>
        </w:rPr>
      </w:pPr>
      <w:r w:rsidRPr="00334E97">
        <w:rPr>
          <w:b/>
          <w:bCs/>
        </w:rPr>
        <w:t>4.1</w:t>
      </w:r>
      <w:r w:rsidRPr="00334E97">
        <w:rPr>
          <w:b/>
          <w:bCs/>
        </w:rPr>
        <w:tab/>
        <w:t>Cílový druhy zvířat</w:t>
      </w:r>
    </w:p>
    <w:p w:rsidR="00083718" w:rsidRPr="00334E97" w:rsidRDefault="00083718" w:rsidP="00083718">
      <w:pPr>
        <w:rPr>
          <w:b/>
          <w:bCs/>
        </w:rPr>
      </w:pPr>
    </w:p>
    <w:p w:rsidR="00083718" w:rsidRPr="00334E97" w:rsidRDefault="00083718" w:rsidP="00083718">
      <w:r w:rsidRPr="00334E97">
        <w:t>Prasata (selata)</w:t>
      </w:r>
      <w:r>
        <w:t>.</w:t>
      </w:r>
    </w:p>
    <w:p w:rsidR="00083718" w:rsidRPr="00334E97" w:rsidRDefault="00083718" w:rsidP="00083718"/>
    <w:p w:rsidR="00083718" w:rsidRPr="00334E97" w:rsidRDefault="00083718" w:rsidP="00083718">
      <w:r w:rsidRPr="00334E97">
        <w:rPr>
          <w:b/>
          <w:bCs/>
        </w:rPr>
        <w:t>4.2</w:t>
      </w:r>
      <w:r w:rsidRPr="00334E97">
        <w:rPr>
          <w:b/>
          <w:bCs/>
        </w:rPr>
        <w:tab/>
        <w:t>Indikace s upřesněním pro cílový druh zvířat</w:t>
      </w:r>
    </w:p>
    <w:p w:rsidR="00083718" w:rsidRPr="00334E97" w:rsidRDefault="00083718" w:rsidP="00083718">
      <w:pPr>
        <w:rPr>
          <w:b/>
          <w:bCs/>
        </w:rPr>
      </w:pPr>
    </w:p>
    <w:p w:rsidR="00083718" w:rsidRPr="00334E97" w:rsidRDefault="00083718" w:rsidP="00083718">
      <w:r w:rsidRPr="00FD7DEB">
        <w:t>Selata</w:t>
      </w:r>
      <w:r w:rsidRPr="00334E97">
        <w:t>: Léčba a prevence anémie z nedostatku železa.</w:t>
      </w:r>
    </w:p>
    <w:p w:rsidR="00083718" w:rsidRPr="00334E97" w:rsidRDefault="00083718" w:rsidP="00083718">
      <w:pPr>
        <w:rPr>
          <w:b/>
          <w:bCs/>
        </w:rPr>
      </w:pPr>
      <w:r w:rsidRPr="00334E97">
        <w:rPr>
          <w:b/>
          <w:bCs/>
        </w:rPr>
        <w:t xml:space="preserve"> </w:t>
      </w:r>
    </w:p>
    <w:p w:rsidR="00083718" w:rsidRPr="00334E97" w:rsidRDefault="00083718" w:rsidP="00083718">
      <w:r w:rsidRPr="00334E97">
        <w:rPr>
          <w:b/>
          <w:bCs/>
        </w:rPr>
        <w:t>4.3</w:t>
      </w:r>
      <w:r w:rsidRPr="00334E97">
        <w:rPr>
          <w:b/>
          <w:bCs/>
        </w:rPr>
        <w:tab/>
        <w:t>Kontraindikace</w:t>
      </w:r>
    </w:p>
    <w:p w:rsidR="00083718" w:rsidRPr="00334E97" w:rsidRDefault="00083718" w:rsidP="00083718"/>
    <w:p w:rsidR="00083718" w:rsidRPr="00334E97" w:rsidRDefault="00083718" w:rsidP="00083718">
      <w:r w:rsidRPr="00334E97">
        <w:t xml:space="preserve">Nepodávejte </w:t>
      </w:r>
      <w:r>
        <w:t>selatům</w:t>
      </w:r>
      <w:r w:rsidRPr="00334E97">
        <w:t>, u nichž</w:t>
      </w:r>
      <w:r>
        <w:t xml:space="preserve"> </w:t>
      </w:r>
      <w:r w:rsidRPr="00334E97">
        <w:t>je podezření na nedostatek vitamínu E a</w:t>
      </w:r>
      <w:r>
        <w:t>/</w:t>
      </w:r>
      <w:r w:rsidRPr="00334E97">
        <w:t xml:space="preserve">nebo selenu. </w:t>
      </w:r>
    </w:p>
    <w:p w:rsidR="00083718" w:rsidRPr="00334E97" w:rsidRDefault="00083718" w:rsidP="00083718">
      <w:r w:rsidRPr="00334E97">
        <w:t>Nepoužívat v případě přecitlivělosti na léčivou látku.</w:t>
      </w:r>
    </w:p>
    <w:p w:rsidR="00083718" w:rsidRPr="00334E97" w:rsidRDefault="00083718" w:rsidP="00083718">
      <w:r w:rsidRPr="00334E97">
        <w:t>Nepoužívejte dextran železa u starších prasat, protože by mohlo u zvířat starších 4 týdn</w:t>
      </w:r>
      <w:r>
        <w:t>ů</w:t>
      </w:r>
      <w:r w:rsidRPr="00334E97">
        <w:t xml:space="preserve"> dojít k obarvení masa.</w:t>
      </w:r>
    </w:p>
    <w:p w:rsidR="00083718" w:rsidRPr="00334E97" w:rsidRDefault="00083718" w:rsidP="00083718"/>
    <w:p w:rsidR="00083718" w:rsidRPr="00334E97" w:rsidRDefault="00083718" w:rsidP="00083718">
      <w:pPr>
        <w:numPr>
          <w:ilvl w:val="1"/>
          <w:numId w:val="44"/>
        </w:numPr>
      </w:pPr>
      <w:r w:rsidRPr="00334E97">
        <w:rPr>
          <w:b/>
          <w:bCs/>
        </w:rPr>
        <w:t xml:space="preserve">Zvláštní upozornění </w:t>
      </w:r>
    </w:p>
    <w:p w:rsidR="00083718" w:rsidRPr="00334E97" w:rsidRDefault="00083718" w:rsidP="00083718">
      <w:pPr>
        <w:rPr>
          <w:b/>
          <w:bCs/>
        </w:rPr>
      </w:pPr>
    </w:p>
    <w:p w:rsidR="00083718" w:rsidRPr="00334E97" w:rsidRDefault="00083718" w:rsidP="00083718">
      <w:r w:rsidRPr="00334E97">
        <w:t>Žádné</w:t>
      </w:r>
    </w:p>
    <w:p w:rsidR="00083718" w:rsidRPr="00334E97" w:rsidRDefault="00083718" w:rsidP="00083718">
      <w:pPr>
        <w:rPr>
          <w:b/>
          <w:bCs/>
        </w:rPr>
      </w:pPr>
    </w:p>
    <w:p w:rsidR="00083718" w:rsidRPr="00334E97" w:rsidRDefault="00083718" w:rsidP="00083718">
      <w:r w:rsidRPr="00334E97">
        <w:rPr>
          <w:b/>
          <w:bCs/>
        </w:rPr>
        <w:t>4.5</w:t>
      </w:r>
      <w:r w:rsidRPr="00334E97">
        <w:rPr>
          <w:b/>
          <w:bCs/>
        </w:rPr>
        <w:tab/>
        <w:t>Zvláštní opatření pro použití</w:t>
      </w:r>
    </w:p>
    <w:p w:rsidR="00083718" w:rsidRPr="00334E97" w:rsidRDefault="00083718" w:rsidP="00083718"/>
    <w:p w:rsidR="00083718" w:rsidRPr="00334E97" w:rsidRDefault="00083718" w:rsidP="00083718">
      <w:pPr>
        <w:rPr>
          <w:b/>
          <w:bCs/>
        </w:rPr>
      </w:pPr>
      <w:r w:rsidRPr="00334E97">
        <w:rPr>
          <w:b/>
          <w:bCs/>
        </w:rPr>
        <w:t>Zvláštní opatření pro použití u zvířat</w:t>
      </w:r>
    </w:p>
    <w:p w:rsidR="00083718" w:rsidRPr="00334E97" w:rsidRDefault="00083718" w:rsidP="00083718">
      <w:pPr>
        <w:rPr>
          <w:b/>
          <w:bCs/>
        </w:rPr>
      </w:pPr>
    </w:p>
    <w:p w:rsidR="00083718" w:rsidRPr="00334E97" w:rsidRDefault="00083718" w:rsidP="00083718">
      <w:r w:rsidRPr="00E377BF">
        <w:t>Dodržujte obvyklé aseptické postupy</w:t>
      </w:r>
      <w:r w:rsidRPr="00334E97">
        <w:t>.</w:t>
      </w:r>
    </w:p>
    <w:p w:rsidR="00083718" w:rsidRPr="00334E97" w:rsidRDefault="00083718" w:rsidP="00083718"/>
    <w:p w:rsidR="00083718" w:rsidRPr="00334E97" w:rsidRDefault="00083718" w:rsidP="00083718">
      <w:pPr>
        <w:rPr>
          <w:b/>
          <w:bCs/>
        </w:rPr>
      </w:pPr>
      <w:r w:rsidRPr="00334E97">
        <w:rPr>
          <w:b/>
          <w:bCs/>
        </w:rPr>
        <w:t>Zvláštní opatření určené osobám, které podávají veterinární léčivý přípravek zvířatům</w:t>
      </w:r>
    </w:p>
    <w:p w:rsidR="00083718" w:rsidRPr="00334E97" w:rsidRDefault="00083718" w:rsidP="00083718">
      <w:pPr>
        <w:rPr>
          <w:b/>
          <w:bCs/>
        </w:rPr>
      </w:pPr>
    </w:p>
    <w:p w:rsidR="00083718" w:rsidRPr="00334E97" w:rsidRDefault="00083718" w:rsidP="00E02CB0">
      <w:pPr>
        <w:ind w:left="0" w:firstLine="0"/>
      </w:pPr>
      <w:r w:rsidRPr="00FD7DEB">
        <w:rPr>
          <w:color w:val="000000"/>
          <w:shd w:val="clear" w:color="auto" w:fill="FFFFFF"/>
        </w:rPr>
        <w:t xml:space="preserve">Předcházejte náhodnému </w:t>
      </w:r>
      <w:proofErr w:type="spellStart"/>
      <w:r w:rsidRPr="00FD7DEB">
        <w:rPr>
          <w:color w:val="000000"/>
          <w:shd w:val="clear" w:color="auto" w:fill="FFFFFF"/>
        </w:rPr>
        <w:t>samopodání</w:t>
      </w:r>
      <w:proofErr w:type="spellEnd"/>
      <w:r w:rsidRPr="00FD7DEB">
        <w:rPr>
          <w:color w:val="000000"/>
          <w:shd w:val="clear" w:color="auto" w:fill="FFFFFF"/>
        </w:rPr>
        <w:t xml:space="preserve"> injekce, zejména u osob se zn</w:t>
      </w:r>
      <w:r>
        <w:rPr>
          <w:color w:val="000000"/>
          <w:shd w:val="clear" w:color="auto" w:fill="FFFFFF"/>
        </w:rPr>
        <w:t xml:space="preserve">ámou přecitlivělostí na dextran </w:t>
      </w:r>
      <w:r w:rsidRPr="00FD7DEB">
        <w:rPr>
          <w:color w:val="000000"/>
          <w:shd w:val="clear" w:color="auto" w:fill="FFFFFF"/>
        </w:rPr>
        <w:t>železa. V případě náhodného sebepoškození injekčně aplikovaným</w:t>
      </w:r>
      <w:r>
        <w:rPr>
          <w:color w:val="000000"/>
          <w:shd w:val="clear" w:color="auto" w:fill="FFFFFF"/>
        </w:rPr>
        <w:t xml:space="preserve"> </w:t>
      </w:r>
      <w:r w:rsidRPr="00FD7DEB">
        <w:rPr>
          <w:color w:val="000000"/>
          <w:shd w:val="clear" w:color="auto" w:fill="FFFFFF"/>
        </w:rPr>
        <w:t xml:space="preserve">přípravkem vyhledejte </w:t>
      </w:r>
      <w:r w:rsidRPr="00E377BF">
        <w:rPr>
          <w:color w:val="000000"/>
          <w:shd w:val="clear" w:color="auto" w:fill="FFFFFF"/>
        </w:rPr>
        <w:t>ihned</w:t>
      </w:r>
      <w:r>
        <w:rPr>
          <w:color w:val="000000"/>
          <w:shd w:val="clear" w:color="auto" w:fill="FFFFFF"/>
        </w:rPr>
        <w:t xml:space="preserve"> </w:t>
      </w:r>
      <w:r w:rsidRPr="00FD7DEB">
        <w:rPr>
          <w:color w:val="000000"/>
          <w:shd w:val="clear" w:color="auto" w:fill="FFFFFF"/>
        </w:rPr>
        <w:t>lékařskou pomoc a ukažte příbalovou informaci</w:t>
      </w:r>
      <w:r>
        <w:rPr>
          <w:color w:val="000000"/>
          <w:shd w:val="clear" w:color="auto" w:fill="FFFFFF"/>
        </w:rPr>
        <w:t xml:space="preserve"> </w:t>
      </w:r>
      <w:r w:rsidRPr="00FD7DEB">
        <w:rPr>
          <w:color w:val="000000"/>
          <w:shd w:val="clear" w:color="auto" w:fill="FFFFFF"/>
        </w:rPr>
        <w:t xml:space="preserve">nebo etiketu praktickému lékaři. Po použití si umyjte ruce. </w:t>
      </w:r>
      <w:r w:rsidRPr="00334E97">
        <w:rPr>
          <w:b/>
          <w:bCs/>
        </w:rPr>
        <w:br w:type="page"/>
      </w:r>
      <w:r w:rsidRPr="00334E97">
        <w:rPr>
          <w:b/>
          <w:bCs/>
        </w:rPr>
        <w:lastRenderedPageBreak/>
        <w:t>4.6</w:t>
      </w:r>
      <w:r w:rsidRPr="00334E97">
        <w:rPr>
          <w:b/>
          <w:bCs/>
        </w:rPr>
        <w:tab/>
        <w:t>Nežádoucí účinky (frekvence a závažnost)</w:t>
      </w:r>
    </w:p>
    <w:p w:rsidR="00083718" w:rsidRPr="00334E97" w:rsidRDefault="00083718" w:rsidP="00083718">
      <w:pPr>
        <w:rPr>
          <w:b/>
          <w:bCs/>
        </w:rPr>
      </w:pPr>
    </w:p>
    <w:p w:rsidR="00083718" w:rsidRPr="00334E97" w:rsidRDefault="00083718" w:rsidP="00083718">
      <w:pPr>
        <w:tabs>
          <w:tab w:val="left" w:pos="0"/>
        </w:tabs>
      </w:pPr>
      <w:r w:rsidRPr="00334E97">
        <w:rPr>
          <w:spacing w:val="-3"/>
        </w:rPr>
        <w:t xml:space="preserve">Velmi vzácně došlo u selat </w:t>
      </w:r>
      <w:r w:rsidRPr="001A3EBC">
        <w:rPr>
          <w:spacing w:val="-3"/>
        </w:rPr>
        <w:t>k</w:t>
      </w:r>
      <w:r>
        <w:rPr>
          <w:spacing w:val="-3"/>
        </w:rPr>
        <w:t> </w:t>
      </w:r>
      <w:r w:rsidRPr="001A3EBC">
        <w:rPr>
          <w:spacing w:val="-3"/>
        </w:rPr>
        <w:t>úhynu</w:t>
      </w:r>
      <w:r>
        <w:rPr>
          <w:spacing w:val="-3"/>
        </w:rPr>
        <w:t xml:space="preserve"> </w:t>
      </w:r>
      <w:r w:rsidRPr="00334E97">
        <w:rPr>
          <w:spacing w:val="-3"/>
        </w:rPr>
        <w:t>po podání parenterálních přípravků dextranu železa</w:t>
      </w:r>
      <w:r>
        <w:rPr>
          <w:spacing w:val="-3"/>
        </w:rPr>
        <w:t xml:space="preserve"> </w:t>
      </w:r>
      <w:r w:rsidRPr="00BA17A1">
        <w:rPr>
          <w:spacing w:val="-3"/>
        </w:rPr>
        <w:t>("velmi vzácn</w:t>
      </w:r>
      <w:r>
        <w:rPr>
          <w:spacing w:val="-3"/>
        </w:rPr>
        <w:t>ý výskyt</w:t>
      </w:r>
      <w:r w:rsidRPr="00BA17A1">
        <w:rPr>
          <w:spacing w:val="-3"/>
        </w:rPr>
        <w:t>" odpovídá méně než 1 zvíře reagující z 10000 léčených zvířat)</w:t>
      </w:r>
      <w:r w:rsidRPr="00334E97">
        <w:rPr>
          <w:spacing w:val="-3"/>
        </w:rPr>
        <w:t>. Tato úmrtí byla v souvislosti s genetickými faktory nebo nedostatkem vitamínu E a</w:t>
      </w:r>
      <w:r>
        <w:rPr>
          <w:spacing w:val="-3"/>
        </w:rPr>
        <w:t>/</w:t>
      </w:r>
      <w:r w:rsidRPr="00334E97">
        <w:rPr>
          <w:spacing w:val="-3"/>
        </w:rPr>
        <w:t>nebo selenu.</w:t>
      </w:r>
    </w:p>
    <w:p w:rsidR="00083718" w:rsidRPr="00334E97" w:rsidRDefault="00083718" w:rsidP="00083718">
      <w:pPr>
        <w:tabs>
          <w:tab w:val="left" w:pos="0"/>
        </w:tabs>
        <w:rPr>
          <w:spacing w:val="-3"/>
        </w:rPr>
      </w:pPr>
      <w:r w:rsidRPr="00334E97">
        <w:rPr>
          <w:spacing w:val="-3"/>
        </w:rPr>
        <w:t>Byly hlášeny občasn</w:t>
      </w:r>
      <w:r w:rsidRPr="001A3EBC">
        <w:rPr>
          <w:spacing w:val="-3"/>
        </w:rPr>
        <w:t>é</w:t>
      </w:r>
      <w:r w:rsidRPr="00334E97">
        <w:rPr>
          <w:spacing w:val="-3"/>
        </w:rPr>
        <w:t xml:space="preserve"> </w:t>
      </w:r>
      <w:r w:rsidRPr="001A3EBC">
        <w:rPr>
          <w:spacing w:val="-3"/>
        </w:rPr>
        <w:t>úhyny</w:t>
      </w:r>
      <w:r>
        <w:rPr>
          <w:spacing w:val="-3"/>
        </w:rPr>
        <w:t xml:space="preserve"> </w:t>
      </w:r>
      <w:r w:rsidRPr="00334E97">
        <w:rPr>
          <w:spacing w:val="-3"/>
        </w:rPr>
        <w:t>selat, kter</w:t>
      </w:r>
      <w:r>
        <w:rPr>
          <w:spacing w:val="-3"/>
        </w:rPr>
        <w:t>é</w:t>
      </w:r>
      <w:r w:rsidRPr="00334E97">
        <w:rPr>
          <w:spacing w:val="-3"/>
        </w:rPr>
        <w:t xml:space="preserve"> byl</w:t>
      </w:r>
      <w:r>
        <w:rPr>
          <w:spacing w:val="-3"/>
        </w:rPr>
        <w:t>y</w:t>
      </w:r>
      <w:r w:rsidRPr="00334E97">
        <w:rPr>
          <w:spacing w:val="-3"/>
        </w:rPr>
        <w:t xml:space="preserve"> dáván</w:t>
      </w:r>
      <w:r>
        <w:rPr>
          <w:spacing w:val="-3"/>
        </w:rPr>
        <w:t>y</w:t>
      </w:r>
      <w:r w:rsidRPr="00334E97">
        <w:rPr>
          <w:spacing w:val="-3"/>
        </w:rPr>
        <w:t xml:space="preserve"> do souvislosti se zvýšenou citlivostí na infekci v důsledku dočasného blokovacího účinku</w:t>
      </w:r>
      <w:r>
        <w:rPr>
          <w:spacing w:val="-3"/>
        </w:rPr>
        <w:t xml:space="preserve"> </w:t>
      </w:r>
      <w:r w:rsidRPr="00334E97">
        <w:rPr>
          <w:spacing w:val="-3"/>
        </w:rPr>
        <w:t>retikuloendotelového systému.</w:t>
      </w:r>
    </w:p>
    <w:p w:rsidR="00083718" w:rsidRPr="00334E97" w:rsidRDefault="00083718" w:rsidP="00083718">
      <w:pPr>
        <w:tabs>
          <w:tab w:val="left" w:pos="0"/>
        </w:tabs>
        <w:rPr>
          <w:spacing w:val="-3"/>
        </w:rPr>
      </w:pPr>
      <w:r w:rsidRPr="00334E97">
        <w:rPr>
          <w:spacing w:val="-3"/>
        </w:rPr>
        <w:t>Mohou se objevit reakce z přecitlivělosti.</w:t>
      </w:r>
    </w:p>
    <w:p w:rsidR="00083718" w:rsidRPr="00334E97" w:rsidRDefault="00083718" w:rsidP="00083718">
      <w:pPr>
        <w:tabs>
          <w:tab w:val="left" w:pos="0"/>
        </w:tabs>
        <w:rPr>
          <w:spacing w:val="-3"/>
        </w:rPr>
      </w:pPr>
      <w:r>
        <w:rPr>
          <w:spacing w:val="-3"/>
        </w:rPr>
        <w:t>P</w:t>
      </w:r>
      <w:r w:rsidRPr="001A3EBC">
        <w:rPr>
          <w:spacing w:val="-3"/>
        </w:rPr>
        <w:t xml:space="preserve">odání tohoto veterinárního léčivého přípravku </w:t>
      </w:r>
      <w:r w:rsidRPr="00875228">
        <w:rPr>
          <w:spacing w:val="-3"/>
        </w:rPr>
        <w:t>může</w:t>
      </w:r>
      <w:r w:rsidRPr="001A3EBC">
        <w:rPr>
          <w:spacing w:val="-3"/>
        </w:rPr>
        <w:t xml:space="preserve"> způsobovat přechodnou změnu barvy a kalcif</w:t>
      </w:r>
      <w:r>
        <w:rPr>
          <w:spacing w:val="-3"/>
        </w:rPr>
        <w:t>i</w:t>
      </w:r>
      <w:r w:rsidRPr="001A3EBC">
        <w:rPr>
          <w:spacing w:val="-3"/>
        </w:rPr>
        <w:t>kaci v místě injekčního podání.</w:t>
      </w:r>
    </w:p>
    <w:p w:rsidR="00083718" w:rsidRPr="00334E97" w:rsidRDefault="00083718" w:rsidP="00083718">
      <w:pPr>
        <w:rPr>
          <w:b/>
          <w:bCs/>
        </w:rPr>
      </w:pPr>
    </w:p>
    <w:p w:rsidR="00083718" w:rsidRPr="00334E97" w:rsidRDefault="00083718" w:rsidP="00083718">
      <w:r w:rsidRPr="00334E97">
        <w:rPr>
          <w:b/>
          <w:bCs/>
        </w:rPr>
        <w:t>4.7</w:t>
      </w:r>
      <w:r w:rsidRPr="00334E97">
        <w:rPr>
          <w:b/>
          <w:bCs/>
        </w:rPr>
        <w:tab/>
        <w:t>Použití v průběhu březosti, laktace nebo snášky</w:t>
      </w:r>
    </w:p>
    <w:p w:rsidR="00083718" w:rsidRPr="00334E97" w:rsidRDefault="00083718" w:rsidP="00083718"/>
    <w:p w:rsidR="00083718" w:rsidRPr="00334E97" w:rsidRDefault="00083718" w:rsidP="00083718">
      <w:r w:rsidRPr="00334E97">
        <w:t>Neuplatňuje se</w:t>
      </w:r>
    </w:p>
    <w:p w:rsidR="00083718" w:rsidRPr="00334E97" w:rsidRDefault="00083718" w:rsidP="00083718"/>
    <w:p w:rsidR="00083718" w:rsidRPr="00334E97" w:rsidRDefault="00083718" w:rsidP="00083718">
      <w:r w:rsidRPr="00334E97">
        <w:rPr>
          <w:b/>
          <w:bCs/>
        </w:rPr>
        <w:t>4.8</w:t>
      </w:r>
      <w:r w:rsidRPr="00334E97">
        <w:rPr>
          <w:b/>
          <w:bCs/>
        </w:rPr>
        <w:tab/>
        <w:t>Interakce s dalšími léčivými přípravky a další formy interakce</w:t>
      </w:r>
    </w:p>
    <w:p w:rsidR="00083718" w:rsidRPr="00334E97" w:rsidRDefault="00083718" w:rsidP="00083718"/>
    <w:p w:rsidR="00083718" w:rsidRPr="00334E97" w:rsidRDefault="00083718" w:rsidP="00083718">
      <w:r w:rsidRPr="00334E97">
        <w:t xml:space="preserve">Může dojít ke snížení vstřebávání současně podávaného perorálního železa. </w:t>
      </w:r>
    </w:p>
    <w:p w:rsidR="00083718" w:rsidRPr="00334E97" w:rsidRDefault="00083718" w:rsidP="00083718">
      <w:pPr>
        <w:rPr>
          <w:b/>
          <w:bCs/>
        </w:rPr>
      </w:pPr>
    </w:p>
    <w:p w:rsidR="00083718" w:rsidRPr="00334E97" w:rsidRDefault="00083718" w:rsidP="00083718">
      <w:r w:rsidRPr="00334E97">
        <w:rPr>
          <w:b/>
          <w:bCs/>
        </w:rPr>
        <w:t>4.9</w:t>
      </w:r>
      <w:r w:rsidRPr="00334E97">
        <w:rPr>
          <w:b/>
          <w:bCs/>
        </w:rPr>
        <w:tab/>
        <w:t>Podávané množství a způsob podání</w:t>
      </w:r>
    </w:p>
    <w:p w:rsidR="00083718" w:rsidRPr="00334E97" w:rsidRDefault="00083718" w:rsidP="00083718"/>
    <w:p w:rsidR="00083718" w:rsidRPr="00334E97" w:rsidRDefault="00083718" w:rsidP="00083718">
      <w:pPr>
        <w:jc w:val="both"/>
      </w:pPr>
      <w:r w:rsidRPr="00334E97">
        <w:t xml:space="preserve">Intramuskulární nebo subkutánní </w:t>
      </w:r>
      <w:r w:rsidRPr="001A3EBC">
        <w:rPr>
          <w:bCs/>
        </w:rPr>
        <w:t>podání</w:t>
      </w:r>
      <w:r>
        <w:rPr>
          <w:bCs/>
        </w:rPr>
        <w:t>.</w:t>
      </w:r>
    </w:p>
    <w:p w:rsidR="00083718" w:rsidRPr="00334E97" w:rsidRDefault="00083718" w:rsidP="00083718">
      <w:pPr>
        <w:jc w:val="both"/>
      </w:pPr>
      <w:r w:rsidRPr="00334E97">
        <w:t xml:space="preserve">200 mg železa ve </w:t>
      </w:r>
      <w:proofErr w:type="spellStart"/>
      <w:r w:rsidRPr="00334E97">
        <w:t>f</w:t>
      </w:r>
      <w:r>
        <w:t>erri</w:t>
      </w:r>
      <w:r w:rsidRPr="00334E97">
        <w:t>dextranu</w:t>
      </w:r>
      <w:proofErr w:type="spellEnd"/>
      <w:r w:rsidRPr="00334E97">
        <w:t xml:space="preserve"> železa na jedno sele odpovídá 1 ml </w:t>
      </w:r>
      <w:r w:rsidRPr="001A3EBC">
        <w:t xml:space="preserve">přípravku </w:t>
      </w:r>
      <w:r w:rsidRPr="00334E97">
        <w:t>na jedno sele.</w:t>
      </w:r>
    </w:p>
    <w:p w:rsidR="00083718" w:rsidRPr="00334E97" w:rsidRDefault="00083718" w:rsidP="00083718">
      <w:pPr>
        <w:jc w:val="both"/>
      </w:pPr>
    </w:p>
    <w:p w:rsidR="00083718" w:rsidRPr="00334E97" w:rsidRDefault="00083718" w:rsidP="00083718">
      <w:pPr>
        <w:jc w:val="both"/>
      </w:pPr>
      <w:r w:rsidRPr="00334E97">
        <w:t xml:space="preserve">Prevence: </w:t>
      </w:r>
      <w:r w:rsidRPr="001A3EBC">
        <w:t xml:space="preserve">jednorázové </w:t>
      </w:r>
      <w:r w:rsidRPr="00875228">
        <w:t>injekční</w:t>
      </w:r>
      <w:r>
        <w:t xml:space="preserve"> </w:t>
      </w:r>
      <w:r w:rsidRPr="001A3EBC">
        <w:t>podán</w:t>
      </w:r>
      <w:r>
        <w:t xml:space="preserve">i </w:t>
      </w:r>
      <w:r w:rsidRPr="00334E97">
        <w:t>v 1. – 4. dnu věku.</w:t>
      </w:r>
    </w:p>
    <w:p w:rsidR="00083718" w:rsidRPr="00334E97" w:rsidRDefault="00083718" w:rsidP="00083718">
      <w:pPr>
        <w:tabs>
          <w:tab w:val="left" w:pos="1080"/>
        </w:tabs>
        <w:jc w:val="both"/>
      </w:pPr>
      <w:r w:rsidRPr="00334E97">
        <w:t xml:space="preserve">Léčba: </w:t>
      </w:r>
      <w:r w:rsidRPr="00FF10DF">
        <w:t xml:space="preserve">jednorázové </w:t>
      </w:r>
      <w:r w:rsidRPr="00875228">
        <w:t>injekční</w:t>
      </w:r>
      <w:r>
        <w:t xml:space="preserve"> </w:t>
      </w:r>
      <w:r w:rsidRPr="00FF10DF">
        <w:t>podán</w:t>
      </w:r>
      <w:r>
        <w:t>i</w:t>
      </w:r>
      <w:r w:rsidRPr="00334E97">
        <w:t>.</w:t>
      </w:r>
    </w:p>
    <w:p w:rsidR="00083718" w:rsidRPr="00334E97" w:rsidRDefault="00083718" w:rsidP="00083718">
      <w:pPr>
        <w:tabs>
          <w:tab w:val="left" w:pos="1080"/>
        </w:tabs>
        <w:jc w:val="both"/>
      </w:pPr>
    </w:p>
    <w:p w:rsidR="00083718" w:rsidRPr="00334E97" w:rsidRDefault="00083718" w:rsidP="00083718">
      <w:pPr>
        <w:tabs>
          <w:tab w:val="left" w:pos="1080"/>
        </w:tabs>
        <w:jc w:val="both"/>
      </w:pPr>
      <w:r w:rsidRPr="00334E97">
        <w:t xml:space="preserve">Vzhledem k omezeným množstvím studií biologické dostupnosti </w:t>
      </w:r>
      <w:proofErr w:type="spellStart"/>
      <w:r>
        <w:t>ferri</w:t>
      </w:r>
      <w:r w:rsidRPr="00334E97">
        <w:t>dextranu</w:t>
      </w:r>
      <w:proofErr w:type="spellEnd"/>
      <w:r w:rsidRPr="00334E97">
        <w:t xml:space="preserve"> železa po subkutánní</w:t>
      </w:r>
      <w:r>
        <w:t>m</w:t>
      </w:r>
      <w:r w:rsidRPr="00334E97">
        <w:t xml:space="preserve"> podání je doporučen</w:t>
      </w:r>
      <w:r>
        <w:t>o</w:t>
      </w:r>
      <w:r w:rsidRPr="00334E97">
        <w:t xml:space="preserve"> intramuskulární</w:t>
      </w:r>
      <w:r>
        <w:t xml:space="preserve"> </w:t>
      </w:r>
      <w:r w:rsidRPr="00FF10DF">
        <w:t>podán</w:t>
      </w:r>
      <w:r>
        <w:t>í</w:t>
      </w:r>
      <w:r w:rsidRPr="00334E97">
        <w:t xml:space="preserve">. </w:t>
      </w:r>
    </w:p>
    <w:p w:rsidR="00083718" w:rsidRPr="00334E97" w:rsidRDefault="00083718" w:rsidP="00083718"/>
    <w:p w:rsidR="00083718" w:rsidRPr="00334E97" w:rsidRDefault="00083718" w:rsidP="00083718">
      <w:pPr>
        <w:pStyle w:val="Zkladntextodsazen"/>
      </w:pPr>
      <w:r w:rsidRPr="00334E97">
        <w:t>4.10</w:t>
      </w:r>
      <w:r w:rsidRPr="00334E97">
        <w:tab/>
        <w:t xml:space="preserve">Předávkování (symptomy, první pomoc, </w:t>
      </w:r>
      <w:proofErr w:type="spellStart"/>
      <w:r w:rsidRPr="00334E97">
        <w:t>antidota</w:t>
      </w:r>
      <w:proofErr w:type="spellEnd"/>
      <w:r w:rsidRPr="00334E97">
        <w:t>), pokud je to nutné</w:t>
      </w:r>
    </w:p>
    <w:p w:rsidR="00083718" w:rsidRPr="00334E97" w:rsidRDefault="00083718" w:rsidP="00083718"/>
    <w:p w:rsidR="00083718" w:rsidRPr="00334E97" w:rsidRDefault="00083718" w:rsidP="00083718">
      <w:pPr>
        <w:numPr>
          <w:ilvl w:val="0"/>
          <w:numId w:val="40"/>
        </w:numPr>
      </w:pPr>
      <w:r w:rsidRPr="00334E97">
        <w:t xml:space="preserve">Mohou se objevit saturační hladiny transferinu pro železo vedoucí ke zvýšené </w:t>
      </w:r>
      <w:r w:rsidRPr="00FF10DF">
        <w:t xml:space="preserve">vnímavosti k </w:t>
      </w:r>
      <w:r w:rsidRPr="00334E97">
        <w:t>(systémov</w:t>
      </w:r>
      <w:r w:rsidRPr="00FF10DF">
        <w:t>ým</w:t>
      </w:r>
      <w:r w:rsidRPr="00334E97">
        <w:t>) bakteriální</w:t>
      </w:r>
      <w:r>
        <w:t>m</w:t>
      </w:r>
      <w:r w:rsidRPr="00334E97">
        <w:t xml:space="preserve"> onemocnění</w:t>
      </w:r>
      <w:r>
        <w:t>m</w:t>
      </w:r>
      <w:r w:rsidRPr="00334E97">
        <w:t>, bolesti, zánět</w:t>
      </w:r>
      <w:r>
        <w:t>u</w:t>
      </w:r>
      <w:r w:rsidRPr="00334E97">
        <w:t xml:space="preserve"> a také vznik</w:t>
      </w:r>
      <w:r>
        <w:t>u</w:t>
      </w:r>
      <w:r w:rsidRPr="00334E97">
        <w:t xml:space="preserve"> abscesu v místě </w:t>
      </w:r>
      <w:r w:rsidRPr="00FF10DF">
        <w:t>injekčního podání</w:t>
      </w:r>
      <w:r w:rsidRPr="00334E97">
        <w:t>.</w:t>
      </w:r>
    </w:p>
    <w:p w:rsidR="00083718" w:rsidRPr="00334E97" w:rsidRDefault="00083718" w:rsidP="00083718">
      <w:pPr>
        <w:numPr>
          <w:ilvl w:val="0"/>
          <w:numId w:val="41"/>
        </w:numPr>
      </w:pPr>
      <w:r w:rsidRPr="00334E97">
        <w:t xml:space="preserve">Může dojít k </w:t>
      </w:r>
      <w:r w:rsidRPr="00FF10DF">
        <w:t>přetrvávající změně barvy svalové tkáně v místě injekčního podání.</w:t>
      </w:r>
    </w:p>
    <w:p w:rsidR="00083718" w:rsidRPr="00334E97" w:rsidRDefault="00083718" w:rsidP="00083718">
      <w:pPr>
        <w:numPr>
          <w:ilvl w:val="0"/>
          <w:numId w:val="41"/>
        </w:numPr>
        <w:tabs>
          <w:tab w:val="clear" w:pos="720"/>
          <w:tab w:val="left" w:pos="709"/>
        </w:tabs>
        <w:spacing w:line="260" w:lineRule="exact"/>
      </w:pPr>
      <w:proofErr w:type="spellStart"/>
      <w:r w:rsidRPr="00334E97">
        <w:t>Iatrogenní</w:t>
      </w:r>
      <w:proofErr w:type="spellEnd"/>
      <w:r w:rsidRPr="00334E97">
        <w:t xml:space="preserve"> otrava s následujícími příznaky: bledé sliznice, hemoragická gastroenteritis, zvracení, tachykardie, hypotenze, dušnost, otok končetin, slabost, šok, úmrtí, poškození jater. Mohou být použita podpůrná opatření, jako jsou </w:t>
      </w:r>
      <w:proofErr w:type="spellStart"/>
      <w:r w:rsidRPr="00334E97">
        <w:t>chelatační</w:t>
      </w:r>
      <w:proofErr w:type="spellEnd"/>
      <w:r w:rsidRPr="00334E97">
        <w:t xml:space="preserve"> látky.</w:t>
      </w:r>
    </w:p>
    <w:p w:rsidR="00083718" w:rsidRPr="00334E97" w:rsidRDefault="00083718" w:rsidP="00083718"/>
    <w:p w:rsidR="00083718" w:rsidRPr="00334E97" w:rsidRDefault="00083718" w:rsidP="00083718">
      <w:r w:rsidRPr="00334E97">
        <w:rPr>
          <w:b/>
          <w:bCs/>
        </w:rPr>
        <w:t>4.11</w:t>
      </w:r>
      <w:r w:rsidRPr="00334E97">
        <w:rPr>
          <w:b/>
          <w:bCs/>
        </w:rPr>
        <w:tab/>
        <w:t>Ochranné lhůty</w:t>
      </w:r>
    </w:p>
    <w:p w:rsidR="00083718" w:rsidRPr="00334E97" w:rsidRDefault="00083718" w:rsidP="00083718"/>
    <w:p w:rsidR="00083718" w:rsidRDefault="00083718" w:rsidP="00083718">
      <w:r w:rsidRPr="009D0B90">
        <w:t>Bez ochranných lhůt.</w:t>
      </w:r>
    </w:p>
    <w:p w:rsidR="00083718" w:rsidRPr="00334E97" w:rsidRDefault="00083718" w:rsidP="00083718">
      <w:pPr>
        <w:rPr>
          <w:b/>
          <w:bCs/>
        </w:rPr>
      </w:pPr>
    </w:p>
    <w:p w:rsidR="00083718" w:rsidRPr="00334E97" w:rsidRDefault="00083718" w:rsidP="00083718">
      <w:r w:rsidRPr="00334E97">
        <w:rPr>
          <w:b/>
          <w:bCs/>
        </w:rPr>
        <w:t>5.</w:t>
      </w:r>
      <w:r w:rsidRPr="00334E97">
        <w:rPr>
          <w:b/>
          <w:bCs/>
        </w:rPr>
        <w:tab/>
        <w:t>FARMAKOLOGICKÉ VLASTNOSTI</w:t>
      </w:r>
    </w:p>
    <w:p w:rsidR="00083718" w:rsidRPr="00334E97" w:rsidRDefault="00083718" w:rsidP="00083718">
      <w:pPr>
        <w:rPr>
          <w:b/>
          <w:bCs/>
        </w:rPr>
      </w:pPr>
    </w:p>
    <w:p w:rsidR="00083718" w:rsidRPr="00334E97" w:rsidRDefault="00083718" w:rsidP="00083718">
      <w:r w:rsidRPr="00334E97">
        <w:rPr>
          <w:b/>
          <w:bCs/>
        </w:rPr>
        <w:t>Farmakoterapeutická skupina:</w:t>
      </w:r>
      <w:r>
        <w:rPr>
          <w:b/>
          <w:bCs/>
        </w:rPr>
        <w:t xml:space="preserve"> </w:t>
      </w:r>
      <w:r>
        <w:t>P</w:t>
      </w:r>
      <w:r w:rsidRPr="00334E97">
        <w:t xml:space="preserve">arenterální přípravky </w:t>
      </w:r>
      <w:r w:rsidRPr="00127F30">
        <w:t>obsahující trojmocné železo</w:t>
      </w:r>
      <w:r w:rsidRPr="00334E97">
        <w:t xml:space="preserve">. </w:t>
      </w:r>
    </w:p>
    <w:p w:rsidR="00083718" w:rsidRPr="00334E97" w:rsidRDefault="00083718" w:rsidP="00083718"/>
    <w:p w:rsidR="00083718" w:rsidRPr="00334E97" w:rsidRDefault="00083718" w:rsidP="00083718">
      <w:pPr>
        <w:rPr>
          <w:rFonts w:ascii="TimesNewRoman,Italic" w:hAnsi="TimesNewRoman,Italic" w:cs="TimesNewRoman,Italic"/>
          <w:color w:val="FF0000"/>
        </w:rPr>
      </w:pPr>
      <w:proofErr w:type="spellStart"/>
      <w:r w:rsidRPr="00334E97">
        <w:t>ATCvet</w:t>
      </w:r>
      <w:proofErr w:type="spellEnd"/>
      <w:r w:rsidRPr="00334E97">
        <w:t xml:space="preserve"> kód: </w:t>
      </w:r>
      <w:r w:rsidRPr="00334E97">
        <w:rPr>
          <w:spacing w:val="-3"/>
        </w:rPr>
        <w:t>QB03AC</w:t>
      </w:r>
    </w:p>
    <w:p w:rsidR="00083718" w:rsidRPr="00334E97" w:rsidRDefault="00083718" w:rsidP="00083718"/>
    <w:p w:rsidR="00083718" w:rsidRPr="00334E97" w:rsidRDefault="00083718" w:rsidP="00083718">
      <w:pPr>
        <w:rPr>
          <w:b/>
          <w:bCs/>
        </w:rPr>
      </w:pPr>
      <w:r w:rsidRPr="00334E97">
        <w:rPr>
          <w:b/>
          <w:bCs/>
        </w:rPr>
        <w:t>5.1</w:t>
      </w:r>
      <w:r w:rsidRPr="00334E97">
        <w:rPr>
          <w:b/>
          <w:bCs/>
        </w:rPr>
        <w:tab/>
        <w:t>Farmakodynamické vlastnosti</w:t>
      </w:r>
    </w:p>
    <w:p w:rsidR="00083718" w:rsidRPr="00334E97" w:rsidRDefault="00083718" w:rsidP="00083718"/>
    <w:p w:rsidR="00083718" w:rsidRPr="00334E97" w:rsidRDefault="00083718" w:rsidP="00083718">
      <w:pPr>
        <w:autoSpaceDE w:val="0"/>
        <w:autoSpaceDN w:val="0"/>
        <w:adjustRightInd w:val="0"/>
        <w:jc w:val="both"/>
      </w:pPr>
      <w:r w:rsidRPr="00334E97">
        <w:t xml:space="preserve">Železo je esenciální složka hemoglobinu v erytrocytech transportujících kyslík do všech částí těla. Veterinární léčivý přípravek obsahuje železo jako stabilní </w:t>
      </w:r>
      <w:proofErr w:type="spellStart"/>
      <w:r>
        <w:t>ferri</w:t>
      </w:r>
      <w:r w:rsidRPr="00334E97">
        <w:t>dextran</w:t>
      </w:r>
      <w:proofErr w:type="spellEnd"/>
      <w:r w:rsidRPr="00334E97">
        <w:t xml:space="preserve"> </w:t>
      </w:r>
      <w:r>
        <w:t>(</w:t>
      </w:r>
      <w:r w:rsidRPr="00334E97">
        <w:t>hydroxidu železitého</w:t>
      </w:r>
      <w:r w:rsidR="00E02CB0">
        <w:t xml:space="preserve"> </w:t>
      </w:r>
      <w:r w:rsidRPr="00334E97">
        <w:t>(III)</w:t>
      </w:r>
      <w:r>
        <w:t>)</w:t>
      </w:r>
      <w:r w:rsidRPr="00334E97">
        <w:t xml:space="preserve">, který je analogem fyziologické formy železa, feritinu (fosfátový proteinový komplex hydroxidu železitého). Železo je dostupné v neionizované, ve vodě rozpustné formě, která má </w:t>
      </w:r>
      <w:r w:rsidRPr="00334E97">
        <w:lastRenderedPageBreak/>
        <w:t xml:space="preserve">velmi nízkou toxicitu ve srovnání s volným železem. Železo (jako </w:t>
      </w:r>
      <w:proofErr w:type="spellStart"/>
      <w:r>
        <w:t>ferridextran</w:t>
      </w:r>
      <w:proofErr w:type="spellEnd"/>
      <w:r w:rsidRPr="00334E97">
        <w:t xml:space="preserve">) </w:t>
      </w:r>
      <w:r w:rsidRPr="0043317C">
        <w:t>působí</w:t>
      </w:r>
      <w:r>
        <w:t xml:space="preserve"> </w:t>
      </w:r>
      <w:proofErr w:type="spellStart"/>
      <w:r w:rsidRPr="00334E97">
        <w:t>antianemick</w:t>
      </w:r>
      <w:r>
        <w:t>y</w:t>
      </w:r>
      <w:proofErr w:type="spellEnd"/>
      <w:r w:rsidRPr="00334E97">
        <w:t xml:space="preserve"> </w:t>
      </w:r>
      <w:r w:rsidRPr="0043317C">
        <w:t>díky zvyšování</w:t>
      </w:r>
      <w:r w:rsidRPr="00334E97">
        <w:t xml:space="preserve"> rezervy železa, </w:t>
      </w:r>
      <w:r w:rsidRPr="0043317C">
        <w:t>v těle organismu, která je nutná pro tvorbu hemoglobinu</w:t>
      </w:r>
      <w:r w:rsidR="00105B00">
        <w:t xml:space="preserve"> </w:t>
      </w:r>
      <w:r w:rsidRPr="0043317C">
        <w:t>a opětovné akti</w:t>
      </w:r>
      <w:r>
        <w:t xml:space="preserve">vace </w:t>
      </w:r>
      <w:r w:rsidRPr="0043317C">
        <w:t>enz</w:t>
      </w:r>
      <w:r>
        <w:t>y</w:t>
      </w:r>
      <w:r w:rsidRPr="0043317C">
        <w:t>mů obsahujících železo, které jsou nezbytné pro růst a které posilují přirozenou obranyschopnost organismu.</w:t>
      </w:r>
      <w:r w:rsidRPr="00334E97">
        <w:t xml:space="preserve"> Po podání je </w:t>
      </w:r>
      <w:proofErr w:type="spellStart"/>
      <w:r>
        <w:t>ferri</w:t>
      </w:r>
      <w:r w:rsidRPr="00334E97">
        <w:t>dextran</w:t>
      </w:r>
      <w:proofErr w:type="spellEnd"/>
      <w:r w:rsidRPr="00334E97">
        <w:t xml:space="preserve"> hydroxidu železitého ukládán v retikuloendotelovém systému</w:t>
      </w:r>
      <w:r>
        <w:t>,</w:t>
      </w:r>
      <w:r w:rsidRPr="00334E97">
        <w:t xml:space="preserve"> </w:t>
      </w:r>
      <w:r>
        <w:t>ve</w:t>
      </w:r>
      <w:r w:rsidRPr="00334E97">
        <w:t xml:space="preserve"> </w:t>
      </w:r>
      <w:r w:rsidRPr="0043317C">
        <w:t>kterém</w:t>
      </w:r>
      <w:r>
        <w:t xml:space="preserve"> </w:t>
      </w:r>
      <w:r w:rsidRPr="00334E97">
        <w:t xml:space="preserve">je železo progresivně uvolňováno z komplexu. </w:t>
      </w:r>
    </w:p>
    <w:p w:rsidR="00083718" w:rsidRPr="00334E97" w:rsidRDefault="00083718" w:rsidP="00083718">
      <w:pPr>
        <w:autoSpaceDE w:val="0"/>
        <w:autoSpaceDN w:val="0"/>
        <w:adjustRightInd w:val="0"/>
      </w:pPr>
    </w:p>
    <w:p w:rsidR="00083718" w:rsidRPr="00334E97" w:rsidRDefault="00083718" w:rsidP="00083718">
      <w:pPr>
        <w:numPr>
          <w:ilvl w:val="1"/>
          <w:numId w:val="45"/>
        </w:numPr>
        <w:rPr>
          <w:b/>
          <w:bCs/>
        </w:rPr>
      </w:pPr>
      <w:r w:rsidRPr="00334E97">
        <w:rPr>
          <w:b/>
          <w:bCs/>
        </w:rPr>
        <w:t>Farmakokinetické údaje</w:t>
      </w:r>
    </w:p>
    <w:p w:rsidR="00083718" w:rsidRPr="00334E97" w:rsidRDefault="00083718" w:rsidP="00083718">
      <w:pPr>
        <w:rPr>
          <w:b/>
          <w:bCs/>
        </w:rPr>
      </w:pPr>
    </w:p>
    <w:p w:rsidR="00083718" w:rsidRPr="00334E97" w:rsidRDefault="00083718" w:rsidP="00083718">
      <w:pPr>
        <w:autoSpaceDE w:val="0"/>
        <w:autoSpaceDN w:val="0"/>
        <w:adjustRightInd w:val="0"/>
        <w:jc w:val="both"/>
      </w:pPr>
      <w:r w:rsidRPr="00334E97">
        <w:t>Po intramuskulární</w:t>
      </w:r>
      <w:r>
        <w:t>m</w:t>
      </w:r>
      <w:r w:rsidRPr="00334E97">
        <w:t xml:space="preserve"> </w:t>
      </w:r>
      <w:r w:rsidRPr="0043317C">
        <w:t xml:space="preserve">podání je </w:t>
      </w:r>
      <w:proofErr w:type="spellStart"/>
      <w:r w:rsidRPr="0043317C">
        <w:t>ferridextran</w:t>
      </w:r>
      <w:proofErr w:type="spellEnd"/>
      <w:r>
        <w:t xml:space="preserve"> </w:t>
      </w:r>
      <w:r w:rsidRPr="00334E97">
        <w:t xml:space="preserve">vstřebáván rychle z místa </w:t>
      </w:r>
      <w:r w:rsidRPr="0043317C">
        <w:t>injekčního podání</w:t>
      </w:r>
      <w:r>
        <w:t xml:space="preserve"> </w:t>
      </w:r>
      <w:r w:rsidRPr="00334E97">
        <w:t xml:space="preserve">do kapilár a lymfatického systému. Cirkulující železo je odstraňováno buňkami retikuloendotelového systému, který rozdělí komplex na jeho komponenty, železo a dextran. Železo je okamžitě navázáno na dostupné </w:t>
      </w:r>
      <w:r w:rsidRPr="00DB2DAE">
        <w:t>bílkovinné</w:t>
      </w:r>
      <w:r>
        <w:t xml:space="preserve"> </w:t>
      </w:r>
      <w:r w:rsidRPr="00334E97">
        <w:t xml:space="preserve">podíly a vytváří </w:t>
      </w:r>
      <w:proofErr w:type="spellStart"/>
      <w:r w:rsidRPr="00334E97">
        <w:t>hemosiderin</w:t>
      </w:r>
      <w:proofErr w:type="spellEnd"/>
      <w:r w:rsidRPr="00334E97">
        <w:t xml:space="preserve"> nebo feritin, fyziologické formy železa nebo v menší míře na transferin. Plazmatický poločas je 5 hodin pro cirkulující železo. Malá množství železa jsou eliminována močí a stolicí.</w:t>
      </w:r>
    </w:p>
    <w:p w:rsidR="00083718" w:rsidRPr="00334E97" w:rsidRDefault="00083718" w:rsidP="00083718">
      <w:pPr>
        <w:jc w:val="both"/>
      </w:pPr>
      <w:r w:rsidRPr="00334E97">
        <w:t>Dextran je buď metabolizován</w:t>
      </w:r>
      <w:r w:rsidR="00105B00">
        <w:t>,</w:t>
      </w:r>
      <w:bookmarkStart w:id="0" w:name="_GoBack"/>
      <w:bookmarkEnd w:id="0"/>
      <w:r w:rsidRPr="00334E97">
        <w:t xml:space="preserve"> nebo vylučován.</w:t>
      </w:r>
    </w:p>
    <w:p w:rsidR="00083718" w:rsidRPr="00334E97" w:rsidRDefault="00083718" w:rsidP="00083718"/>
    <w:p w:rsidR="00083718" w:rsidRPr="00334E97" w:rsidRDefault="00083718" w:rsidP="00083718">
      <w:r w:rsidRPr="00334E97">
        <w:rPr>
          <w:b/>
          <w:bCs/>
        </w:rPr>
        <w:t>6.</w:t>
      </w:r>
      <w:r w:rsidRPr="00334E97">
        <w:rPr>
          <w:b/>
          <w:bCs/>
        </w:rPr>
        <w:tab/>
        <w:t>FARMACEUTICKÉ ÚDAJE</w:t>
      </w:r>
    </w:p>
    <w:p w:rsidR="00083718" w:rsidRPr="00334E97" w:rsidRDefault="00083718" w:rsidP="00083718"/>
    <w:p w:rsidR="00083718" w:rsidRPr="00334E97" w:rsidRDefault="00083718" w:rsidP="00083718">
      <w:pPr>
        <w:rPr>
          <w:b/>
          <w:bCs/>
        </w:rPr>
      </w:pPr>
      <w:r w:rsidRPr="00334E97">
        <w:rPr>
          <w:b/>
          <w:bCs/>
        </w:rPr>
        <w:t>6.1</w:t>
      </w:r>
      <w:r w:rsidRPr="00334E97">
        <w:rPr>
          <w:b/>
          <w:bCs/>
        </w:rPr>
        <w:tab/>
        <w:t>Seznam pomocných látek</w:t>
      </w:r>
    </w:p>
    <w:p w:rsidR="00083718" w:rsidRPr="00334E97" w:rsidRDefault="00083718" w:rsidP="00083718">
      <w:pPr>
        <w:rPr>
          <w:b/>
          <w:bCs/>
        </w:rPr>
      </w:pPr>
    </w:p>
    <w:p w:rsidR="00083718" w:rsidRPr="00334E97" w:rsidRDefault="00083718" w:rsidP="00083718">
      <w:r w:rsidRPr="00334E97">
        <w:t xml:space="preserve">Chlorid sodný </w:t>
      </w:r>
    </w:p>
    <w:p w:rsidR="00083718" w:rsidRPr="00334E97" w:rsidRDefault="00083718" w:rsidP="00083718">
      <w:r w:rsidRPr="00334E97">
        <w:t>Fenol</w:t>
      </w:r>
    </w:p>
    <w:p w:rsidR="00083718" w:rsidRPr="00334E97" w:rsidRDefault="00083718" w:rsidP="00083718">
      <w:r>
        <w:t>Voda na</w:t>
      </w:r>
      <w:r w:rsidRPr="00334E97">
        <w:t xml:space="preserve"> inje</w:t>
      </w:r>
      <w:r>
        <w:t>k</w:t>
      </w:r>
      <w:r w:rsidRPr="00334E97">
        <w:t>c</w:t>
      </w:r>
      <w:r>
        <w:t>i</w:t>
      </w:r>
      <w:r w:rsidRPr="00334E97">
        <w:t xml:space="preserve"> </w:t>
      </w:r>
    </w:p>
    <w:p w:rsidR="00083718" w:rsidRPr="00334E97" w:rsidRDefault="00083718" w:rsidP="00083718">
      <w:r w:rsidRPr="00334E97">
        <w:t>Kyselina chlorovodíková, hydroxid sodný (k úpravě pH)</w:t>
      </w:r>
    </w:p>
    <w:p w:rsidR="00083718" w:rsidRPr="00334E97" w:rsidRDefault="00083718" w:rsidP="00083718">
      <w:pPr>
        <w:rPr>
          <w:b/>
          <w:bCs/>
        </w:rPr>
      </w:pPr>
    </w:p>
    <w:p w:rsidR="00083718" w:rsidRPr="00334E97" w:rsidRDefault="00083718" w:rsidP="00083718">
      <w:r w:rsidRPr="00334E97">
        <w:rPr>
          <w:b/>
          <w:bCs/>
        </w:rPr>
        <w:t>6.2</w:t>
      </w:r>
      <w:r w:rsidRPr="00334E97">
        <w:rPr>
          <w:b/>
          <w:bCs/>
        </w:rPr>
        <w:tab/>
        <w:t>Inkompatibility</w:t>
      </w:r>
    </w:p>
    <w:p w:rsidR="00083718" w:rsidRPr="00334E97" w:rsidRDefault="00083718" w:rsidP="00083718"/>
    <w:p w:rsidR="00083718" w:rsidRPr="00334E97" w:rsidRDefault="00083718" w:rsidP="00083718">
      <w:r w:rsidRPr="00DB2DAE">
        <w:t>Studie kompatibility nejsou k dispozici, a proto tento veterinární léčivý přípravek nesmí být mísen s žádnými dalšími veterinárními léčivými přípravky.</w:t>
      </w:r>
    </w:p>
    <w:p w:rsidR="00083718" w:rsidRPr="00334E97" w:rsidRDefault="00083718" w:rsidP="00083718"/>
    <w:p w:rsidR="00083718" w:rsidRPr="00334E97" w:rsidRDefault="00083718" w:rsidP="00083718">
      <w:r w:rsidRPr="00334E97">
        <w:rPr>
          <w:b/>
          <w:bCs/>
        </w:rPr>
        <w:t>6.3</w:t>
      </w:r>
      <w:r w:rsidRPr="00334E97">
        <w:rPr>
          <w:b/>
          <w:bCs/>
        </w:rPr>
        <w:tab/>
        <w:t>Doba použitelnosti</w:t>
      </w:r>
    </w:p>
    <w:p w:rsidR="00083718" w:rsidRPr="00334E97" w:rsidRDefault="00083718" w:rsidP="00083718">
      <w:pPr>
        <w:ind w:right="-318"/>
      </w:pPr>
    </w:p>
    <w:p w:rsidR="00083718" w:rsidRPr="00334E97" w:rsidRDefault="00083718" w:rsidP="00083718">
      <w:pPr>
        <w:ind w:right="-318"/>
      </w:pPr>
      <w:r w:rsidRPr="00334E97">
        <w:t xml:space="preserve">Doba použitelnosti </w:t>
      </w:r>
      <w:r w:rsidRPr="00781AB8">
        <w:t>veterinárního léčivého přípravku v neporušené</w:t>
      </w:r>
      <w:r w:rsidRPr="00DB2DAE">
        <w:t xml:space="preserve"> měkké plastové injekční lahvič</w:t>
      </w:r>
      <w:r>
        <w:t>ce</w:t>
      </w:r>
      <w:r w:rsidRPr="00334E97">
        <w:t>: 3 roky</w:t>
      </w:r>
      <w:r>
        <w:t>.</w:t>
      </w:r>
    </w:p>
    <w:p w:rsidR="00083718" w:rsidRPr="00334E97" w:rsidRDefault="00083718" w:rsidP="00083718">
      <w:pPr>
        <w:textAlignment w:val="top"/>
      </w:pPr>
      <w:r w:rsidRPr="0039388B">
        <w:t xml:space="preserve">Doba použitelnosti </w:t>
      </w:r>
      <w:r w:rsidRPr="00781AB8">
        <w:t>veterinárního léčivého přípravku v neporušené</w:t>
      </w:r>
      <w:r w:rsidRPr="00DB2DAE">
        <w:t xml:space="preserve"> </w:t>
      </w:r>
      <w:r>
        <w:t xml:space="preserve">skleněné </w:t>
      </w:r>
      <w:r w:rsidRPr="0039388B">
        <w:t>injekční lahvič</w:t>
      </w:r>
      <w:r>
        <w:t>ce</w:t>
      </w:r>
      <w:r w:rsidRPr="0039388B">
        <w:t>: 3 roky</w:t>
      </w:r>
      <w:r>
        <w:t>.</w:t>
      </w:r>
    </w:p>
    <w:p w:rsidR="00083718" w:rsidRPr="00334E97" w:rsidRDefault="00083718" w:rsidP="00083718">
      <w:pPr>
        <w:ind w:right="-318"/>
      </w:pPr>
      <w:r w:rsidRPr="00334E97">
        <w:t>Doba použitelnosti</w:t>
      </w:r>
      <w:r w:rsidRPr="00781AB8">
        <w:t xml:space="preserve"> veterinárního léčivého přípravku v neporušené</w:t>
      </w:r>
      <w:r w:rsidRPr="00334E97">
        <w:t xml:space="preserve"> tvrdé </w:t>
      </w:r>
      <w:r w:rsidRPr="00E86A27">
        <w:t xml:space="preserve">plastové </w:t>
      </w:r>
      <w:r w:rsidRPr="00DB2DAE">
        <w:t>injekční lahvič</w:t>
      </w:r>
      <w:r>
        <w:t>ce</w:t>
      </w:r>
      <w:r w:rsidRPr="00334E97">
        <w:t>: 2 roky</w:t>
      </w:r>
      <w:r>
        <w:t>.</w:t>
      </w:r>
    </w:p>
    <w:p w:rsidR="00083718" w:rsidRPr="00334E97" w:rsidRDefault="00083718" w:rsidP="00083718">
      <w:pPr>
        <w:ind w:right="-318"/>
      </w:pPr>
    </w:p>
    <w:p w:rsidR="00083718" w:rsidRDefault="00083718" w:rsidP="00083718">
      <w:pPr>
        <w:ind w:right="-318"/>
      </w:pPr>
      <w:r>
        <w:t>Doba p</w:t>
      </w:r>
      <w:r w:rsidRPr="00334E97">
        <w:t>oužitelnost</w:t>
      </w:r>
      <w:r>
        <w:t>i</w:t>
      </w:r>
      <w:r w:rsidRPr="00334E97">
        <w:t xml:space="preserve"> po prvním otevření vnitřního obalu: 28 dnů, pokud je uchováván při teplotě </w:t>
      </w:r>
    </w:p>
    <w:p w:rsidR="00083718" w:rsidRPr="00334E97" w:rsidRDefault="00083718" w:rsidP="00083718">
      <w:pPr>
        <w:ind w:right="-318"/>
      </w:pPr>
      <w:r w:rsidRPr="00334E97">
        <w:t>do 25 ºC</w:t>
      </w:r>
      <w:r>
        <w:t>.</w:t>
      </w:r>
    </w:p>
    <w:p w:rsidR="00083718" w:rsidRPr="00334E97" w:rsidRDefault="00083718" w:rsidP="00083718">
      <w:pPr>
        <w:ind w:right="-318"/>
      </w:pPr>
    </w:p>
    <w:p w:rsidR="00083718" w:rsidRPr="00334E97" w:rsidRDefault="00083718" w:rsidP="00083718">
      <w:r w:rsidRPr="00334E97">
        <w:rPr>
          <w:b/>
          <w:bCs/>
        </w:rPr>
        <w:t>6.4.</w:t>
      </w:r>
      <w:r w:rsidRPr="00334E97">
        <w:rPr>
          <w:b/>
          <w:bCs/>
        </w:rPr>
        <w:tab/>
        <w:t>Zvláštní opatření pro uchovávání</w:t>
      </w:r>
    </w:p>
    <w:p w:rsidR="00083718" w:rsidRPr="00334E97" w:rsidRDefault="00083718" w:rsidP="00083718">
      <w:pPr>
        <w:ind w:right="-318"/>
      </w:pPr>
    </w:p>
    <w:p w:rsidR="00083718" w:rsidRPr="00334E97" w:rsidRDefault="00083718" w:rsidP="00083718">
      <w:r w:rsidRPr="00334E97">
        <w:t>Chraňte před mrazem</w:t>
      </w:r>
      <w:r>
        <w:t>.</w:t>
      </w:r>
    </w:p>
    <w:p w:rsidR="00083718" w:rsidRPr="00334E97" w:rsidRDefault="00083718" w:rsidP="00083718">
      <w:pPr>
        <w:ind w:right="-318"/>
      </w:pPr>
    </w:p>
    <w:p w:rsidR="00083718" w:rsidRPr="00334E97" w:rsidRDefault="00083718" w:rsidP="00083718">
      <w:r w:rsidRPr="00334E97">
        <w:rPr>
          <w:b/>
          <w:bCs/>
        </w:rPr>
        <w:t>6.5</w:t>
      </w:r>
      <w:r w:rsidRPr="00334E97">
        <w:rPr>
          <w:b/>
          <w:bCs/>
        </w:rPr>
        <w:tab/>
        <w:t>Druh a složení vnitřního obalu</w:t>
      </w:r>
    </w:p>
    <w:p w:rsidR="00083718" w:rsidRPr="00334E97" w:rsidRDefault="00083718" w:rsidP="00083718"/>
    <w:p w:rsidR="00083718" w:rsidRPr="00AA27C0" w:rsidRDefault="00083718" w:rsidP="00083718">
      <w:pPr>
        <w:pStyle w:val="Zkladntextodsazen2"/>
        <w:tabs>
          <w:tab w:val="left" w:pos="0"/>
        </w:tabs>
        <w:ind w:left="0" w:firstLine="0"/>
        <w:jc w:val="left"/>
        <w:rPr>
          <w:b w:val="0"/>
        </w:rPr>
      </w:pPr>
      <w:r w:rsidRPr="00334E97">
        <w:rPr>
          <w:b w:val="0"/>
          <w:bCs/>
        </w:rPr>
        <w:t>100ml tvrdá plastová</w:t>
      </w:r>
      <w:r>
        <w:rPr>
          <w:b w:val="0"/>
          <w:bCs/>
        </w:rPr>
        <w:t xml:space="preserve"> </w:t>
      </w:r>
      <w:r w:rsidRPr="00DB2DAE">
        <w:rPr>
          <w:b w:val="0"/>
          <w:bCs/>
        </w:rPr>
        <w:t>injekční</w:t>
      </w:r>
      <w:r w:rsidRPr="00334E97">
        <w:rPr>
          <w:b w:val="0"/>
          <w:bCs/>
        </w:rPr>
        <w:t xml:space="preserve"> </w:t>
      </w:r>
      <w:r w:rsidRPr="00DB2DAE">
        <w:rPr>
          <w:b w:val="0"/>
          <w:bCs/>
        </w:rPr>
        <w:t>lahvička</w:t>
      </w:r>
      <w:r>
        <w:rPr>
          <w:b w:val="0"/>
          <w:bCs/>
        </w:rPr>
        <w:t xml:space="preserve"> </w:t>
      </w:r>
      <w:r w:rsidRPr="00334E97">
        <w:rPr>
          <w:b w:val="0"/>
          <w:bCs/>
        </w:rPr>
        <w:t>(HDPE)</w:t>
      </w:r>
      <w:r>
        <w:rPr>
          <w:b w:val="0"/>
          <w:bCs/>
        </w:rPr>
        <w:t xml:space="preserve">, </w:t>
      </w:r>
      <w:r w:rsidRPr="00334E97">
        <w:rPr>
          <w:b w:val="0"/>
          <w:bCs/>
        </w:rPr>
        <w:t xml:space="preserve">100ml </w:t>
      </w:r>
      <w:r>
        <w:rPr>
          <w:b w:val="0"/>
          <w:bCs/>
        </w:rPr>
        <w:t xml:space="preserve">skleněná </w:t>
      </w:r>
      <w:r w:rsidRPr="00DB2DAE">
        <w:rPr>
          <w:b w:val="0"/>
          <w:bCs/>
        </w:rPr>
        <w:t>injekční</w:t>
      </w:r>
      <w:r w:rsidRPr="00334E97">
        <w:rPr>
          <w:b w:val="0"/>
          <w:bCs/>
        </w:rPr>
        <w:t xml:space="preserve"> </w:t>
      </w:r>
      <w:r w:rsidRPr="00DB2DAE">
        <w:rPr>
          <w:b w:val="0"/>
          <w:bCs/>
        </w:rPr>
        <w:t>lahvička</w:t>
      </w:r>
      <w:r w:rsidRPr="00334E97">
        <w:rPr>
          <w:b w:val="0"/>
          <w:bCs/>
        </w:rPr>
        <w:t xml:space="preserve"> a 100ml nebo 200ml </w:t>
      </w:r>
      <w:r w:rsidRPr="00DB2DAE">
        <w:rPr>
          <w:b w:val="0"/>
          <w:bCs/>
        </w:rPr>
        <w:t xml:space="preserve">měkká </w:t>
      </w:r>
      <w:r w:rsidR="00C539E5">
        <w:rPr>
          <w:b w:val="0"/>
          <w:bCs/>
        </w:rPr>
        <w:t xml:space="preserve">plastová </w:t>
      </w:r>
      <w:r w:rsidRPr="00DB2DAE">
        <w:rPr>
          <w:b w:val="0"/>
          <w:bCs/>
        </w:rPr>
        <w:t>injekční lahvička</w:t>
      </w:r>
      <w:r>
        <w:rPr>
          <w:b w:val="0"/>
          <w:bCs/>
        </w:rPr>
        <w:t xml:space="preserve"> </w:t>
      </w:r>
      <w:r w:rsidRPr="00334E97">
        <w:rPr>
          <w:b w:val="0"/>
          <w:bCs/>
        </w:rPr>
        <w:t>(LDPE) v</w:t>
      </w:r>
      <w:r w:rsidR="00C539E5">
        <w:rPr>
          <w:b w:val="0"/>
          <w:bCs/>
        </w:rPr>
        <w:t> </w:t>
      </w:r>
      <w:r w:rsidRPr="00334E97">
        <w:rPr>
          <w:b w:val="0"/>
          <w:bCs/>
        </w:rPr>
        <w:t>hliníkové</w:t>
      </w:r>
      <w:r w:rsidR="00C539E5">
        <w:rPr>
          <w:b w:val="0"/>
          <w:bCs/>
        </w:rPr>
        <w:t xml:space="preserve"> nebo průhledné fólii</w:t>
      </w:r>
      <w:r w:rsidRPr="00AA27C0">
        <w:rPr>
          <w:b w:val="0"/>
        </w:rPr>
        <w:t xml:space="preserve">. </w:t>
      </w:r>
      <w:r w:rsidR="00C539E5">
        <w:rPr>
          <w:b w:val="0"/>
        </w:rPr>
        <w:t>Fólii</w:t>
      </w:r>
      <w:r w:rsidR="00C539E5" w:rsidRPr="00AA27C0">
        <w:rPr>
          <w:b w:val="0"/>
        </w:rPr>
        <w:t xml:space="preserve"> </w:t>
      </w:r>
      <w:r w:rsidRPr="00AA27C0">
        <w:rPr>
          <w:b w:val="0"/>
        </w:rPr>
        <w:t>otevřete až těsně před použitím veterinárního léčivého přípravku.</w:t>
      </w:r>
    </w:p>
    <w:p w:rsidR="00083718" w:rsidRPr="00334E97" w:rsidRDefault="00083718" w:rsidP="00083718">
      <w:pPr>
        <w:pStyle w:val="Zkladntextodsazen2"/>
        <w:jc w:val="left"/>
        <w:rPr>
          <w:b w:val="0"/>
          <w:bCs/>
        </w:rPr>
      </w:pPr>
    </w:p>
    <w:p w:rsidR="00083718" w:rsidRPr="00334E97" w:rsidRDefault="00C539E5" w:rsidP="00083718">
      <w:r>
        <w:t>Velikosti balení:</w:t>
      </w:r>
      <w:r w:rsidR="00083718" w:rsidRPr="00334E97">
        <w:t xml:space="preserve"> 5, 12</w:t>
      </w:r>
      <w:r w:rsidR="00083718">
        <w:t xml:space="preserve"> nebo</w:t>
      </w:r>
      <w:r w:rsidR="00083718" w:rsidRPr="00334E97">
        <w:t xml:space="preserve"> 20 </w:t>
      </w:r>
      <w:r w:rsidRPr="004928B8">
        <w:t>injekční</w:t>
      </w:r>
      <w:r>
        <w:t>ch</w:t>
      </w:r>
      <w:r w:rsidRPr="004928B8">
        <w:t xml:space="preserve"> </w:t>
      </w:r>
      <w:r w:rsidR="00083718" w:rsidRPr="004928B8">
        <w:t>lahvič</w:t>
      </w:r>
      <w:r>
        <w:t>e</w:t>
      </w:r>
      <w:r w:rsidR="00083718" w:rsidRPr="004928B8">
        <w:t>k</w:t>
      </w:r>
      <w:r w:rsidR="00083718" w:rsidRPr="00334E97">
        <w:t xml:space="preserve"> o objemu 100 ml nebo 12 </w:t>
      </w:r>
      <w:r w:rsidR="00083718" w:rsidRPr="004928B8">
        <w:t>injekční</w:t>
      </w:r>
      <w:r>
        <w:t>ch</w:t>
      </w:r>
      <w:r w:rsidR="00083718" w:rsidRPr="004928B8">
        <w:t xml:space="preserve"> lahvič</w:t>
      </w:r>
      <w:r>
        <w:t>e</w:t>
      </w:r>
      <w:r w:rsidR="00083718" w:rsidRPr="004928B8">
        <w:t>k</w:t>
      </w:r>
      <w:r w:rsidR="00083718">
        <w:t xml:space="preserve"> </w:t>
      </w:r>
      <w:r w:rsidR="00083718" w:rsidRPr="00334E97">
        <w:t>o objemu 200 ml</w:t>
      </w:r>
      <w:r w:rsidR="00083718">
        <w:t>.</w:t>
      </w:r>
    </w:p>
    <w:p w:rsidR="00083718" w:rsidRPr="00334E97" w:rsidRDefault="00083718" w:rsidP="00083718"/>
    <w:p w:rsidR="00083718" w:rsidRPr="00334E97" w:rsidRDefault="00083718" w:rsidP="00083718">
      <w:r w:rsidRPr="004928B8">
        <w:t>Na trhu nemusí být</w:t>
      </w:r>
      <w:r>
        <w:t xml:space="preserve"> v</w:t>
      </w:r>
      <w:r w:rsidRPr="00334E97">
        <w:t>š</w:t>
      </w:r>
      <w:r>
        <w:t xml:space="preserve">echny </w:t>
      </w:r>
      <w:r w:rsidRPr="00334E97">
        <w:t>velikosti balení</w:t>
      </w:r>
      <w:r>
        <w:t>.</w:t>
      </w:r>
    </w:p>
    <w:p w:rsidR="00083718" w:rsidRPr="00334E97" w:rsidRDefault="00083718" w:rsidP="00083718">
      <w:pPr>
        <w:ind w:right="-318"/>
      </w:pPr>
    </w:p>
    <w:p w:rsidR="00083718" w:rsidRPr="00334E97" w:rsidRDefault="00083718" w:rsidP="00083718">
      <w:r w:rsidRPr="00334E97">
        <w:rPr>
          <w:b/>
          <w:bCs/>
        </w:rPr>
        <w:br w:type="page"/>
      </w:r>
      <w:r w:rsidRPr="00334E97">
        <w:rPr>
          <w:b/>
          <w:bCs/>
        </w:rPr>
        <w:lastRenderedPageBreak/>
        <w:t>6.6</w:t>
      </w:r>
      <w:r w:rsidRPr="00334E97">
        <w:tab/>
      </w:r>
      <w:r w:rsidRPr="00334E97">
        <w:rPr>
          <w:b/>
          <w:bCs/>
        </w:rPr>
        <w:t>Zvláštní opatření pro zneškodňování nepoužitého veterinárního léčivého přípravku nebo odpadu, který pochází z tohoto přípravku</w:t>
      </w:r>
    </w:p>
    <w:p w:rsidR="00083718" w:rsidRPr="00334E97" w:rsidRDefault="00083718" w:rsidP="00083718">
      <w:pPr>
        <w:ind w:right="-318"/>
      </w:pPr>
    </w:p>
    <w:p w:rsidR="00083718" w:rsidRPr="00334E97" w:rsidRDefault="00083718" w:rsidP="00083718">
      <w:pPr>
        <w:ind w:right="-318"/>
      </w:pPr>
      <w:bookmarkStart w:id="1" w:name="OLE_LINK3"/>
      <w:bookmarkStart w:id="2" w:name="OLE_LINK4"/>
      <w:r w:rsidRPr="00334E97">
        <w:t xml:space="preserve">Všechen nepoužitý veterinární léčivý přípravek nebo odpad, který pochází z tohoto přípravku, musí být likvidován podle místních právních předpisů. </w:t>
      </w:r>
    </w:p>
    <w:bookmarkEnd w:id="1"/>
    <w:bookmarkEnd w:id="2"/>
    <w:p w:rsidR="00083718" w:rsidRPr="00334E97" w:rsidRDefault="00083718" w:rsidP="00083718">
      <w:pPr>
        <w:rPr>
          <w:b/>
          <w:bCs/>
        </w:rPr>
      </w:pPr>
    </w:p>
    <w:p w:rsidR="00083718" w:rsidRPr="00334E97" w:rsidRDefault="00083718" w:rsidP="00083718">
      <w:pPr>
        <w:rPr>
          <w:b/>
          <w:bCs/>
        </w:rPr>
      </w:pPr>
      <w:r w:rsidRPr="00334E97">
        <w:rPr>
          <w:b/>
          <w:bCs/>
        </w:rPr>
        <w:t>7.</w:t>
      </w:r>
      <w:r w:rsidRPr="00334E97">
        <w:rPr>
          <w:b/>
          <w:bCs/>
        </w:rPr>
        <w:tab/>
        <w:t>DRŽITEL ROZHODNUTÍ O REGISTRACI</w:t>
      </w:r>
    </w:p>
    <w:p w:rsidR="00083718" w:rsidRPr="00334E97" w:rsidRDefault="00083718" w:rsidP="00083718">
      <w:pPr>
        <w:ind w:right="-318"/>
      </w:pPr>
    </w:p>
    <w:p w:rsidR="00083718" w:rsidRPr="00334E97" w:rsidRDefault="00083718" w:rsidP="00083718">
      <w:pPr>
        <w:tabs>
          <w:tab w:val="left" w:pos="851"/>
        </w:tabs>
        <w:ind w:left="851" w:hanging="851"/>
        <w:rPr>
          <w:spacing w:val="-3"/>
        </w:rPr>
      </w:pPr>
      <w:bookmarkStart w:id="3" w:name="OLE_LINK1"/>
      <w:bookmarkStart w:id="4" w:name="OLE_LINK2"/>
      <w:proofErr w:type="spellStart"/>
      <w:r w:rsidRPr="00334E97">
        <w:rPr>
          <w:spacing w:val="-3"/>
        </w:rPr>
        <w:t>Pharmacosmos</w:t>
      </w:r>
      <w:proofErr w:type="spellEnd"/>
      <w:r w:rsidRPr="00334E97">
        <w:rPr>
          <w:spacing w:val="-3"/>
        </w:rPr>
        <w:t xml:space="preserve"> A/S</w:t>
      </w:r>
    </w:p>
    <w:bookmarkEnd w:id="3"/>
    <w:bookmarkEnd w:id="4"/>
    <w:p w:rsidR="00083718" w:rsidRPr="00334E97" w:rsidRDefault="00083718" w:rsidP="00083718">
      <w:pPr>
        <w:tabs>
          <w:tab w:val="left" w:pos="851"/>
        </w:tabs>
        <w:ind w:left="851" w:hanging="851"/>
        <w:rPr>
          <w:spacing w:val="-3"/>
        </w:rPr>
      </w:pPr>
      <w:proofErr w:type="spellStart"/>
      <w:r>
        <w:rPr>
          <w:spacing w:val="-3"/>
        </w:rPr>
        <w:t>Roe</w:t>
      </w:r>
      <w:r w:rsidRPr="00334E97">
        <w:rPr>
          <w:spacing w:val="-3"/>
        </w:rPr>
        <w:t>rvangsvej</w:t>
      </w:r>
      <w:proofErr w:type="spellEnd"/>
      <w:r w:rsidRPr="00334E97">
        <w:rPr>
          <w:spacing w:val="-3"/>
        </w:rPr>
        <w:t xml:space="preserve"> 30</w:t>
      </w:r>
    </w:p>
    <w:p w:rsidR="00083718" w:rsidRPr="00334E97" w:rsidRDefault="00083718" w:rsidP="00083718">
      <w:pPr>
        <w:tabs>
          <w:tab w:val="left" w:pos="851"/>
        </w:tabs>
        <w:ind w:left="851" w:hanging="851"/>
        <w:rPr>
          <w:spacing w:val="-3"/>
        </w:rPr>
      </w:pPr>
      <w:r w:rsidRPr="00334E97">
        <w:rPr>
          <w:spacing w:val="-3"/>
        </w:rPr>
        <w:t xml:space="preserve">DK-4300 </w:t>
      </w:r>
      <w:proofErr w:type="spellStart"/>
      <w:r w:rsidRPr="00334E97">
        <w:rPr>
          <w:spacing w:val="-3"/>
        </w:rPr>
        <w:t>Holb</w:t>
      </w:r>
      <w:r>
        <w:rPr>
          <w:spacing w:val="-3"/>
        </w:rPr>
        <w:t>ae</w:t>
      </w:r>
      <w:r w:rsidRPr="00334E97">
        <w:rPr>
          <w:spacing w:val="-3"/>
        </w:rPr>
        <w:t>k</w:t>
      </w:r>
      <w:proofErr w:type="spellEnd"/>
    </w:p>
    <w:p w:rsidR="00083718" w:rsidRPr="00334E97" w:rsidRDefault="00083718" w:rsidP="00083718"/>
    <w:p w:rsidR="00083718" w:rsidRPr="00334E97" w:rsidRDefault="00083718" w:rsidP="00083718">
      <w:r w:rsidRPr="00334E97">
        <w:rPr>
          <w:b/>
          <w:bCs/>
        </w:rPr>
        <w:t>8.</w:t>
      </w:r>
      <w:r w:rsidRPr="00334E97">
        <w:rPr>
          <w:b/>
          <w:bCs/>
        </w:rPr>
        <w:tab/>
        <w:t>REGISTRAČNÍ ČÍSLO(A)</w:t>
      </w:r>
    </w:p>
    <w:p w:rsidR="00083718" w:rsidRPr="00334E97" w:rsidRDefault="00083718" w:rsidP="00083718"/>
    <w:p w:rsidR="00083718" w:rsidRDefault="00083718" w:rsidP="00083718">
      <w:r w:rsidRPr="004928B8">
        <w:t>96/028</w:t>
      </w:r>
      <w:r>
        <w:t>/</w:t>
      </w:r>
      <w:proofErr w:type="gramStart"/>
      <w:r w:rsidRPr="004928B8">
        <w:t>11-C</w:t>
      </w:r>
      <w:proofErr w:type="gramEnd"/>
    </w:p>
    <w:p w:rsidR="00083718" w:rsidRPr="00334E97" w:rsidRDefault="00083718" w:rsidP="00083718">
      <w:pPr>
        <w:rPr>
          <w:b/>
          <w:bCs/>
        </w:rPr>
      </w:pPr>
    </w:p>
    <w:p w:rsidR="00083718" w:rsidRPr="00334E97" w:rsidRDefault="00083718" w:rsidP="00083718">
      <w:r w:rsidRPr="00334E97">
        <w:rPr>
          <w:b/>
          <w:bCs/>
        </w:rPr>
        <w:t>9.</w:t>
      </w:r>
      <w:r w:rsidRPr="00334E97">
        <w:rPr>
          <w:b/>
          <w:bCs/>
        </w:rPr>
        <w:tab/>
        <w:t>DATUM REGISTRACE/PRODLOUŽENÍ REGISTRACE</w:t>
      </w:r>
    </w:p>
    <w:p w:rsidR="00083718" w:rsidRPr="00334E97" w:rsidRDefault="00083718" w:rsidP="00083718"/>
    <w:p w:rsidR="00083718" w:rsidRDefault="00083718" w:rsidP="00083718">
      <w:r w:rsidRPr="004928B8">
        <w:t xml:space="preserve">1. 4. 2011 </w:t>
      </w:r>
      <w:r>
        <w:t>/ 19. 4. 2016</w:t>
      </w:r>
    </w:p>
    <w:p w:rsidR="00083718" w:rsidRPr="00334E97" w:rsidRDefault="00083718" w:rsidP="00083718">
      <w:pPr>
        <w:rPr>
          <w:b/>
          <w:bCs/>
        </w:rPr>
      </w:pPr>
    </w:p>
    <w:p w:rsidR="00083718" w:rsidRPr="00334E97" w:rsidRDefault="00083718" w:rsidP="00083718">
      <w:pPr>
        <w:rPr>
          <w:b/>
          <w:bCs/>
        </w:rPr>
      </w:pPr>
      <w:r w:rsidRPr="00334E97">
        <w:rPr>
          <w:b/>
          <w:bCs/>
        </w:rPr>
        <w:t>10</w:t>
      </w:r>
      <w:r w:rsidRPr="00334E97">
        <w:rPr>
          <w:b/>
          <w:bCs/>
        </w:rPr>
        <w:tab/>
        <w:t>DATUM REVIZE TEXTU</w:t>
      </w:r>
    </w:p>
    <w:p w:rsidR="00083718" w:rsidRDefault="00083718" w:rsidP="00083718">
      <w:pPr>
        <w:tabs>
          <w:tab w:val="left" w:pos="0"/>
        </w:tabs>
        <w:rPr>
          <w:b/>
          <w:bCs/>
        </w:rPr>
      </w:pPr>
    </w:p>
    <w:p w:rsidR="00083718" w:rsidRPr="00781AB8" w:rsidRDefault="00083718" w:rsidP="00083718">
      <w:pPr>
        <w:tabs>
          <w:tab w:val="left" w:pos="0"/>
        </w:tabs>
        <w:rPr>
          <w:bCs/>
        </w:rPr>
      </w:pPr>
      <w:proofErr w:type="gramStart"/>
      <w:r w:rsidRPr="00781AB8">
        <w:rPr>
          <w:bCs/>
        </w:rPr>
        <w:t>Duben</w:t>
      </w:r>
      <w:proofErr w:type="gramEnd"/>
      <w:r w:rsidRPr="00781AB8">
        <w:rPr>
          <w:bCs/>
        </w:rPr>
        <w:t xml:space="preserve"> </w:t>
      </w:r>
      <w:r w:rsidR="00044E95" w:rsidRPr="00781AB8">
        <w:rPr>
          <w:bCs/>
        </w:rPr>
        <w:t>20</w:t>
      </w:r>
      <w:r w:rsidR="00044E95">
        <w:rPr>
          <w:bCs/>
        </w:rPr>
        <w:t>24</w:t>
      </w:r>
    </w:p>
    <w:p w:rsidR="00083718" w:rsidRDefault="00083718" w:rsidP="00083718">
      <w:pPr>
        <w:rPr>
          <w:b/>
        </w:rPr>
      </w:pPr>
    </w:p>
    <w:p w:rsidR="00083718" w:rsidRDefault="00083718" w:rsidP="00083718">
      <w:pPr>
        <w:rPr>
          <w:b/>
        </w:rPr>
      </w:pPr>
    </w:p>
    <w:p w:rsidR="00083718" w:rsidRPr="00781AB8" w:rsidRDefault="00083718" w:rsidP="00083718">
      <w:r w:rsidRPr="00781AB8">
        <w:rPr>
          <w:b/>
        </w:rPr>
        <w:t>DALŠÍ INFORMACE</w:t>
      </w:r>
    </w:p>
    <w:p w:rsidR="00083718" w:rsidRPr="00781AB8" w:rsidRDefault="00083718" w:rsidP="00083718">
      <w:pPr>
        <w:ind w:right="-318"/>
        <w:jc w:val="both"/>
      </w:pPr>
    </w:p>
    <w:p w:rsidR="00083718" w:rsidRPr="00781AB8" w:rsidRDefault="00083718" w:rsidP="00083718">
      <w:pPr>
        <w:ind w:right="-318"/>
      </w:pPr>
      <w:r w:rsidRPr="00781AB8">
        <w:t>Veterinární léčivý přípravek je vydáván pouze na předpis.</w:t>
      </w:r>
    </w:p>
    <w:p w:rsidR="00083718" w:rsidRPr="00334E97" w:rsidRDefault="00083718" w:rsidP="00083718">
      <w:pPr>
        <w:rPr>
          <w:b/>
          <w:bCs/>
        </w:rPr>
      </w:pPr>
    </w:p>
    <w:p w:rsidR="00083718" w:rsidRPr="00334E97" w:rsidRDefault="00083718" w:rsidP="00083718">
      <w:pPr>
        <w:rPr>
          <w:b/>
          <w:bCs/>
        </w:rPr>
      </w:pPr>
    </w:p>
    <w:p w:rsidR="00083718" w:rsidRPr="00334E97" w:rsidRDefault="00083718" w:rsidP="00083718">
      <w:pPr>
        <w:rPr>
          <w:b/>
          <w:bCs/>
        </w:rPr>
      </w:pPr>
    </w:p>
    <w:p w:rsidR="00083718" w:rsidRPr="00334E97" w:rsidRDefault="00083718" w:rsidP="00083718">
      <w:pPr>
        <w:ind w:left="284" w:hanging="284"/>
        <w:rPr>
          <w:b/>
          <w:bCs/>
        </w:rPr>
      </w:pPr>
    </w:p>
    <w:p w:rsidR="00083718" w:rsidRDefault="00083718" w:rsidP="00083718"/>
    <w:p w:rsidR="00020B11" w:rsidRPr="00083718" w:rsidRDefault="00020B11" w:rsidP="00083718"/>
    <w:sectPr w:rsidR="00020B11" w:rsidRPr="00083718" w:rsidSect="00020B11">
      <w:footerReference w:type="default" r:id="rId7"/>
      <w:footerReference w:type="first" r:id="rId8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36F" w:rsidRDefault="0049036F">
      <w:r>
        <w:separator/>
      </w:r>
    </w:p>
  </w:endnote>
  <w:endnote w:type="continuationSeparator" w:id="0">
    <w:p w:rsidR="0049036F" w:rsidRDefault="0049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B11" w:rsidRDefault="00020B11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020B11" w:rsidRDefault="00B8048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FA174C">
      <w:instrText xml:space="preserve"> PAGE  \* MERGEFORMAT </w:instrText>
    </w:r>
    <w:r>
      <w:fldChar w:fldCharType="separate"/>
    </w:r>
    <w:r w:rsidR="00083718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B11" w:rsidRDefault="00020B11">
    <w:pPr>
      <w:pStyle w:val="Zpat"/>
      <w:tabs>
        <w:tab w:val="clear" w:pos="8930"/>
        <w:tab w:val="right" w:pos="8931"/>
      </w:tabs>
    </w:pPr>
  </w:p>
  <w:p w:rsidR="00020B11" w:rsidRDefault="00B8048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FA174C">
      <w:instrText xml:space="preserve"> PAGE  \* MERGEFORMAT </w:instrText>
    </w:r>
    <w:r>
      <w:fldChar w:fldCharType="separate"/>
    </w:r>
    <w:r w:rsidR="0008371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36F" w:rsidRDefault="0049036F">
      <w:r>
        <w:separator/>
      </w:r>
    </w:p>
  </w:footnote>
  <w:footnote w:type="continuationSeparator" w:id="0">
    <w:p w:rsidR="0049036F" w:rsidRDefault="00490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C861EE"/>
    <w:multiLevelType w:val="multilevel"/>
    <w:tmpl w:val="EB34E33C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lvlRestart w:val="2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Restart w:val="2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Restart w:val="2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Restart w:val="2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Restart w:val="2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0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A8A768B"/>
    <w:multiLevelType w:val="hybridMultilevel"/>
    <w:tmpl w:val="054EF8D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F2702A2"/>
    <w:multiLevelType w:val="multilevel"/>
    <w:tmpl w:val="56EAE2C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1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7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abstractNum w:abstractNumId="40" w15:restartNumberingAfterBreak="0">
    <w:nsid w:val="75CB378D"/>
    <w:multiLevelType w:val="multilevel"/>
    <w:tmpl w:val="BBE49934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1" w15:restartNumberingAfterBreak="0">
    <w:nsid w:val="75DF49A2"/>
    <w:multiLevelType w:val="hybridMultilevel"/>
    <w:tmpl w:val="4D76419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7"/>
  </w:num>
  <w:num w:numId="5">
    <w:abstractNumId w:val="36"/>
  </w:num>
  <w:num w:numId="6">
    <w:abstractNumId w:val="12"/>
  </w:num>
  <w:num w:numId="7">
    <w:abstractNumId w:val="24"/>
  </w:num>
  <w:num w:numId="8">
    <w:abstractNumId w:val="23"/>
  </w:num>
  <w:num w:numId="9">
    <w:abstractNumId w:val="6"/>
  </w:num>
  <w:num w:numId="10">
    <w:abstractNumId w:val="34"/>
  </w:num>
  <w:num w:numId="11">
    <w:abstractNumId w:val="35"/>
  </w:num>
  <w:num w:numId="12">
    <w:abstractNumId w:val="17"/>
  </w:num>
  <w:num w:numId="13">
    <w:abstractNumId w:val="14"/>
  </w:num>
  <w:num w:numId="14">
    <w:abstractNumId w:val="2"/>
  </w:num>
  <w:num w:numId="15">
    <w:abstractNumId w:val="33"/>
  </w:num>
  <w:num w:numId="16">
    <w:abstractNumId w:val="21"/>
  </w:num>
  <w:num w:numId="17">
    <w:abstractNumId w:val="38"/>
  </w:num>
  <w:num w:numId="18">
    <w:abstractNumId w:val="7"/>
  </w:num>
  <w:num w:numId="19">
    <w:abstractNumId w:val="1"/>
  </w:num>
  <w:num w:numId="20">
    <w:abstractNumId w:val="18"/>
  </w:num>
  <w:num w:numId="21">
    <w:abstractNumId w:val="3"/>
  </w:num>
  <w:num w:numId="22">
    <w:abstractNumId w:val="5"/>
  </w:num>
  <w:num w:numId="23">
    <w:abstractNumId w:val="27"/>
  </w:num>
  <w:num w:numId="24">
    <w:abstractNumId w:val="11"/>
  </w:num>
  <w:num w:numId="25">
    <w:abstractNumId w:val="32"/>
  </w:num>
  <w:num w:numId="26">
    <w:abstractNumId w:val="26"/>
  </w:num>
  <w:num w:numId="27">
    <w:abstractNumId w:val="13"/>
  </w:num>
  <w:num w:numId="28">
    <w:abstractNumId w:val="10"/>
  </w:num>
  <w:num w:numId="29">
    <w:abstractNumId w:val="22"/>
  </w:num>
  <w:num w:numId="30">
    <w:abstractNumId w:val="25"/>
  </w:num>
  <w:num w:numId="31">
    <w:abstractNumId w:val="15"/>
  </w:num>
  <w:num w:numId="32">
    <w:abstractNumId w:val="9"/>
  </w:num>
  <w:num w:numId="33">
    <w:abstractNumId w:val="30"/>
  </w:num>
  <w:num w:numId="34">
    <w:abstractNumId w:val="31"/>
  </w:num>
  <w:num w:numId="35">
    <w:abstractNumId w:val="29"/>
  </w:num>
  <w:num w:numId="36">
    <w:abstractNumId w:val="16"/>
  </w:num>
  <w:num w:numId="37">
    <w:abstractNumId w:val="4"/>
  </w:num>
  <w:num w:numId="38">
    <w:abstractNumId w:val="39"/>
  </w:num>
  <w:num w:numId="39">
    <w:abstractNumId w:val="8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41"/>
  </w:num>
  <w:num w:numId="42">
    <w:abstractNumId w:val="2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020B11"/>
    <w:rsid w:val="00020B11"/>
    <w:rsid w:val="00044E95"/>
    <w:rsid w:val="00083718"/>
    <w:rsid w:val="000D5A0E"/>
    <w:rsid w:val="00105B00"/>
    <w:rsid w:val="00353C5F"/>
    <w:rsid w:val="00464E45"/>
    <w:rsid w:val="0049036F"/>
    <w:rsid w:val="005A57E9"/>
    <w:rsid w:val="007B5563"/>
    <w:rsid w:val="00922713"/>
    <w:rsid w:val="009A0D76"/>
    <w:rsid w:val="00B8048E"/>
    <w:rsid w:val="00C539E5"/>
    <w:rsid w:val="00E02CB0"/>
    <w:rsid w:val="00E9617A"/>
    <w:rsid w:val="00F02BAD"/>
    <w:rsid w:val="00F55323"/>
    <w:rsid w:val="00FA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3B94B"/>
  <w15:docId w15:val="{6255E00D-7544-40CC-8DA9-9FDEED81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70087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470087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470087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470087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470087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470087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470087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70087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470087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470087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70087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470087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470087"/>
    <w:pPr>
      <w:ind w:left="1760"/>
    </w:pPr>
  </w:style>
  <w:style w:type="character" w:styleId="Odkaznavysvtlivky">
    <w:name w:val="endnote reference"/>
    <w:rsid w:val="00470087"/>
    <w:rPr>
      <w:vertAlign w:val="superscript"/>
    </w:rPr>
  </w:style>
  <w:style w:type="character" w:styleId="Znakapoznpodarou">
    <w:name w:val="footnote reference"/>
    <w:rsid w:val="00470087"/>
    <w:rPr>
      <w:vertAlign w:val="superscript"/>
    </w:rPr>
  </w:style>
  <w:style w:type="paragraph" w:styleId="Textpoznpodarou">
    <w:name w:val="footnote text"/>
    <w:basedOn w:val="Normln"/>
    <w:rsid w:val="00470087"/>
    <w:pPr>
      <w:jc w:val="both"/>
    </w:pPr>
    <w:rPr>
      <w:sz w:val="20"/>
    </w:rPr>
  </w:style>
  <w:style w:type="paragraph" w:styleId="Zkladntext">
    <w:name w:val="Body Text"/>
    <w:basedOn w:val="Normln"/>
    <w:rsid w:val="00470087"/>
    <w:pPr>
      <w:jc w:val="both"/>
    </w:pPr>
  </w:style>
  <w:style w:type="paragraph" w:styleId="Textvbloku">
    <w:name w:val="Block Text"/>
    <w:basedOn w:val="Normln"/>
    <w:rsid w:val="00470087"/>
    <w:pPr>
      <w:ind w:left="2268" w:right="1711"/>
    </w:pPr>
    <w:rPr>
      <w:b/>
    </w:rPr>
  </w:style>
  <w:style w:type="paragraph" w:styleId="Zkladntext2">
    <w:name w:val="Body Text 2"/>
    <w:basedOn w:val="Normln"/>
    <w:rsid w:val="00470087"/>
    <w:rPr>
      <w:b/>
    </w:rPr>
  </w:style>
  <w:style w:type="paragraph" w:styleId="Zkladntext3">
    <w:name w:val="Body Text 3"/>
    <w:basedOn w:val="Normln"/>
    <w:rsid w:val="00470087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470087"/>
  </w:style>
  <w:style w:type="character" w:styleId="Odkaznakoment">
    <w:name w:val="annotation reference"/>
    <w:rsid w:val="00470087"/>
    <w:rPr>
      <w:sz w:val="16"/>
    </w:rPr>
  </w:style>
  <w:style w:type="paragraph" w:styleId="Zkladntextodsazen2">
    <w:name w:val="Body Text Indent 2"/>
    <w:basedOn w:val="Normln"/>
    <w:link w:val="Zkladntextodsazen2Char"/>
    <w:rsid w:val="00470087"/>
    <w:pPr>
      <w:jc w:val="both"/>
    </w:pPr>
    <w:rPr>
      <w:b/>
    </w:rPr>
  </w:style>
  <w:style w:type="paragraph" w:styleId="Textkomente">
    <w:name w:val="annotation text"/>
    <w:basedOn w:val="Normln"/>
    <w:rsid w:val="00470087"/>
    <w:rPr>
      <w:sz w:val="20"/>
    </w:rPr>
  </w:style>
  <w:style w:type="paragraph" w:styleId="Zkladntextodsazen3">
    <w:name w:val="Body Text Indent 3"/>
    <w:basedOn w:val="Normln"/>
    <w:rsid w:val="00470087"/>
  </w:style>
  <w:style w:type="paragraph" w:customStyle="1" w:styleId="Bullet">
    <w:name w:val="Bullet"/>
    <w:basedOn w:val="Normln"/>
    <w:rsid w:val="00470087"/>
    <w:pPr>
      <w:numPr>
        <w:numId w:val="2"/>
      </w:numPr>
    </w:pPr>
  </w:style>
  <w:style w:type="paragraph" w:styleId="Textbubliny">
    <w:name w:val="Balloon Text"/>
    <w:basedOn w:val="Normln"/>
    <w:rsid w:val="00470087"/>
    <w:rPr>
      <w:rFonts w:ascii="Tahoma" w:hAnsi="Tahoma" w:cs="Tahoma"/>
      <w:sz w:val="16"/>
      <w:szCs w:val="16"/>
    </w:rPr>
  </w:style>
  <w:style w:type="character" w:styleId="Hypertextovodkaz">
    <w:name w:val="Hyperlink"/>
    <w:rsid w:val="00470087"/>
    <w:rPr>
      <w:color w:val="0000FF"/>
      <w:u w:val="single"/>
    </w:rPr>
  </w:style>
  <w:style w:type="paragraph" w:customStyle="1" w:styleId="AHeader1">
    <w:name w:val="AHeader 1"/>
    <w:basedOn w:val="Normln"/>
    <w:rsid w:val="00470087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470087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470087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470087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470087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470087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4B7557"/>
    <w:pPr>
      <w:spacing w:after="120"/>
      <w:ind w:left="283"/>
    </w:pPr>
  </w:style>
  <w:style w:type="character" w:customStyle="1" w:styleId="longtext">
    <w:name w:val="long_text"/>
    <w:basedOn w:val="Standardnpsmoodstavce"/>
    <w:rsid w:val="004B7557"/>
  </w:style>
  <w:style w:type="character" w:styleId="Zdraznn">
    <w:name w:val="Emphasis"/>
    <w:qFormat/>
    <w:rsid w:val="004B7557"/>
    <w:rPr>
      <w:i/>
      <w:iCs/>
    </w:rPr>
  </w:style>
  <w:style w:type="character" w:customStyle="1" w:styleId="Zkladntextodsazen2Char">
    <w:name w:val="Základní text odsazený 2 Char"/>
    <w:link w:val="Zkladntextodsazen2"/>
    <w:rsid w:val="00E9617A"/>
    <w:rPr>
      <w:b/>
      <w:sz w:val="22"/>
      <w:lang w:eastAsia="en-US"/>
    </w:rPr>
  </w:style>
  <w:style w:type="character" w:customStyle="1" w:styleId="ZkladntextodsazenChar">
    <w:name w:val="Základní text odsazený Char"/>
    <w:link w:val="Zkladntextodsazen"/>
    <w:rsid w:val="00E9617A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983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[Version 7</vt:lpstr>
    </vt:vector>
  </TitlesOfParts>
  <Company>Translation Centre</Company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Kubová Petra</dc:creator>
  <cp:keywords/>
  <dc:description/>
  <cp:lastModifiedBy>Neugebauerová Kateřina</cp:lastModifiedBy>
  <cp:revision>6</cp:revision>
  <cp:lastPrinted>2024-05-03T09:59:00Z</cp:lastPrinted>
  <dcterms:created xsi:type="dcterms:W3CDTF">2024-04-23T11:10:00Z</dcterms:created>
  <dcterms:modified xsi:type="dcterms:W3CDTF">2024-05-03T09:59:00Z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</Properties>
</file>