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9D" w:rsidRDefault="00600B9D" w:rsidP="00600B9D">
      <w:pPr>
        <w:jc w:val="center"/>
        <w:rPr>
          <w:b/>
        </w:rPr>
      </w:pPr>
      <w:bookmarkStart w:id="0" w:name="_GoBack"/>
      <w:bookmarkEnd w:id="0"/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  <w:r>
        <w:rPr>
          <w:b/>
        </w:rPr>
        <w:t>PŘÍLOHA I</w:t>
      </w:r>
    </w:p>
    <w:p w:rsidR="00600B9D" w:rsidRDefault="00600B9D" w:rsidP="00600B9D">
      <w:pPr>
        <w:jc w:val="center"/>
        <w:rPr>
          <w:b/>
        </w:rPr>
      </w:pPr>
    </w:p>
    <w:p w:rsidR="00600B9D" w:rsidRDefault="00600B9D" w:rsidP="00600B9D">
      <w:pPr>
        <w:jc w:val="center"/>
        <w:rPr>
          <w:b/>
        </w:rPr>
      </w:pPr>
      <w:r>
        <w:rPr>
          <w:b/>
        </w:rPr>
        <w:t>SOUHRN ÚDAJŮ O PŘÍPRAVKU</w:t>
      </w:r>
    </w:p>
    <w:p w:rsidR="00600B9D" w:rsidRDefault="00600B9D" w:rsidP="00600B9D">
      <w:pPr>
        <w:jc w:val="center"/>
      </w:pPr>
    </w:p>
    <w:p w:rsidR="00600B9D" w:rsidRDefault="00600B9D" w:rsidP="00600B9D">
      <w:pPr>
        <w:jc w:val="both"/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:rsidR="00600B9D" w:rsidRDefault="00600B9D" w:rsidP="00600B9D">
      <w:pPr>
        <w:jc w:val="both"/>
      </w:pPr>
    </w:p>
    <w:p w:rsidR="00600B9D" w:rsidRDefault="00600B9D" w:rsidP="00600B9D">
      <w:pPr>
        <w:ind w:left="0" w:firstLine="0"/>
        <w:jc w:val="both"/>
        <w:rPr>
          <w:szCs w:val="22"/>
          <w:lang w:val="hu-HU" w:eastAsia="hu-HU"/>
        </w:rPr>
      </w:pPr>
      <w:proofErr w:type="spellStart"/>
      <w:r>
        <w:rPr>
          <w:szCs w:val="22"/>
        </w:rPr>
        <w:t>Tilmicosol</w:t>
      </w:r>
      <w:proofErr w:type="spellEnd"/>
      <w:r>
        <w:rPr>
          <w:szCs w:val="22"/>
        </w:rPr>
        <w:t xml:space="preserve"> 250 mg/ml roztok pro podání v pitné vodě/mléce </w:t>
      </w:r>
    </w:p>
    <w:p w:rsidR="00600B9D" w:rsidRDefault="00600B9D" w:rsidP="00600B9D">
      <w:pPr>
        <w:jc w:val="both"/>
      </w:pPr>
    </w:p>
    <w:p w:rsidR="00600B9D" w:rsidRDefault="00600B9D" w:rsidP="00600B9D">
      <w:pPr>
        <w:jc w:val="both"/>
      </w:pPr>
    </w:p>
    <w:p w:rsidR="00600B9D" w:rsidRDefault="00600B9D" w:rsidP="00600B9D">
      <w:pPr>
        <w:jc w:val="both"/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:rsidR="00600B9D" w:rsidRDefault="00600B9D" w:rsidP="00600B9D">
      <w:pPr>
        <w:jc w:val="both"/>
      </w:pP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Jeden ml obsahuje:</w:t>
      </w:r>
    </w:p>
    <w:p w:rsidR="00600B9D" w:rsidRDefault="00600B9D" w:rsidP="00600B9D">
      <w:pPr>
        <w:jc w:val="both"/>
        <w:rPr>
          <w:b/>
          <w:szCs w:val="22"/>
          <w:lang w:val="hu-HU" w:eastAsia="hu-HU"/>
        </w:rPr>
      </w:pPr>
      <w:r>
        <w:rPr>
          <w:b/>
          <w:szCs w:val="22"/>
        </w:rPr>
        <w:t>Léčivá látka:</w:t>
      </w:r>
    </w:p>
    <w:p w:rsidR="00600B9D" w:rsidRDefault="00600B9D" w:rsidP="00600B9D">
      <w:pPr>
        <w:jc w:val="both"/>
        <w:rPr>
          <w:szCs w:val="22"/>
        </w:rPr>
      </w:pPr>
      <w:proofErr w:type="spellStart"/>
      <w:r>
        <w:rPr>
          <w:szCs w:val="22"/>
        </w:rPr>
        <w:t>Tilmicosinum</w:t>
      </w:r>
      <w:proofErr w:type="spellEnd"/>
      <w:r>
        <w:rPr>
          <w:szCs w:val="22"/>
        </w:rPr>
        <w:t xml:space="preserve"> (jako </w:t>
      </w:r>
      <w:proofErr w:type="spellStart"/>
      <w:r>
        <w:rPr>
          <w:szCs w:val="22"/>
        </w:rPr>
        <w:t>phosphas</w:t>
      </w:r>
      <w:proofErr w:type="spellEnd"/>
      <w:r>
        <w:rPr>
          <w:szCs w:val="22"/>
        </w:rPr>
        <w:t>) 250 mg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  <w:rPr>
          <w:b/>
          <w:szCs w:val="22"/>
        </w:rPr>
      </w:pPr>
      <w:r>
        <w:rPr>
          <w:b/>
          <w:szCs w:val="22"/>
        </w:rPr>
        <w:t>Pomocné látky: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Propyl-</w:t>
      </w:r>
      <w:proofErr w:type="spellStart"/>
      <w:r>
        <w:rPr>
          <w:szCs w:val="22"/>
        </w:rPr>
        <w:t>gallát</w:t>
      </w:r>
      <w:proofErr w:type="spellEnd"/>
      <w:r>
        <w:rPr>
          <w:szCs w:val="22"/>
        </w:rPr>
        <w:t xml:space="preserve"> (E 310)</w:t>
      </w:r>
      <w:r>
        <w:rPr>
          <w:szCs w:val="22"/>
        </w:rPr>
        <w:tab/>
        <w:t xml:space="preserve"> </w:t>
      </w:r>
      <w:r>
        <w:rPr>
          <w:szCs w:val="22"/>
        </w:rPr>
        <w:tab/>
        <w:t>0,2 mg</w:t>
      </w:r>
    </w:p>
    <w:p w:rsidR="00600B9D" w:rsidRDefault="00600B9D" w:rsidP="00600B9D">
      <w:pPr>
        <w:jc w:val="both"/>
        <w:rPr>
          <w:szCs w:val="22"/>
        </w:rPr>
      </w:pPr>
      <w:proofErr w:type="spellStart"/>
      <w:r>
        <w:rPr>
          <w:szCs w:val="22"/>
        </w:rPr>
        <w:t>Dihydrát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dinatrium-edetátu</w:t>
      </w:r>
      <w:proofErr w:type="spellEnd"/>
      <w:r>
        <w:rPr>
          <w:szCs w:val="22"/>
        </w:rPr>
        <w:t xml:space="preserve"> </w:t>
      </w:r>
      <w:r>
        <w:rPr>
          <w:szCs w:val="22"/>
        </w:rPr>
        <w:tab/>
        <w:t>2,0 mg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Úplný seznam pomocných látek viz bod 6.1.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</w:pPr>
    </w:p>
    <w:p w:rsidR="00600B9D" w:rsidRDefault="00600B9D" w:rsidP="00600B9D">
      <w:pPr>
        <w:jc w:val="both"/>
      </w:pPr>
      <w:r>
        <w:rPr>
          <w:b/>
        </w:rPr>
        <w:t>3.</w:t>
      </w:r>
      <w:r>
        <w:rPr>
          <w:b/>
        </w:rPr>
        <w:tab/>
        <w:t>LÉKOVÁ FORMA</w:t>
      </w:r>
    </w:p>
    <w:p w:rsidR="00600B9D" w:rsidRDefault="00600B9D" w:rsidP="00600B9D">
      <w:pPr>
        <w:jc w:val="both"/>
      </w:pPr>
    </w:p>
    <w:p w:rsidR="00600B9D" w:rsidRDefault="00600B9D" w:rsidP="00600B9D">
      <w:pPr>
        <w:ind w:left="0" w:firstLine="0"/>
        <w:jc w:val="both"/>
        <w:rPr>
          <w:szCs w:val="22"/>
          <w:lang w:val="hu-HU" w:eastAsia="hu-HU"/>
        </w:rPr>
      </w:pPr>
      <w:r>
        <w:rPr>
          <w:szCs w:val="22"/>
        </w:rPr>
        <w:t xml:space="preserve">Roztok pro podání v pitné vodě/mléce 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Čirý, žlutě až jantarově zbarvený roztok.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</w:pPr>
    </w:p>
    <w:p w:rsidR="00600B9D" w:rsidRDefault="00600B9D" w:rsidP="00600B9D">
      <w:pPr>
        <w:jc w:val="both"/>
      </w:pPr>
      <w:r>
        <w:rPr>
          <w:b/>
        </w:rPr>
        <w:t>4.</w:t>
      </w:r>
      <w:r>
        <w:rPr>
          <w:b/>
        </w:rPr>
        <w:tab/>
        <w:t>KLINICKÉ ÚDAJE</w:t>
      </w:r>
    </w:p>
    <w:p w:rsidR="00600B9D" w:rsidRDefault="00600B9D" w:rsidP="00600B9D">
      <w:pPr>
        <w:jc w:val="both"/>
      </w:pPr>
    </w:p>
    <w:p w:rsidR="00600B9D" w:rsidRDefault="00600B9D" w:rsidP="00600B9D">
      <w:pPr>
        <w:jc w:val="both"/>
      </w:pPr>
      <w:r>
        <w:rPr>
          <w:b/>
        </w:rPr>
        <w:t>4.1</w:t>
      </w:r>
      <w:r>
        <w:rPr>
          <w:b/>
        </w:rPr>
        <w:tab/>
        <w:t>Cílové druhy zvířat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Kur domácí (s výjimkou nosnic, jejichž vejce jsou určena pro lidský konzum)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Krůty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Prasata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Telata (</w:t>
      </w:r>
      <w:proofErr w:type="spellStart"/>
      <w:r>
        <w:rPr>
          <w:szCs w:val="22"/>
        </w:rPr>
        <w:t>neruminující</w:t>
      </w:r>
      <w:proofErr w:type="spellEnd"/>
      <w:r>
        <w:rPr>
          <w:szCs w:val="22"/>
        </w:rPr>
        <w:t>)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4.2</w:t>
      </w:r>
      <w:r>
        <w:rPr>
          <w:b/>
        </w:rPr>
        <w:tab/>
        <w:t xml:space="preserve">Indikace s upřesněním pro cílový druh zvířat </w:t>
      </w:r>
    </w:p>
    <w:p w:rsidR="00600B9D" w:rsidRDefault="00600B9D" w:rsidP="00600B9D">
      <w:pPr>
        <w:jc w:val="both"/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Prasata</w:t>
      </w:r>
      <w:r>
        <w:rPr>
          <w:szCs w:val="22"/>
        </w:rPr>
        <w:t xml:space="preserve">: Léčba a </w:t>
      </w:r>
      <w:proofErr w:type="spellStart"/>
      <w:r>
        <w:rPr>
          <w:szCs w:val="22"/>
        </w:rPr>
        <w:t>metafylaxe</w:t>
      </w:r>
      <w:proofErr w:type="spellEnd"/>
      <w:r>
        <w:rPr>
          <w:szCs w:val="22"/>
        </w:rPr>
        <w:t xml:space="preserve"> respiračních onemocnění ve stádech prasat, která jsou vyvolána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hyopneumoniae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Pasteurella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multocida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Actinobacillus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pleuropneumoniae</w:t>
      </w:r>
      <w:proofErr w:type="spellEnd"/>
      <w:r>
        <w:rPr>
          <w:szCs w:val="22"/>
        </w:rPr>
        <w:t xml:space="preserve"> citlivými k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>.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 xml:space="preserve"> 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Kur domácí</w:t>
      </w:r>
      <w:r>
        <w:rPr>
          <w:szCs w:val="22"/>
        </w:rPr>
        <w:t xml:space="preserve">: Léčba a </w:t>
      </w:r>
      <w:proofErr w:type="spellStart"/>
      <w:r>
        <w:rPr>
          <w:szCs w:val="22"/>
        </w:rPr>
        <w:t>metafylaxe</w:t>
      </w:r>
      <w:proofErr w:type="spellEnd"/>
      <w:r>
        <w:rPr>
          <w:szCs w:val="22"/>
        </w:rPr>
        <w:t xml:space="preserve"> respiračních onemocnění v hejnech kura, která jsou vyvolána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gallisepticum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>a</w:t>
      </w:r>
      <w:r>
        <w:rPr>
          <w:i/>
          <w:szCs w:val="22"/>
        </w:rPr>
        <w:t xml:space="preserve"> M. </w:t>
      </w:r>
      <w:proofErr w:type="spellStart"/>
      <w:r>
        <w:rPr>
          <w:i/>
          <w:szCs w:val="22"/>
        </w:rPr>
        <w:t>synoviae</w:t>
      </w:r>
      <w:proofErr w:type="spellEnd"/>
      <w:r>
        <w:rPr>
          <w:szCs w:val="22"/>
        </w:rPr>
        <w:t xml:space="preserve"> citlivými k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>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Krůty</w:t>
      </w:r>
      <w:r>
        <w:rPr>
          <w:szCs w:val="22"/>
        </w:rPr>
        <w:t xml:space="preserve">: Léčba a </w:t>
      </w:r>
      <w:proofErr w:type="spellStart"/>
      <w:r>
        <w:rPr>
          <w:szCs w:val="22"/>
        </w:rPr>
        <w:t>metafylaxe</w:t>
      </w:r>
      <w:proofErr w:type="spellEnd"/>
      <w:r>
        <w:rPr>
          <w:szCs w:val="22"/>
        </w:rPr>
        <w:t xml:space="preserve"> respiračních onemocnění v hejnech krůt, která jsou vyvolána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gallisepticum</w:t>
      </w:r>
      <w:proofErr w:type="spellEnd"/>
      <w:r>
        <w:rPr>
          <w:szCs w:val="22"/>
        </w:rPr>
        <w:t xml:space="preserve"> a </w:t>
      </w:r>
      <w:r>
        <w:rPr>
          <w:i/>
          <w:szCs w:val="22"/>
        </w:rPr>
        <w:t xml:space="preserve">M. </w:t>
      </w:r>
      <w:proofErr w:type="spellStart"/>
      <w:r>
        <w:rPr>
          <w:i/>
          <w:szCs w:val="22"/>
        </w:rPr>
        <w:t>synoviae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 xml:space="preserve">citlivými k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>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Telata</w:t>
      </w:r>
      <w:r>
        <w:rPr>
          <w:szCs w:val="22"/>
        </w:rPr>
        <w:t xml:space="preserve">: Léčba a </w:t>
      </w:r>
      <w:proofErr w:type="spellStart"/>
      <w:r>
        <w:rPr>
          <w:szCs w:val="22"/>
        </w:rPr>
        <w:t>metafylaxe</w:t>
      </w:r>
      <w:proofErr w:type="spellEnd"/>
      <w:r>
        <w:rPr>
          <w:szCs w:val="22"/>
        </w:rPr>
        <w:t xml:space="preserve"> bovinních respiračních onemocnění, která jsou vyvolána </w:t>
      </w:r>
      <w:proofErr w:type="spellStart"/>
      <w:r>
        <w:rPr>
          <w:i/>
          <w:szCs w:val="22"/>
        </w:rPr>
        <w:t>Mannheimia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haemolytica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Pasteurella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multocida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bovis</w:t>
      </w:r>
      <w:proofErr w:type="spellEnd"/>
      <w:r>
        <w:rPr>
          <w:i/>
          <w:szCs w:val="22"/>
        </w:rPr>
        <w:t xml:space="preserve">, M. </w:t>
      </w:r>
      <w:proofErr w:type="spellStart"/>
      <w:r>
        <w:rPr>
          <w:i/>
          <w:szCs w:val="22"/>
        </w:rPr>
        <w:t>dispar</w:t>
      </w:r>
      <w:proofErr w:type="spellEnd"/>
      <w:r>
        <w:rPr>
          <w:szCs w:val="22"/>
        </w:rPr>
        <w:t xml:space="preserve"> citlivými k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>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Před použitím přípravku musí být prokázána přítomnost onemocnění ve skupině/hejnu.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4.3</w:t>
      </w:r>
      <w:r>
        <w:rPr>
          <w:b/>
        </w:rPr>
        <w:tab/>
        <w:t>Kontraindikace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Zamezte koním a </w:t>
      </w:r>
      <w:r>
        <w:rPr>
          <w:rFonts w:cs="Arial"/>
          <w:bCs/>
        </w:rPr>
        <w:t>ostatním koňovitým</w:t>
      </w:r>
      <w:r>
        <w:rPr>
          <w:szCs w:val="22"/>
        </w:rPr>
        <w:t xml:space="preserve"> přístupu k pitné vodě, která obsahuje </w:t>
      </w:r>
      <w:proofErr w:type="spellStart"/>
      <w:r>
        <w:rPr>
          <w:szCs w:val="22"/>
        </w:rPr>
        <w:t>tilmikosin</w:t>
      </w:r>
      <w:proofErr w:type="spellEnd"/>
      <w:r>
        <w:rPr>
          <w:szCs w:val="22"/>
        </w:rPr>
        <w:t xml:space="preserve">. </w:t>
      </w:r>
    </w:p>
    <w:p w:rsidR="00600B9D" w:rsidRDefault="00600B9D" w:rsidP="00600B9D">
      <w:pPr>
        <w:ind w:left="0" w:firstLine="0"/>
        <w:jc w:val="both"/>
        <w:rPr>
          <w:rStyle w:val="hps"/>
        </w:rPr>
      </w:pPr>
      <w:r>
        <w:rPr>
          <w:szCs w:val="22"/>
        </w:rPr>
        <w:t xml:space="preserve">Nepoužívejte v případě přecitlivělosti na </w:t>
      </w:r>
      <w:proofErr w:type="spellStart"/>
      <w:r>
        <w:rPr>
          <w:szCs w:val="22"/>
        </w:rPr>
        <w:t>tilmikosin</w:t>
      </w:r>
      <w:proofErr w:type="spellEnd"/>
      <w:r>
        <w:rPr>
          <w:szCs w:val="22"/>
        </w:rPr>
        <w:t xml:space="preserve"> nebo kteroukoli pomocnou látku.</w:t>
      </w:r>
      <w:r>
        <w:rPr>
          <w:rStyle w:val="hps"/>
        </w:rPr>
        <w:t xml:space="preserve"> 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rStyle w:val="hps"/>
        </w:rPr>
        <w:t>Nepodávat</w:t>
      </w:r>
      <w:r>
        <w:rPr>
          <w:rStyle w:val="shorttext"/>
        </w:rPr>
        <w:t xml:space="preserve"> </w:t>
      </w:r>
      <w:r>
        <w:rPr>
          <w:rStyle w:val="hps"/>
        </w:rPr>
        <w:t>přežvýkavcům</w:t>
      </w:r>
      <w:r>
        <w:rPr>
          <w:rStyle w:val="shorttext"/>
        </w:rPr>
        <w:t xml:space="preserve"> </w:t>
      </w:r>
      <w:r>
        <w:rPr>
          <w:rStyle w:val="hps"/>
        </w:rPr>
        <w:t>s</w:t>
      </w:r>
      <w:r>
        <w:rPr>
          <w:rStyle w:val="shorttext"/>
        </w:rPr>
        <w:t xml:space="preserve"> </w:t>
      </w:r>
      <w:r>
        <w:rPr>
          <w:rStyle w:val="hps"/>
        </w:rPr>
        <w:t>rozvinutou funkcí bachoru</w:t>
      </w:r>
      <w:r>
        <w:rPr>
          <w:rStyle w:val="shorttext"/>
        </w:rPr>
        <w:t>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  <w:rPr>
          <w:b/>
        </w:rPr>
      </w:pPr>
      <w:r>
        <w:rPr>
          <w:b/>
        </w:rPr>
        <w:t>4.4</w:t>
      </w:r>
      <w:r>
        <w:rPr>
          <w:b/>
        </w:rPr>
        <w:tab/>
        <w:t>Zvláštní upozornění pro každý cílový druh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Upozornění: Před podáním zvířatům se musí přípravek zředit.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Prasata, kur domácí a krůty: Měl by být sledován příjem vody, aby se zaručilo dostatečné dávkování. V případě, že příjem vody neodpovídá množství, pro které byly vypočítány doporučené koncentrace, musí se koncentrace přípravku přizpůsobit tak, aby doporučená dávka byla zvířaty přijata, nebo se musí zvážit jiná léčba.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Příjem přípravku zvířaty může být alterován v důsledku nemoci. V případě nedostatečného příjmu vody nebo mléčné náhražky by zvířata měla být léčena parenterálními přípravky. Je třeba se vyhnout opakovanému použití přípravku zlepšením managementu chovu, udržováním čistoty a dezinfekcí.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4.5</w:t>
      </w:r>
      <w:r>
        <w:rPr>
          <w:b/>
        </w:rPr>
        <w:tab/>
        <w:t>Zvláštní opatření pro použití</w:t>
      </w:r>
    </w:p>
    <w:p w:rsidR="00600B9D" w:rsidRDefault="00600B9D" w:rsidP="00600B9D">
      <w:pPr>
        <w:jc w:val="both"/>
      </w:pPr>
    </w:p>
    <w:p w:rsidR="00600B9D" w:rsidRDefault="00600B9D" w:rsidP="00600B9D">
      <w:pPr>
        <w:jc w:val="both"/>
        <w:rPr>
          <w:u w:val="single"/>
        </w:rPr>
      </w:pPr>
      <w:r>
        <w:rPr>
          <w:u w:val="single"/>
        </w:rPr>
        <w:t>Zvláštní opatření pro použití u zvířat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Pouze pro perorální podání. Obsahuje </w:t>
      </w:r>
      <w:proofErr w:type="spellStart"/>
      <w:r>
        <w:rPr>
          <w:szCs w:val="22"/>
        </w:rPr>
        <w:t>edetát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disodný</w:t>
      </w:r>
      <w:proofErr w:type="spellEnd"/>
      <w:r>
        <w:rPr>
          <w:szCs w:val="22"/>
        </w:rPr>
        <w:t>, nepodávejte injekčně.</w:t>
      </w:r>
    </w:p>
    <w:p w:rsidR="00600B9D" w:rsidRDefault="00600B9D" w:rsidP="00600B9D">
      <w:pPr>
        <w:keepNext/>
        <w:keepLines/>
        <w:spacing w:before="240" w:after="240"/>
        <w:ind w:left="0" w:firstLine="0"/>
        <w:jc w:val="both"/>
        <w:rPr>
          <w:szCs w:val="22"/>
        </w:rPr>
      </w:pPr>
      <w:r>
        <w:rPr>
          <w:rFonts w:cs="Arial"/>
          <w:bCs/>
        </w:rPr>
        <w:t xml:space="preserve">Nesprávné použití přípravku může zvýšit prevalenci bakterií rezistentních na </w:t>
      </w:r>
      <w:proofErr w:type="spellStart"/>
      <w:r>
        <w:rPr>
          <w:rFonts w:cs="Arial"/>
          <w:bCs/>
        </w:rPr>
        <w:t>tilmikosin</w:t>
      </w:r>
      <w:proofErr w:type="spellEnd"/>
      <w:r>
        <w:rPr>
          <w:rFonts w:cs="Arial"/>
          <w:bCs/>
        </w:rPr>
        <w:t xml:space="preserve"> a může snížit účinnost léčby látkami příbuznými </w:t>
      </w:r>
      <w:proofErr w:type="spellStart"/>
      <w:r>
        <w:rPr>
          <w:rFonts w:cs="Arial"/>
          <w:bCs/>
        </w:rPr>
        <w:t>tilmikosinu</w:t>
      </w:r>
      <w:proofErr w:type="spellEnd"/>
      <w:r>
        <w:rPr>
          <w:rFonts w:cs="Arial"/>
          <w:szCs w:val="22"/>
        </w:rPr>
        <w:t xml:space="preserve">. </w:t>
      </w:r>
      <w:r>
        <w:rPr>
          <w:rFonts w:cs="Arial"/>
        </w:rPr>
        <w:t xml:space="preserve">Použití přípravku by mělo být založeno na výsledku testu citlivosti.  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Při používání přípravku by měla být brána v úvahu oficiální vnitrostátní a místní pravidla antibiotické politiky.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keepNext/>
        <w:jc w:val="both"/>
        <w:rPr>
          <w:u w:val="single"/>
        </w:rPr>
      </w:pPr>
      <w:r>
        <w:rPr>
          <w:u w:val="single"/>
        </w:rPr>
        <w:t>Zvláštní opatření určené osobám, které podávají veterinární léčivý přípravek zvířatům</w:t>
      </w:r>
    </w:p>
    <w:p w:rsidR="00600B9D" w:rsidRDefault="00600B9D" w:rsidP="00600B9D">
      <w:pPr>
        <w:jc w:val="both"/>
      </w:pPr>
    </w:p>
    <w:p w:rsidR="00600B9D" w:rsidRDefault="00600B9D" w:rsidP="00600B9D">
      <w:pPr>
        <w:ind w:left="0" w:firstLine="0"/>
        <w:jc w:val="both"/>
        <w:rPr>
          <w:szCs w:val="22"/>
        </w:rPr>
      </w:pPr>
      <w:proofErr w:type="spellStart"/>
      <w:r>
        <w:rPr>
          <w:szCs w:val="22"/>
        </w:rPr>
        <w:t>Tilmikosin</w:t>
      </w:r>
      <w:proofErr w:type="spellEnd"/>
      <w:r>
        <w:rPr>
          <w:szCs w:val="22"/>
        </w:rPr>
        <w:t xml:space="preserve"> může vyvolat podráždění. </w:t>
      </w:r>
      <w:proofErr w:type="spellStart"/>
      <w:r>
        <w:rPr>
          <w:szCs w:val="22"/>
        </w:rPr>
        <w:t>Makrolidy</w:t>
      </w:r>
      <w:proofErr w:type="spellEnd"/>
      <w:r>
        <w:rPr>
          <w:szCs w:val="22"/>
        </w:rPr>
        <w:t xml:space="preserve">, jako je </w:t>
      </w:r>
      <w:proofErr w:type="spellStart"/>
      <w:r>
        <w:rPr>
          <w:szCs w:val="22"/>
        </w:rPr>
        <w:t>tilmikosin</w:t>
      </w:r>
      <w:proofErr w:type="spellEnd"/>
      <w:r>
        <w:rPr>
          <w:szCs w:val="22"/>
        </w:rPr>
        <w:t xml:space="preserve">, mohou také po injekci, vdechnutí, požití nebo kontaktu s pokožkou nebo očima vyvolat přecitlivělost (alergii). Přecitlivělost na </w:t>
      </w:r>
      <w:proofErr w:type="spellStart"/>
      <w:r>
        <w:rPr>
          <w:szCs w:val="22"/>
        </w:rPr>
        <w:t>tilmikosin</w:t>
      </w:r>
      <w:proofErr w:type="spellEnd"/>
      <w:r>
        <w:rPr>
          <w:szCs w:val="22"/>
        </w:rPr>
        <w:t xml:space="preserve"> může vést ke zkříženým reakcím s jinými </w:t>
      </w:r>
      <w:proofErr w:type="spellStart"/>
      <w:r>
        <w:rPr>
          <w:szCs w:val="22"/>
        </w:rPr>
        <w:t>makrolidy</w:t>
      </w:r>
      <w:proofErr w:type="spellEnd"/>
      <w:r>
        <w:rPr>
          <w:szCs w:val="22"/>
        </w:rPr>
        <w:t xml:space="preserve"> a naopak. Alergické reakce na tyto látky mohou být v některých případech vážné, a proto je třeba vyhnout se přímému kontaktu s přípravkem.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Aby se zabránilo expozici během přípravy </w:t>
      </w:r>
      <w:proofErr w:type="spellStart"/>
      <w:r>
        <w:rPr>
          <w:szCs w:val="22"/>
        </w:rPr>
        <w:t>medikované</w:t>
      </w:r>
      <w:proofErr w:type="spellEnd"/>
      <w:r>
        <w:rPr>
          <w:szCs w:val="22"/>
        </w:rPr>
        <w:t xml:space="preserve"> vody, oblékněte si ochranný oblek, ochranné brýle a nepropustné rukavice. Během manipulace s tímto přípravkem nejezte, nepijte ani nekuřte. Po použití si umyjte ruce.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V případě náhodného požití ihned vypláchněte ústa vodou a vyhledejte lékařskou pomoc. V případě náhodného kontaktu přípravku s pokožkou místo důkladně omyjte vodou a mýdlem. V případě náhodného kontaktu s očima vypláchněte oči velkým množstvím čisté tekoucí vody.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Lidé se známou přecitlivělostí na látky obsažené v tomto přípravku by se měli vyhnout kontaktu s veterinárním léčivým přípravkem.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Pokud se u vás objeví </w:t>
      </w:r>
      <w:proofErr w:type="spellStart"/>
      <w:r>
        <w:rPr>
          <w:szCs w:val="22"/>
        </w:rPr>
        <w:t>postexpoziční</w:t>
      </w:r>
      <w:proofErr w:type="spellEnd"/>
      <w:r>
        <w:rPr>
          <w:szCs w:val="22"/>
        </w:rPr>
        <w:t xml:space="preserve"> příznaky, jako např. kožní vyrážka, vyhledejte lékařskou pomoc a ukažte lékaři toto upozornění. Otok obličeje, rtů a očí nebo potíže s dýcháním jsou vážné příznaky a vyžadují okamžitou lékařskou pomoc.</w:t>
      </w:r>
    </w:p>
    <w:p w:rsidR="00600B9D" w:rsidRDefault="00600B9D" w:rsidP="00600B9D">
      <w:pPr>
        <w:jc w:val="both"/>
        <w:rPr>
          <w:b/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4.6</w:t>
      </w:r>
      <w:r>
        <w:rPr>
          <w:b/>
        </w:rPr>
        <w:tab/>
        <w:t>Nežádoucí účinky (frekvence a závažnost)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Ve velmi vzácných případech (u méně než 1 z 10000 ošetřených zvířat, včetně ojedinělých hlášení) byl pozorován pokles příjmu vody.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4.7</w:t>
      </w:r>
      <w:r>
        <w:rPr>
          <w:b/>
        </w:rPr>
        <w:tab/>
        <w:t>Použití v průběhu březosti, laktace nebo snášky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ind w:left="0" w:firstLine="0"/>
        <w:rPr>
          <w:szCs w:val="22"/>
        </w:rPr>
      </w:pPr>
      <w:r>
        <w:rPr>
          <w:szCs w:val="22"/>
        </w:rPr>
        <w:t xml:space="preserve">Bezpečnost přípravku nebyla stanovena v průběhu březosti, laktace a snášky. </w:t>
      </w:r>
      <w:r>
        <w:t xml:space="preserve"> </w:t>
      </w:r>
      <w:r>
        <w:rPr>
          <w:szCs w:val="22"/>
        </w:rPr>
        <w:t>Použít pouze po zvážení terapeutického prospěchu a rizika příslušným veterinárním lékařem.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4.8</w:t>
      </w:r>
      <w:r>
        <w:rPr>
          <w:b/>
        </w:rPr>
        <w:tab/>
        <w:t>Interakce s dalšími léčivými přípravky a další formy interakce</w:t>
      </w:r>
    </w:p>
    <w:p w:rsidR="00600B9D" w:rsidRDefault="00600B9D" w:rsidP="00600B9D">
      <w:pPr>
        <w:jc w:val="both"/>
      </w:pPr>
    </w:p>
    <w:p w:rsidR="00600B9D" w:rsidRDefault="00600B9D" w:rsidP="00600B9D">
      <w:pPr>
        <w:ind w:left="0" w:firstLine="0"/>
        <w:jc w:val="both"/>
        <w:rPr>
          <w:szCs w:val="22"/>
        </w:rPr>
      </w:pPr>
      <w:proofErr w:type="spellStart"/>
      <w:r>
        <w:rPr>
          <w:szCs w:val="22"/>
        </w:rPr>
        <w:lastRenderedPageBreak/>
        <w:t>Tilmikosin</w:t>
      </w:r>
      <w:proofErr w:type="spellEnd"/>
      <w:r>
        <w:rPr>
          <w:szCs w:val="22"/>
        </w:rPr>
        <w:t xml:space="preserve"> může snižovat účinky beta-</w:t>
      </w:r>
      <w:proofErr w:type="spellStart"/>
      <w:r>
        <w:rPr>
          <w:szCs w:val="22"/>
        </w:rPr>
        <w:t>laktamových</w:t>
      </w:r>
      <w:proofErr w:type="spellEnd"/>
      <w:r>
        <w:rPr>
          <w:szCs w:val="22"/>
        </w:rPr>
        <w:t xml:space="preserve"> antibiotik. Nepoužívat současně s </w:t>
      </w:r>
      <w:proofErr w:type="spellStart"/>
      <w:r>
        <w:rPr>
          <w:szCs w:val="22"/>
        </w:rPr>
        <w:t>antimikrobiky</w:t>
      </w:r>
      <w:proofErr w:type="spellEnd"/>
      <w:r>
        <w:rPr>
          <w:szCs w:val="22"/>
        </w:rPr>
        <w:t xml:space="preserve"> s bakteriostatickým účinkem.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  <w:rPr>
          <w:b/>
        </w:rPr>
      </w:pPr>
      <w:r>
        <w:rPr>
          <w:b/>
        </w:rPr>
        <w:t>4.9</w:t>
      </w:r>
      <w:r>
        <w:rPr>
          <w:b/>
        </w:rPr>
        <w:tab/>
        <w:t>Podávané množství a způsob podání</w:t>
      </w:r>
    </w:p>
    <w:p w:rsidR="00600B9D" w:rsidRDefault="00600B9D" w:rsidP="00600B9D">
      <w:pPr>
        <w:jc w:val="both"/>
        <w:rPr>
          <w:b/>
        </w:rPr>
      </w:pPr>
    </w:p>
    <w:p w:rsidR="00600B9D" w:rsidRDefault="00600B9D" w:rsidP="00600B9D">
      <w:pPr>
        <w:ind w:left="0" w:firstLine="0"/>
        <w:jc w:val="both"/>
        <w:rPr>
          <w:b/>
        </w:rPr>
      </w:pPr>
      <w:r>
        <w:rPr>
          <w:bCs/>
        </w:rPr>
        <w:t>Perorální podání v pitné vodě nebo v mléčné náhražce. Přípravek musí být před podáním zředěn v pitné vodě (prasata, kur domácí, krůty) nebo v mléčné náhražce (telata).</w:t>
      </w:r>
    </w:p>
    <w:p w:rsidR="00600B9D" w:rsidRDefault="00600B9D" w:rsidP="00600B9D">
      <w:pPr>
        <w:jc w:val="both"/>
        <w:rPr>
          <w:b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Telata</w:t>
      </w:r>
      <w:r>
        <w:rPr>
          <w:szCs w:val="22"/>
        </w:rPr>
        <w:t xml:space="preserve">: 12,5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/kg živé hmotnosti a den (tj.1ml přípravku na 20 kg živé hmotnosti). Podává se dvakrát denně po dobu 3–5 po sobě následujících dnů.</w:t>
      </w:r>
    </w:p>
    <w:p w:rsidR="00600B9D" w:rsidRDefault="00600B9D" w:rsidP="00600B9D">
      <w:pPr>
        <w:ind w:left="0" w:firstLine="0"/>
        <w:jc w:val="both"/>
        <w:rPr>
          <w:szCs w:val="22"/>
          <w:u w:val="single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Prasata</w:t>
      </w:r>
      <w:r>
        <w:rPr>
          <w:szCs w:val="22"/>
        </w:rPr>
        <w:t xml:space="preserve">: 15–20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/kg živé hmotnosti a den, po dobu 5 po sobě následujících dnů (tj. 6-8 ml přípravku na 100 kg živé hmotnosti a den), což může být dosaženo zamícháním 150-200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na litr vody (60-80 ml přípravku na 100 litrů vody při předpokládaném příjmu vody 10 % živé hmotnosti).</w:t>
      </w:r>
    </w:p>
    <w:p w:rsidR="00600B9D" w:rsidRDefault="00600B9D" w:rsidP="00600B9D">
      <w:pPr>
        <w:jc w:val="both"/>
        <w:rPr>
          <w:szCs w:val="22"/>
          <w:u w:val="single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Kur domácí</w:t>
      </w:r>
      <w:r>
        <w:rPr>
          <w:szCs w:val="22"/>
        </w:rPr>
        <w:t xml:space="preserve">: 10-25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na kg živé hmotnosti a den (tj. 6-8 ml přípravku na 100 kg živé hmotnosti a den), po dobu 3 po sobě jdoucích dnů, což odpovídá 75-100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na litr vody (30-40 ml přípravku na 100 litrů vody při předpokládaném příjmu vody 20 % živé hmotnosti).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Krůty</w:t>
      </w:r>
      <w:r>
        <w:rPr>
          <w:szCs w:val="22"/>
        </w:rPr>
        <w:t xml:space="preserve">: 10-27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na kg živé hmotnosti a den (tj. 4-11 ml přípravku na 100 kg živé hmotnosti a den), po dobu 3 po sobě jdoucích dnů, což odpovídá 143-386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na litr vody (57-154 ml přípravku na 100 litrů vody při předpokládaném příjmu vody 7 % živé hmotnosti).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Jestliže se příznaky nemoci významně nezlepší během 3-5 dnů, diagnóza by měla být přehodnocena a léčba změněna.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Přesná koncentrace veterinárního léčivého přípravku může být spočítána pomocí následujícího vzorce: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…ml přípravku na litr pitné vody a den = (…ml přípravku na kg živé hmotnosti a den x průměrná živá hmotnost (kg)) / průměrný denní příjem vody (litry)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Živá hmotnost by měla být stanovena co nejpřesněji, aby se zabránilo </w:t>
      </w:r>
      <w:proofErr w:type="spellStart"/>
      <w:r>
        <w:rPr>
          <w:szCs w:val="22"/>
        </w:rPr>
        <w:t>poddávkování</w:t>
      </w:r>
      <w:proofErr w:type="spellEnd"/>
      <w:r>
        <w:rPr>
          <w:szCs w:val="22"/>
        </w:rPr>
        <w:t xml:space="preserve">. Požadovaná dávka by měla být odměřena pomocí vhodných a kalibrovaných zařízení. Připraveno by mělo být pouze takové množství </w:t>
      </w:r>
      <w:proofErr w:type="spellStart"/>
      <w:r>
        <w:rPr>
          <w:szCs w:val="22"/>
        </w:rPr>
        <w:t>medikované</w:t>
      </w:r>
      <w:proofErr w:type="spellEnd"/>
      <w:r>
        <w:rPr>
          <w:szCs w:val="22"/>
        </w:rPr>
        <w:t xml:space="preserve"> vody, které pokryje denní spotřebu. </w:t>
      </w:r>
      <w:proofErr w:type="spellStart"/>
      <w:r>
        <w:rPr>
          <w:szCs w:val="22"/>
        </w:rPr>
        <w:t>Medikovaná</w:t>
      </w:r>
      <w:proofErr w:type="spellEnd"/>
      <w:r>
        <w:rPr>
          <w:szCs w:val="22"/>
        </w:rPr>
        <w:t xml:space="preserve"> pitná voda by měla být jediným zdrojem pitné vody pro zvířata během celého trvání léčby. V průběhu léčby je třeba často sledovat příjem vody. Po skončení léčby, by měl být napájecí systém řádně vyčištěn, aby se zabránilo příjmu </w:t>
      </w:r>
      <w:proofErr w:type="spellStart"/>
      <w:r>
        <w:rPr>
          <w:szCs w:val="22"/>
        </w:rPr>
        <w:t>subterapeutického</w:t>
      </w:r>
      <w:proofErr w:type="spellEnd"/>
      <w:r>
        <w:rPr>
          <w:szCs w:val="22"/>
        </w:rPr>
        <w:t xml:space="preserve"> množství léčiva.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rPr>
          <w:szCs w:val="22"/>
        </w:rPr>
      </w:pPr>
      <w:proofErr w:type="spellStart"/>
      <w:r>
        <w:rPr>
          <w:szCs w:val="22"/>
        </w:rPr>
        <w:t>Medikovaná</w:t>
      </w:r>
      <w:proofErr w:type="spellEnd"/>
      <w:r>
        <w:rPr>
          <w:szCs w:val="22"/>
        </w:rPr>
        <w:t xml:space="preserve"> pitná voda by měla být připravována každých 24 hodin. </w:t>
      </w:r>
      <w:proofErr w:type="spellStart"/>
      <w:r>
        <w:rPr>
          <w:szCs w:val="22"/>
        </w:rPr>
        <w:t>Medikovaná</w:t>
      </w:r>
      <w:proofErr w:type="spellEnd"/>
      <w:r>
        <w:rPr>
          <w:szCs w:val="22"/>
        </w:rPr>
        <w:t xml:space="preserve"> mléčná náhražka by měla být připravovaná každých 6 hodin.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>Léčivý přípravek je třeba zředit ve vodě nebo v mléčné náhražce těsně před jeho použitím. V případě, že se připravuje zásobní roztok léčivého přípravku, maximální koncentrace by neměla přesáhnout 200 ml přípravku/litr. Nejnižší koncentrace přípravku, jehož stabilitu lze zaručit, činí 0,3 ml přípravku/litr pitné vody a 0,8 ml přípravku/litr mléčné náhražky.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Příjem </w:t>
      </w:r>
      <w:proofErr w:type="spellStart"/>
      <w:r>
        <w:rPr>
          <w:szCs w:val="22"/>
        </w:rPr>
        <w:t>medikované</w:t>
      </w:r>
      <w:proofErr w:type="spellEnd"/>
      <w:r>
        <w:rPr>
          <w:szCs w:val="22"/>
        </w:rPr>
        <w:t xml:space="preserve"> pitné vody/mléčné náhražky závisí na klinickém stavu zvířat. Podle toho by měla být upravena koncentrace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, aby bylo dosaženo správného dávkování. 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4.10</w:t>
      </w:r>
      <w:r>
        <w:rPr>
          <w:b/>
        </w:rPr>
        <w:tab/>
        <w:t xml:space="preserve">Předávkování (symptomy, první pomoc, </w:t>
      </w:r>
      <w:proofErr w:type="spellStart"/>
      <w:r>
        <w:rPr>
          <w:b/>
        </w:rPr>
        <w:t>antidota</w:t>
      </w:r>
      <w:proofErr w:type="spellEnd"/>
      <w:r>
        <w:rPr>
          <w:b/>
        </w:rPr>
        <w:t>), pokud je to nutné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Pokud se prasatům podá pitná voda, která obsahuje 300 nebo 400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>/litr (tj. 22,5–40 mg/kg živé hmotnosti neboli 1,5–</w:t>
      </w:r>
      <w:proofErr w:type="gramStart"/>
      <w:r>
        <w:rPr>
          <w:szCs w:val="22"/>
        </w:rPr>
        <w:t>2 násobek</w:t>
      </w:r>
      <w:proofErr w:type="gramEnd"/>
      <w:r>
        <w:rPr>
          <w:szCs w:val="22"/>
        </w:rPr>
        <w:t xml:space="preserve"> doporučené koncentrace), zvířata obvykle vykazují snížený příjem vody. Ačkoliv má tato skutečnost malý účinek na příjem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, mohla by v extrémních případech způsobit dehydrataci. To lze upravit nahrazením </w:t>
      </w:r>
      <w:proofErr w:type="spellStart"/>
      <w:r>
        <w:rPr>
          <w:szCs w:val="22"/>
        </w:rPr>
        <w:t>medikované</w:t>
      </w:r>
      <w:proofErr w:type="spellEnd"/>
      <w:r>
        <w:rPr>
          <w:szCs w:val="22"/>
        </w:rPr>
        <w:t xml:space="preserve"> pitné vody čistou vodou. 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lastRenderedPageBreak/>
        <w:t xml:space="preserve">U jedinců kura domácího, kterým byla po dobu 5 dnů podávána pitná voda obsahující až 375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/litr (tj.  75–100 mg/kg živé hmotnosti neboli </w:t>
      </w:r>
      <w:proofErr w:type="gramStart"/>
      <w:r>
        <w:rPr>
          <w:szCs w:val="22"/>
        </w:rPr>
        <w:t>5 násobek</w:t>
      </w:r>
      <w:proofErr w:type="gramEnd"/>
      <w:r>
        <w:rPr>
          <w:szCs w:val="22"/>
        </w:rPr>
        <w:t xml:space="preserve"> doporučené dávky), nebyly pozorovány žádné příznaky předávkování; denní léčba dávkou 75 mg/litr (ekvivalentní maximální doporučené dávce) po dobu 10 dnů způsobila řidší konzistenci trusu.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U krůt, kterým byla po dobu 3 dnů podávána pitná voda obsahující až 375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/litr (tj. 50–135 mg/kg živé hmotnosti neboli </w:t>
      </w:r>
      <w:proofErr w:type="gramStart"/>
      <w:r>
        <w:rPr>
          <w:szCs w:val="22"/>
        </w:rPr>
        <w:t>5 násobek</w:t>
      </w:r>
      <w:proofErr w:type="gramEnd"/>
      <w:r>
        <w:rPr>
          <w:szCs w:val="22"/>
        </w:rPr>
        <w:t xml:space="preserve"> doporučené dávky), nebyly pozorovány žádné příznaky předávkování; denní léčba dávkou 75 mg/litr (ekvivalentní maximální doporučené dávce) po dobu 6 dnů taktéž nevyvolala žádné příznaky předávkování.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U telat, kterým byly podávány dvakrát denně dávky odpovídající </w:t>
      </w:r>
      <w:proofErr w:type="gramStart"/>
      <w:r>
        <w:rPr>
          <w:szCs w:val="22"/>
        </w:rPr>
        <w:t>5 násobku</w:t>
      </w:r>
      <w:proofErr w:type="gramEnd"/>
      <w:r>
        <w:rPr>
          <w:szCs w:val="22"/>
        </w:rPr>
        <w:t xml:space="preserve"> maximální doporučené dávky nebo kterým byl přípravek podáván po dvojnásobně delší dobu, než je doporučená délka trvání léčby, nebyly pozorovány žádné příznaky předávkování, s výjimkou mírného snížení příjmu mléka.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4.11</w:t>
      </w:r>
      <w:r>
        <w:rPr>
          <w:b/>
        </w:rPr>
        <w:tab/>
        <w:t>Ochranná(é) lhůta(y)</w:t>
      </w:r>
    </w:p>
    <w:p w:rsidR="00600B9D" w:rsidRDefault="00600B9D" w:rsidP="00600B9D">
      <w:pPr>
        <w:jc w:val="both"/>
        <w:rPr>
          <w:szCs w:val="22"/>
          <w:u w:val="single"/>
          <w:lang w:val="hu-HU" w:eastAsia="hu-HU"/>
        </w:rPr>
      </w:pP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Prasata: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 xml:space="preserve">Maso: 4 dnů 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Kur domácí: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 xml:space="preserve">Maso: 12 dnů 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Nepoužívat u nosnic, jejichž vejce jsou určena pro lidskou spotřebu. Nepoužívat 14 dnů před počátkem snášky. 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 xml:space="preserve">Krůty: 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 xml:space="preserve">Maso: 19 dnů 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Telata: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 xml:space="preserve">Maso: 42 dnů 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Nepoužívat u zvířat, jejichž mléko je určeno pro lidskou spotřebu.</w:t>
      </w:r>
    </w:p>
    <w:p w:rsidR="00600B9D" w:rsidRDefault="00600B9D" w:rsidP="00600B9D">
      <w:pPr>
        <w:pStyle w:val="Textkomente"/>
      </w:pPr>
    </w:p>
    <w:p w:rsidR="00600B9D" w:rsidRDefault="00600B9D" w:rsidP="00600B9D">
      <w:pPr>
        <w:jc w:val="both"/>
        <w:rPr>
          <w:b/>
          <w:szCs w:val="22"/>
        </w:rPr>
      </w:pPr>
    </w:p>
    <w:p w:rsidR="00600B9D" w:rsidRDefault="00600B9D" w:rsidP="00600B9D">
      <w:pPr>
        <w:keepNext/>
        <w:jc w:val="both"/>
      </w:pPr>
      <w:r>
        <w:rPr>
          <w:b/>
        </w:rPr>
        <w:t>5.</w:t>
      </w:r>
      <w:r>
        <w:rPr>
          <w:b/>
        </w:rPr>
        <w:tab/>
        <w:t>FARMAKOLOGICKÉ VLASTNOSTI</w:t>
      </w:r>
    </w:p>
    <w:p w:rsidR="00600B9D" w:rsidRDefault="00600B9D" w:rsidP="00600B9D">
      <w:pPr>
        <w:keepNext/>
        <w:jc w:val="both"/>
      </w:pPr>
    </w:p>
    <w:p w:rsidR="00600B9D" w:rsidRDefault="00600B9D" w:rsidP="00600B9D">
      <w:pPr>
        <w:keepNext/>
        <w:ind w:left="0" w:firstLine="0"/>
        <w:jc w:val="both"/>
      </w:pPr>
      <w:r>
        <w:t xml:space="preserve">Farmakoterapeutická skupina: </w:t>
      </w:r>
      <w:r>
        <w:rPr>
          <w:szCs w:val="22"/>
        </w:rPr>
        <w:t xml:space="preserve">antibakteriální léčiva pro systémovou aplikaci, </w:t>
      </w:r>
      <w:proofErr w:type="spellStart"/>
      <w:r>
        <w:rPr>
          <w:szCs w:val="22"/>
        </w:rPr>
        <w:t>makrolidy</w:t>
      </w:r>
      <w:proofErr w:type="spellEnd"/>
      <w:r>
        <w:t>.</w:t>
      </w:r>
    </w:p>
    <w:p w:rsidR="00600B9D" w:rsidRDefault="00600B9D" w:rsidP="00600B9D">
      <w:pPr>
        <w:ind w:left="0" w:firstLine="0"/>
        <w:jc w:val="both"/>
      </w:pPr>
      <w:proofErr w:type="spellStart"/>
      <w:r>
        <w:t>ATCvet</w:t>
      </w:r>
      <w:proofErr w:type="spellEnd"/>
      <w:r>
        <w:t xml:space="preserve"> kód: </w:t>
      </w:r>
      <w:r>
        <w:rPr>
          <w:szCs w:val="22"/>
        </w:rPr>
        <w:t>QJ01FA91</w:t>
      </w:r>
      <w:r>
        <w:t>.</w:t>
      </w:r>
    </w:p>
    <w:p w:rsidR="00600B9D" w:rsidRDefault="00600B9D" w:rsidP="00600B9D">
      <w:pPr>
        <w:ind w:left="0" w:firstLine="0"/>
        <w:jc w:val="both"/>
      </w:pPr>
    </w:p>
    <w:p w:rsidR="00600B9D" w:rsidRDefault="00600B9D" w:rsidP="00600B9D">
      <w:pPr>
        <w:ind w:left="0" w:firstLine="0"/>
        <w:jc w:val="both"/>
        <w:rPr>
          <w:b/>
        </w:rPr>
      </w:pPr>
      <w:r>
        <w:rPr>
          <w:b/>
        </w:rPr>
        <w:t>5.1</w:t>
      </w:r>
      <w:r>
        <w:rPr>
          <w:b/>
        </w:rPr>
        <w:tab/>
        <w:t>Farmakodynamické vlastnosti</w:t>
      </w:r>
    </w:p>
    <w:p w:rsidR="00600B9D" w:rsidRDefault="00600B9D" w:rsidP="00600B9D">
      <w:pPr>
        <w:ind w:left="0" w:firstLine="0"/>
        <w:jc w:val="both"/>
        <w:rPr>
          <w:szCs w:val="22"/>
          <w:lang w:val="hu-HU" w:eastAsia="hu-HU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proofErr w:type="spellStart"/>
      <w:r>
        <w:rPr>
          <w:szCs w:val="22"/>
        </w:rPr>
        <w:t>Tilmikosin</w:t>
      </w:r>
      <w:proofErr w:type="spellEnd"/>
      <w:r>
        <w:rPr>
          <w:szCs w:val="22"/>
        </w:rPr>
        <w:t xml:space="preserve"> je </w:t>
      </w:r>
      <w:proofErr w:type="spellStart"/>
      <w:r>
        <w:rPr>
          <w:szCs w:val="22"/>
        </w:rPr>
        <w:t>semi</w:t>
      </w:r>
      <w:proofErr w:type="spellEnd"/>
      <w:r>
        <w:rPr>
          <w:szCs w:val="22"/>
        </w:rPr>
        <w:t xml:space="preserve">-syntetické antibiotikum </w:t>
      </w:r>
      <w:proofErr w:type="spellStart"/>
      <w:r>
        <w:rPr>
          <w:szCs w:val="22"/>
        </w:rPr>
        <w:t>makrolidové</w:t>
      </w:r>
      <w:proofErr w:type="spellEnd"/>
      <w:r>
        <w:rPr>
          <w:szCs w:val="22"/>
        </w:rPr>
        <w:t xml:space="preserve"> skupiny ovlivňující syntézu proteinů. Má bakteriostatický účinek, ale ve vysokých koncentracích může být baktericidní. Antibakteriální účinnost je zaměřena především proti </w:t>
      </w:r>
      <w:proofErr w:type="spellStart"/>
      <w:r>
        <w:rPr>
          <w:szCs w:val="22"/>
        </w:rPr>
        <w:t>grampozitivním</w:t>
      </w:r>
      <w:proofErr w:type="spellEnd"/>
      <w:r>
        <w:rPr>
          <w:szCs w:val="22"/>
        </w:rPr>
        <w:t xml:space="preserve"> mikroorganizmům a do jisté míry i proti určitým bakteriím gramnegativním a proti bakteriím z rodu </w:t>
      </w:r>
      <w:proofErr w:type="spellStart"/>
      <w:r>
        <w:rPr>
          <w:i/>
          <w:szCs w:val="22"/>
        </w:rPr>
        <w:t>Mycoplasma</w:t>
      </w:r>
      <w:proofErr w:type="spellEnd"/>
      <w:r>
        <w:rPr>
          <w:szCs w:val="22"/>
        </w:rPr>
        <w:t xml:space="preserve"> bovinního, </w:t>
      </w:r>
      <w:proofErr w:type="spellStart"/>
      <w:r>
        <w:rPr>
          <w:szCs w:val="22"/>
        </w:rPr>
        <w:t>porcinního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aviárního</w:t>
      </w:r>
      <w:proofErr w:type="spellEnd"/>
      <w:r>
        <w:rPr>
          <w:szCs w:val="22"/>
        </w:rPr>
        <w:t xml:space="preserve"> původu. Byla prokázána účinnost zejména proti následujícím mikroorganizmům: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jc w:val="both"/>
        <w:rPr>
          <w:i/>
          <w:szCs w:val="22"/>
        </w:rPr>
      </w:pPr>
      <w:r>
        <w:rPr>
          <w:szCs w:val="22"/>
        </w:rPr>
        <w:t xml:space="preserve">Prasata: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hyopneumoniae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Pasteurella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multocida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>a</w:t>
      </w:r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Actinobacillus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pleuropneumoniae</w:t>
      </w:r>
      <w:proofErr w:type="spellEnd"/>
      <w:r>
        <w:rPr>
          <w:i/>
          <w:szCs w:val="22"/>
        </w:rPr>
        <w:t xml:space="preserve"> </w:t>
      </w:r>
    </w:p>
    <w:p w:rsidR="00600B9D" w:rsidRDefault="00600B9D" w:rsidP="00600B9D">
      <w:pPr>
        <w:jc w:val="both"/>
        <w:rPr>
          <w:i/>
          <w:szCs w:val="22"/>
        </w:rPr>
      </w:pPr>
      <w:r>
        <w:rPr>
          <w:szCs w:val="22"/>
        </w:rPr>
        <w:t>Kur domácí a krůty:</w:t>
      </w:r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gallisepticum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>a</w:t>
      </w:r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synoviae</w:t>
      </w:r>
      <w:proofErr w:type="spellEnd"/>
    </w:p>
    <w:p w:rsidR="00600B9D" w:rsidRDefault="00600B9D" w:rsidP="00600B9D">
      <w:pPr>
        <w:jc w:val="both"/>
        <w:rPr>
          <w:i/>
          <w:szCs w:val="22"/>
        </w:rPr>
      </w:pPr>
      <w:r>
        <w:rPr>
          <w:szCs w:val="22"/>
        </w:rPr>
        <w:t>Telata:</w:t>
      </w:r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Mannheimia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haemolytica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Pasteurella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multocida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bovis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>a</w:t>
      </w:r>
      <w:r>
        <w:rPr>
          <w:i/>
          <w:szCs w:val="22"/>
        </w:rPr>
        <w:t xml:space="preserve"> M. </w:t>
      </w:r>
      <w:proofErr w:type="spellStart"/>
      <w:r>
        <w:rPr>
          <w:i/>
          <w:szCs w:val="22"/>
        </w:rPr>
        <w:t>dispar</w:t>
      </w:r>
      <w:proofErr w:type="spellEnd"/>
    </w:p>
    <w:p w:rsidR="00600B9D" w:rsidRDefault="00600B9D" w:rsidP="00600B9D">
      <w:pPr>
        <w:ind w:left="426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Vědecké poznatky ukazují, že </w:t>
      </w:r>
      <w:proofErr w:type="spellStart"/>
      <w:r>
        <w:rPr>
          <w:szCs w:val="22"/>
        </w:rPr>
        <w:t>makrolidy</w:t>
      </w:r>
      <w:proofErr w:type="spellEnd"/>
      <w:r>
        <w:rPr>
          <w:szCs w:val="22"/>
        </w:rPr>
        <w:t xml:space="preserve"> působí synergicky s imunitním systémem hostitele. Zdá se, že </w:t>
      </w:r>
      <w:proofErr w:type="spellStart"/>
      <w:r>
        <w:rPr>
          <w:szCs w:val="22"/>
        </w:rPr>
        <w:t>makrolidy</w:t>
      </w:r>
      <w:proofErr w:type="spellEnd"/>
      <w:r>
        <w:rPr>
          <w:szCs w:val="22"/>
        </w:rPr>
        <w:t xml:space="preserve"> podporují usmrcování bakterií fagocyty. Bylo prokázáno, že </w:t>
      </w:r>
      <w:proofErr w:type="spellStart"/>
      <w:r>
        <w:rPr>
          <w:szCs w:val="22"/>
        </w:rPr>
        <w:t>tilmikosin</w:t>
      </w:r>
      <w:proofErr w:type="spellEnd"/>
      <w:r>
        <w:rPr>
          <w:szCs w:val="22"/>
        </w:rPr>
        <w:t xml:space="preserve"> </w:t>
      </w:r>
      <w:r>
        <w:rPr>
          <w:i/>
          <w:szCs w:val="22"/>
        </w:rPr>
        <w:t>in vitro</w:t>
      </w:r>
      <w:r>
        <w:rPr>
          <w:szCs w:val="22"/>
        </w:rPr>
        <w:t xml:space="preserve"> inhibuje replikaci viru </w:t>
      </w:r>
      <w:proofErr w:type="spellStart"/>
      <w:r>
        <w:rPr>
          <w:szCs w:val="22"/>
        </w:rPr>
        <w:t>porcinního</w:t>
      </w:r>
      <w:proofErr w:type="spellEnd"/>
      <w:r>
        <w:rPr>
          <w:szCs w:val="22"/>
        </w:rPr>
        <w:t xml:space="preserve"> respiračního a reprodukčního syndromu v alveolárních makrofázích, a to v závislosti na dávkování.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Byla prokázána zkřížená rezistence mezi </w:t>
      </w:r>
      <w:proofErr w:type="spellStart"/>
      <w:r>
        <w:rPr>
          <w:szCs w:val="22"/>
        </w:rPr>
        <w:t>tilmikosinem</w:t>
      </w:r>
      <w:proofErr w:type="spellEnd"/>
      <w:r>
        <w:rPr>
          <w:szCs w:val="22"/>
        </w:rPr>
        <w:t xml:space="preserve"> a jinými </w:t>
      </w:r>
      <w:proofErr w:type="spellStart"/>
      <w:r>
        <w:rPr>
          <w:szCs w:val="22"/>
        </w:rPr>
        <w:t>makrolidy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linkomycinem</w:t>
      </w:r>
      <w:proofErr w:type="spellEnd"/>
      <w:r>
        <w:rPr>
          <w:szCs w:val="22"/>
        </w:rPr>
        <w:t>.</w:t>
      </w:r>
    </w:p>
    <w:p w:rsidR="00600B9D" w:rsidRDefault="00600B9D" w:rsidP="00600B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629"/>
        <w:gridCol w:w="2116"/>
        <w:gridCol w:w="1906"/>
      </w:tblGrid>
      <w:tr w:rsidR="00600B9D" w:rsidTr="001165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t>CLSI breakpointy pro tilmikosin*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rezistentní</w:t>
            </w:r>
          </w:p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  <w:rPr>
                <w:b/>
              </w:rPr>
            </w:pPr>
            <w:r>
              <w:rPr>
                <w:b/>
                <w:noProof/>
              </w:rPr>
              <w:t>intermediární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  <w:rPr>
                <w:b/>
              </w:rPr>
            </w:pPr>
            <w:r>
              <w:rPr>
                <w:b/>
                <w:noProof/>
              </w:rPr>
              <w:t>citlivý</w:t>
            </w:r>
          </w:p>
        </w:tc>
      </w:tr>
      <w:tr w:rsidR="00600B9D" w:rsidTr="001165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  <w:rPr>
                <w:noProof/>
              </w:rPr>
            </w:pPr>
            <w:r>
              <w:rPr>
                <w:i/>
                <w:noProof/>
              </w:rPr>
              <w:t>Pasteurella multocida</w:t>
            </w:r>
          </w:p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</w:pPr>
            <w:r>
              <w:rPr>
                <w:noProof/>
              </w:rPr>
              <w:t>(izoláty z prasat)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</w:pPr>
            <w:r>
              <w:rPr>
                <w:noProof/>
              </w:rPr>
              <w:t>≥32</w:t>
            </w:r>
            <w:r>
              <w:rPr>
                <w:szCs w:val="22"/>
              </w:rPr>
              <w:t xml:space="preserve"> µg/</w:t>
            </w:r>
            <w:r>
              <w:rPr>
                <w:noProof/>
                <w:szCs w:val="22"/>
              </w:rPr>
              <w:t>ml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</w:pPr>
            <w:r>
              <w:rPr>
                <w:noProof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</w:pPr>
            <w:r>
              <w:rPr>
                <w:noProof/>
              </w:rPr>
              <w:t>≤16</w:t>
            </w:r>
            <w:r>
              <w:rPr>
                <w:szCs w:val="22"/>
              </w:rPr>
              <w:t xml:space="preserve"> µg/</w:t>
            </w:r>
            <w:r>
              <w:rPr>
                <w:noProof/>
                <w:szCs w:val="22"/>
              </w:rPr>
              <w:t>ml</w:t>
            </w:r>
          </w:p>
        </w:tc>
      </w:tr>
      <w:tr w:rsidR="00600B9D" w:rsidTr="0011652B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</w:pPr>
            <w:r>
              <w:rPr>
                <w:i/>
                <w:noProof/>
              </w:rPr>
              <w:t>Actinobacillus pleuropneumoniae</w:t>
            </w:r>
            <w:r>
              <w:rPr>
                <w:noProof/>
              </w:rPr>
              <w:t xml:space="preserve"> (izoláty z prasat)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</w:pPr>
            <w:r>
              <w:rPr>
                <w:noProof/>
              </w:rPr>
              <w:t>≥32</w:t>
            </w:r>
            <w:r>
              <w:rPr>
                <w:szCs w:val="22"/>
              </w:rPr>
              <w:t xml:space="preserve"> µg/</w:t>
            </w:r>
            <w:r>
              <w:rPr>
                <w:noProof/>
                <w:szCs w:val="22"/>
              </w:rPr>
              <w:t>ml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</w:pPr>
            <w:r>
              <w:rPr>
                <w:noProof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D" w:rsidRDefault="00600B9D" w:rsidP="0011652B">
            <w:pPr>
              <w:tabs>
                <w:tab w:val="left" w:pos="567"/>
              </w:tabs>
              <w:spacing w:line="260" w:lineRule="exact"/>
              <w:jc w:val="center"/>
            </w:pPr>
            <w:r>
              <w:rPr>
                <w:noProof/>
              </w:rPr>
              <w:t>≤16</w:t>
            </w:r>
            <w:r>
              <w:rPr>
                <w:szCs w:val="22"/>
              </w:rPr>
              <w:t xml:space="preserve"> µg/</w:t>
            </w:r>
            <w:r>
              <w:rPr>
                <w:noProof/>
                <w:szCs w:val="22"/>
              </w:rPr>
              <w:t>ml</w:t>
            </w:r>
          </w:p>
        </w:tc>
      </w:tr>
    </w:tbl>
    <w:p w:rsidR="00600B9D" w:rsidRDefault="00600B9D" w:rsidP="00600B9D">
      <w:r>
        <w:t xml:space="preserve">* VET08, 4th </w:t>
      </w:r>
      <w:proofErr w:type="spellStart"/>
      <w:r>
        <w:t>ed</w:t>
      </w:r>
      <w:proofErr w:type="spellEnd"/>
      <w:r>
        <w:t>. June 2018</w:t>
      </w:r>
    </w:p>
    <w:p w:rsidR="00600B9D" w:rsidRDefault="00600B9D" w:rsidP="00600B9D"/>
    <w:p w:rsidR="00600B9D" w:rsidRDefault="00600B9D" w:rsidP="00600B9D">
      <w:pPr>
        <w:ind w:left="0" w:firstLine="0"/>
        <w:jc w:val="both"/>
      </w:pPr>
      <w:r>
        <w:rPr>
          <w:b/>
        </w:rPr>
        <w:t>5.2</w:t>
      </w:r>
      <w:r>
        <w:rPr>
          <w:b/>
        </w:rPr>
        <w:tab/>
        <w:t>Farmakokinetické údaje</w:t>
      </w:r>
    </w:p>
    <w:p w:rsidR="00600B9D" w:rsidRDefault="00600B9D" w:rsidP="00600B9D">
      <w:pPr>
        <w:ind w:left="0" w:firstLine="0"/>
        <w:jc w:val="both"/>
        <w:rPr>
          <w:szCs w:val="22"/>
          <w:lang w:val="hu-HU" w:eastAsia="hu-HU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I když jsou koncentrace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v krvi nízké, ve tkáních postižených zánětem dochází k nahromadění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v makrofázích v závislosti na pH.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Prasata</w:t>
      </w:r>
      <w:r>
        <w:rPr>
          <w:szCs w:val="22"/>
        </w:rPr>
        <w:t xml:space="preserve">: Po perorálním podání 200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/ litr pitné vody byly průměrné koncentrace léčivé látky zjištěné v plicní tkáni, v alveolárních makrofázích a v průduškovém epitelu 5 dnů po začátku léčby 1,44 µg/ml, 3,8 µg/ml a 7,4 µg/g.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Drůbež</w:t>
      </w:r>
      <w:r>
        <w:rPr>
          <w:szCs w:val="22"/>
        </w:rPr>
        <w:t xml:space="preserve">: Již 6 hodin po perorálním podání 75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/ litr pitné vody byly průměrné koncentrace léčivé látky zjištěné v plicních a v alveolárních tkáních 0,63 µg/g a 0,30 µg/g. 48 hodin po zahájení léčby byly koncentrace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v plicních a alveolárních tkáních 2,3 µg/g a 3,29 µg/g.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Telata</w:t>
      </w:r>
      <w:r>
        <w:rPr>
          <w:szCs w:val="22"/>
        </w:rPr>
        <w:t xml:space="preserve">: Již 6 hodin po perorálním podání 25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/kg živé hmotnosti/den v mléčné náhražce byla v plicní tkáni zjištěna průměrná koncentrace léčivé látky 3,1 µg/g. 78 hodin po zahájení léčby byla koncentrace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v plicní tkáni 42,7 µg/g. Terapeuticky účinné koncentrace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byly měřeny až do 60 hodin po ukončení léčby.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  <w:u w:val="single"/>
        </w:rPr>
        <w:t>Krůty:</w:t>
      </w:r>
      <w:r>
        <w:rPr>
          <w:szCs w:val="22"/>
        </w:rPr>
        <w:t xml:space="preserve"> Po perorálním podání 75 mg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/ litr pitné vody byly průměrné koncentrace léčivé látky zjištěné v plicní tkáni a v tkáni plicních vaků a v plazmě 5 dnů po zahájení léčby </w:t>
      </w:r>
    </w:p>
    <w:p w:rsidR="00600B9D" w:rsidRDefault="00600B9D" w:rsidP="00600B9D">
      <w:pPr>
        <w:ind w:left="0" w:firstLine="0"/>
        <w:jc w:val="both"/>
        <w:rPr>
          <w:szCs w:val="22"/>
        </w:rPr>
      </w:pPr>
      <w:r>
        <w:rPr>
          <w:szCs w:val="22"/>
        </w:rPr>
        <w:t xml:space="preserve">1,89 µg/g a 3,71 µg/g a 0,02 µg/g. Nejvyšší zaznamenaná průměrná koncentrace </w:t>
      </w:r>
      <w:proofErr w:type="spellStart"/>
      <w:r>
        <w:rPr>
          <w:szCs w:val="22"/>
        </w:rPr>
        <w:t>tilmikosinu</w:t>
      </w:r>
      <w:proofErr w:type="spellEnd"/>
      <w:r>
        <w:rPr>
          <w:szCs w:val="22"/>
        </w:rPr>
        <w:t xml:space="preserve"> byla v plicní tkáni 2,19 µg/g po 6 dnech; pro tkáň vzdušných vaků to bylo 4,18 µg/g po dvou dnech a v plazmě to bylo 0,172 µg/g po třech dnech.</w:t>
      </w:r>
    </w:p>
    <w:p w:rsidR="00600B9D" w:rsidRDefault="00600B9D" w:rsidP="00600B9D">
      <w:pPr>
        <w:ind w:left="0" w:firstLine="0"/>
        <w:jc w:val="both"/>
        <w:rPr>
          <w:szCs w:val="22"/>
        </w:rPr>
      </w:pPr>
    </w:p>
    <w:p w:rsidR="00600B9D" w:rsidRDefault="00600B9D" w:rsidP="00600B9D">
      <w:pPr>
        <w:keepNext/>
        <w:jc w:val="both"/>
        <w:rPr>
          <w:b/>
        </w:rPr>
      </w:pPr>
      <w:r>
        <w:rPr>
          <w:b/>
        </w:rPr>
        <w:t>Environmentální vlastnosti</w:t>
      </w:r>
    </w:p>
    <w:p w:rsidR="00600B9D" w:rsidRDefault="00600B9D" w:rsidP="00600B9D">
      <w:pPr>
        <w:keepNext/>
        <w:jc w:val="both"/>
        <w:rPr>
          <w:b/>
        </w:rPr>
      </w:pPr>
    </w:p>
    <w:p w:rsidR="00600B9D" w:rsidRDefault="00600B9D" w:rsidP="00600B9D">
      <w:pPr>
        <w:ind w:left="0" w:firstLine="0"/>
        <w:jc w:val="both"/>
        <w:rPr>
          <w:b/>
        </w:rPr>
      </w:pPr>
      <w:r>
        <w:t xml:space="preserve">Léčivá látka </w:t>
      </w:r>
      <w:proofErr w:type="spellStart"/>
      <w:r>
        <w:t>tilmikosin</w:t>
      </w:r>
      <w:proofErr w:type="spellEnd"/>
      <w:r>
        <w:t xml:space="preserve"> je perzistentní v půdě. </w:t>
      </w:r>
      <w:proofErr w:type="spellStart"/>
      <w:r>
        <w:t>Tilmikosin</w:t>
      </w:r>
      <w:proofErr w:type="spellEnd"/>
      <w:r>
        <w:t xml:space="preserve"> je toxický pro vodní organismy včetně sinic s možnými dlouhodobými účinky.</w:t>
      </w:r>
    </w:p>
    <w:p w:rsidR="00600B9D" w:rsidRDefault="00600B9D" w:rsidP="00600B9D">
      <w:pPr>
        <w:ind w:left="0" w:firstLine="0"/>
        <w:jc w:val="both"/>
      </w:pPr>
    </w:p>
    <w:p w:rsidR="00600B9D" w:rsidRDefault="00600B9D" w:rsidP="00600B9D">
      <w:pPr>
        <w:ind w:left="0" w:firstLine="0"/>
        <w:jc w:val="both"/>
      </w:pPr>
    </w:p>
    <w:p w:rsidR="00600B9D" w:rsidRDefault="00600B9D" w:rsidP="00600B9D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FARMACEUTICKÉ ÚDAJE</w:t>
      </w:r>
    </w:p>
    <w:p w:rsidR="00600B9D" w:rsidRDefault="00600B9D" w:rsidP="00600B9D">
      <w:pPr>
        <w:jc w:val="both"/>
        <w:rPr>
          <w:b/>
        </w:rPr>
      </w:pPr>
    </w:p>
    <w:p w:rsidR="00600B9D" w:rsidRDefault="00600B9D" w:rsidP="00600B9D">
      <w:pPr>
        <w:jc w:val="both"/>
        <w:rPr>
          <w:b/>
        </w:rPr>
      </w:pPr>
      <w:r>
        <w:rPr>
          <w:b/>
        </w:rPr>
        <w:t>6.1</w:t>
      </w:r>
      <w:r>
        <w:rPr>
          <w:b/>
        </w:rPr>
        <w:tab/>
        <w:t>Seznam pomocných látek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jc w:val="both"/>
        <w:rPr>
          <w:szCs w:val="22"/>
        </w:rPr>
      </w:pPr>
      <w:proofErr w:type="spellStart"/>
      <w:r>
        <w:rPr>
          <w:szCs w:val="22"/>
        </w:rPr>
        <w:t>Dihydrát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dinatrium-edetátu</w:t>
      </w:r>
      <w:proofErr w:type="spellEnd"/>
      <w:r>
        <w:rPr>
          <w:szCs w:val="22"/>
        </w:rPr>
        <w:t xml:space="preserve"> 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Propyl-</w:t>
      </w:r>
      <w:proofErr w:type="spellStart"/>
      <w:r>
        <w:rPr>
          <w:szCs w:val="22"/>
        </w:rPr>
        <w:t>gallát</w:t>
      </w:r>
      <w:proofErr w:type="spellEnd"/>
      <w:r>
        <w:rPr>
          <w:szCs w:val="22"/>
        </w:rPr>
        <w:t xml:space="preserve"> (E310)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Kyselina fosforečná (pro úpravu pH)</w:t>
      </w: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Čištěná voda</w:t>
      </w:r>
    </w:p>
    <w:p w:rsidR="00600B9D" w:rsidRDefault="00600B9D" w:rsidP="00600B9D">
      <w:pPr>
        <w:jc w:val="both"/>
        <w:rPr>
          <w:b/>
        </w:rPr>
      </w:pPr>
    </w:p>
    <w:p w:rsidR="00600B9D" w:rsidRDefault="00600B9D" w:rsidP="00600B9D">
      <w:pPr>
        <w:jc w:val="both"/>
      </w:pPr>
      <w:r>
        <w:rPr>
          <w:b/>
        </w:rPr>
        <w:t>6.2</w:t>
      </w:r>
      <w:r>
        <w:rPr>
          <w:b/>
        </w:rPr>
        <w:tab/>
        <w:t>Hlavní inkompatibility</w:t>
      </w:r>
    </w:p>
    <w:p w:rsidR="00600B9D" w:rsidRDefault="00600B9D" w:rsidP="00600B9D">
      <w:pPr>
        <w:jc w:val="both"/>
      </w:pPr>
    </w:p>
    <w:p w:rsidR="00600B9D" w:rsidRDefault="00600B9D" w:rsidP="00600B9D">
      <w:pPr>
        <w:ind w:left="0" w:firstLine="0"/>
        <w:jc w:val="both"/>
        <w:rPr>
          <w:szCs w:val="22"/>
          <w:lang w:val="hu-HU" w:eastAsia="hu-HU"/>
        </w:rPr>
      </w:pPr>
      <w:r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:rsidR="00600B9D" w:rsidRDefault="00600B9D" w:rsidP="00600B9D">
      <w:pPr>
        <w:jc w:val="both"/>
      </w:pPr>
    </w:p>
    <w:p w:rsidR="00600B9D" w:rsidRDefault="00600B9D" w:rsidP="00600B9D">
      <w:pPr>
        <w:keepNext/>
        <w:jc w:val="both"/>
      </w:pPr>
      <w:r>
        <w:rPr>
          <w:b/>
        </w:rPr>
        <w:t>6.3</w:t>
      </w:r>
      <w:r>
        <w:rPr>
          <w:b/>
        </w:rPr>
        <w:tab/>
        <w:t>Doba použitelnosti</w:t>
      </w:r>
    </w:p>
    <w:p w:rsidR="00600B9D" w:rsidRDefault="00600B9D" w:rsidP="00600B9D">
      <w:pPr>
        <w:keepNext/>
        <w:ind w:right="-318"/>
        <w:jc w:val="both"/>
        <w:rPr>
          <w:szCs w:val="22"/>
          <w:lang w:val="hu-HU" w:eastAsia="hu-HU"/>
        </w:rPr>
      </w:pPr>
    </w:p>
    <w:p w:rsidR="00600B9D" w:rsidRDefault="00600B9D" w:rsidP="00600B9D">
      <w:pPr>
        <w:ind w:right="-318"/>
        <w:jc w:val="both"/>
        <w:rPr>
          <w:szCs w:val="22"/>
        </w:rPr>
      </w:pPr>
      <w:r>
        <w:rPr>
          <w:szCs w:val="22"/>
        </w:rPr>
        <w:t xml:space="preserve">Doba použitelnosti veterinárního léčivého přípravku v neporušeném obalu: 2 roky </w:t>
      </w:r>
    </w:p>
    <w:p w:rsidR="00600B9D" w:rsidRDefault="00600B9D" w:rsidP="00600B9D">
      <w:pPr>
        <w:ind w:right="-318"/>
        <w:jc w:val="both"/>
        <w:rPr>
          <w:szCs w:val="22"/>
        </w:rPr>
      </w:pPr>
      <w:r>
        <w:rPr>
          <w:szCs w:val="22"/>
        </w:rPr>
        <w:t>Doba použitelnosti po prvním otevření vnitřního obalu: 3 měsíce</w:t>
      </w:r>
    </w:p>
    <w:p w:rsidR="00600B9D" w:rsidRDefault="00600B9D" w:rsidP="00600B9D">
      <w:pPr>
        <w:ind w:right="-318"/>
        <w:jc w:val="both"/>
        <w:rPr>
          <w:szCs w:val="22"/>
        </w:rPr>
      </w:pPr>
      <w:r>
        <w:rPr>
          <w:szCs w:val="22"/>
        </w:rPr>
        <w:lastRenderedPageBreak/>
        <w:t>Doba použitelnosti po rozpuštění nebo rekonstituci v pitné vodě podle návodu: 24 hodin</w:t>
      </w:r>
    </w:p>
    <w:p w:rsidR="00600B9D" w:rsidRDefault="00600B9D" w:rsidP="00600B9D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>Doba použitelnosti po rekonstituci v mléčné náhražce: 6 hodin</w:t>
      </w:r>
    </w:p>
    <w:p w:rsidR="00600B9D" w:rsidRDefault="00600B9D" w:rsidP="00600B9D">
      <w:pPr>
        <w:ind w:right="-318"/>
        <w:jc w:val="both"/>
        <w:rPr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6.4</w:t>
      </w:r>
      <w:r>
        <w:rPr>
          <w:b/>
        </w:rPr>
        <w:tab/>
        <w:t>Zvláštní opatření pro uchovávání</w:t>
      </w:r>
    </w:p>
    <w:p w:rsidR="00600B9D" w:rsidRDefault="00600B9D" w:rsidP="00600B9D">
      <w:pPr>
        <w:ind w:right="-318"/>
        <w:jc w:val="both"/>
        <w:rPr>
          <w:szCs w:val="22"/>
          <w:lang w:val="hu-HU" w:eastAsia="hu-HU"/>
        </w:rPr>
      </w:pPr>
    </w:p>
    <w:p w:rsidR="00600B9D" w:rsidRDefault="00600B9D" w:rsidP="00600B9D">
      <w:pPr>
        <w:ind w:left="0" w:right="-318" w:firstLine="0"/>
        <w:jc w:val="both"/>
        <w:rPr>
          <w:szCs w:val="22"/>
        </w:rPr>
      </w:pPr>
      <w:r>
        <w:rPr>
          <w:szCs w:val="22"/>
        </w:rPr>
        <w:t>Uchovávejte při teplotě do 25 °C.</w:t>
      </w:r>
    </w:p>
    <w:p w:rsidR="00600B9D" w:rsidRDefault="00600B9D" w:rsidP="00600B9D">
      <w:pPr>
        <w:ind w:left="0" w:right="-318" w:firstLine="0"/>
        <w:jc w:val="both"/>
        <w:rPr>
          <w:iCs/>
          <w:szCs w:val="22"/>
        </w:rPr>
      </w:pPr>
      <w:r>
        <w:rPr>
          <w:iCs/>
          <w:szCs w:val="22"/>
        </w:rPr>
        <w:t>Uchovávejte v původním obalu</w:t>
      </w:r>
      <w:r>
        <w:rPr>
          <w:szCs w:val="22"/>
        </w:rPr>
        <w:t xml:space="preserve">, </w:t>
      </w:r>
      <w:r>
        <w:rPr>
          <w:iCs/>
          <w:szCs w:val="22"/>
        </w:rPr>
        <w:t>aby byl</w:t>
      </w:r>
      <w:r>
        <w:rPr>
          <w:szCs w:val="22"/>
        </w:rPr>
        <w:t xml:space="preserve"> přípravek </w:t>
      </w:r>
      <w:r>
        <w:rPr>
          <w:iCs/>
          <w:szCs w:val="22"/>
        </w:rPr>
        <w:t>chráněn před světlem</w:t>
      </w:r>
      <w:r>
        <w:rPr>
          <w:szCs w:val="22"/>
        </w:rPr>
        <w:t>.</w:t>
      </w:r>
      <w:r>
        <w:rPr>
          <w:iCs/>
          <w:szCs w:val="22"/>
        </w:rPr>
        <w:t xml:space="preserve"> </w:t>
      </w:r>
    </w:p>
    <w:p w:rsidR="00600B9D" w:rsidRDefault="00600B9D" w:rsidP="00600B9D">
      <w:pPr>
        <w:ind w:left="0" w:right="-318" w:firstLine="0"/>
        <w:jc w:val="both"/>
        <w:rPr>
          <w:szCs w:val="22"/>
        </w:rPr>
      </w:pPr>
      <w:r>
        <w:rPr>
          <w:iCs/>
          <w:szCs w:val="22"/>
        </w:rPr>
        <w:t>Chraňte před mrazem</w:t>
      </w:r>
      <w:r>
        <w:rPr>
          <w:szCs w:val="22"/>
        </w:rPr>
        <w:t>.</w:t>
      </w:r>
    </w:p>
    <w:p w:rsidR="00600B9D" w:rsidRDefault="00600B9D" w:rsidP="00600B9D">
      <w:pPr>
        <w:ind w:right="-318"/>
        <w:jc w:val="both"/>
        <w:rPr>
          <w:szCs w:val="22"/>
        </w:rPr>
      </w:pPr>
    </w:p>
    <w:p w:rsidR="00600B9D" w:rsidRDefault="00600B9D" w:rsidP="00600B9D">
      <w:pPr>
        <w:jc w:val="both"/>
      </w:pPr>
      <w:r>
        <w:rPr>
          <w:b/>
        </w:rPr>
        <w:t>6.5</w:t>
      </w:r>
      <w:r>
        <w:rPr>
          <w:b/>
        </w:rPr>
        <w:tab/>
        <w:t>Druh a složení vnitřního obalu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ind w:left="0" w:firstLine="0"/>
        <w:jc w:val="both"/>
      </w:pPr>
      <w:r>
        <w:rPr>
          <w:rStyle w:val="hps"/>
        </w:rPr>
        <w:t>250 ml</w:t>
      </w:r>
      <w:r>
        <w:t xml:space="preserve"> </w:t>
      </w:r>
      <w:r>
        <w:rPr>
          <w:rStyle w:val="hps"/>
        </w:rPr>
        <w:t>v</w:t>
      </w:r>
      <w:r>
        <w:t xml:space="preserve"> </w:t>
      </w:r>
      <w:r>
        <w:rPr>
          <w:rStyle w:val="hps"/>
        </w:rPr>
        <w:t>bílé</w:t>
      </w:r>
      <w:r>
        <w:t xml:space="preserve"> </w:t>
      </w:r>
      <w:r>
        <w:rPr>
          <w:rStyle w:val="hps"/>
        </w:rPr>
        <w:t>lahvi z </w:t>
      </w:r>
      <w:proofErr w:type="spellStart"/>
      <w:r>
        <w:rPr>
          <w:rStyle w:val="hps"/>
        </w:rPr>
        <w:t>vysokohustotního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polyethylenu</w:t>
      </w:r>
      <w:proofErr w:type="spellEnd"/>
      <w:r>
        <w:rPr>
          <w:rStyle w:val="hps"/>
        </w:rPr>
        <w:t xml:space="preserve"> s polypropylenovým šroubovacím</w:t>
      </w:r>
      <w:r>
        <w:t xml:space="preserve"> </w:t>
      </w:r>
      <w:r>
        <w:rPr>
          <w:rStyle w:val="hps"/>
        </w:rPr>
        <w:t>uzávěrem</w:t>
      </w:r>
      <w:r w:rsidR="00DB64E3">
        <w:rPr>
          <w:rStyle w:val="hps"/>
        </w:rPr>
        <w:t xml:space="preserve"> nebo polyethylenovým šroubovacím uzávěrem s EPE PET vložkou</w:t>
      </w:r>
      <w:r>
        <w:rPr>
          <w:rStyle w:val="hps"/>
        </w:rPr>
        <w:t>.</w:t>
      </w:r>
    </w:p>
    <w:p w:rsidR="00600B9D" w:rsidRDefault="00600B9D" w:rsidP="00600B9D">
      <w:pPr>
        <w:ind w:left="0" w:firstLine="0"/>
        <w:jc w:val="both"/>
        <w:rPr>
          <w:rStyle w:val="hps"/>
        </w:rPr>
      </w:pPr>
      <w:r>
        <w:rPr>
          <w:rStyle w:val="hps"/>
        </w:rPr>
        <w:t>1000 ml</w:t>
      </w:r>
      <w:r>
        <w:t xml:space="preserve"> </w:t>
      </w:r>
      <w:r>
        <w:rPr>
          <w:rStyle w:val="hps"/>
        </w:rPr>
        <w:t>v</w:t>
      </w:r>
      <w:r>
        <w:t xml:space="preserve"> </w:t>
      </w:r>
      <w:r>
        <w:rPr>
          <w:rStyle w:val="hps"/>
        </w:rPr>
        <w:t>bílé</w:t>
      </w:r>
      <w:r>
        <w:t xml:space="preserve"> </w:t>
      </w:r>
      <w:r>
        <w:rPr>
          <w:rStyle w:val="hps"/>
        </w:rPr>
        <w:t>lahvi z </w:t>
      </w:r>
      <w:proofErr w:type="spellStart"/>
      <w:r>
        <w:rPr>
          <w:rStyle w:val="hps"/>
        </w:rPr>
        <w:t>vysokohustotního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polyethylenu</w:t>
      </w:r>
      <w:proofErr w:type="spellEnd"/>
      <w:r>
        <w:rPr>
          <w:rStyle w:val="hps"/>
        </w:rPr>
        <w:t xml:space="preserve"> s polypropylenovým šroubovacím</w:t>
      </w:r>
      <w:r>
        <w:t xml:space="preserve"> </w:t>
      </w:r>
      <w:r>
        <w:rPr>
          <w:rStyle w:val="hps"/>
        </w:rPr>
        <w:t xml:space="preserve">uzávěrem </w:t>
      </w:r>
      <w:r w:rsidR="00DB64E3">
        <w:rPr>
          <w:rStyle w:val="hps"/>
        </w:rPr>
        <w:t xml:space="preserve">nebo polyethylenovým šroubovacím uzávěrem s EPE PET vložkou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kalibrovanou</w:t>
      </w:r>
      <w:r>
        <w:t xml:space="preserve"> </w:t>
      </w:r>
      <w:r>
        <w:rPr>
          <w:rStyle w:val="hps"/>
        </w:rPr>
        <w:t>polypropylenovou</w:t>
      </w:r>
      <w:r>
        <w:t xml:space="preserve"> </w:t>
      </w:r>
      <w:r>
        <w:rPr>
          <w:rStyle w:val="hps"/>
        </w:rPr>
        <w:t>odměrkou.</w:t>
      </w:r>
    </w:p>
    <w:p w:rsidR="00600B9D" w:rsidRDefault="00600B9D" w:rsidP="00600B9D">
      <w:pPr>
        <w:ind w:left="0" w:firstLine="0"/>
        <w:jc w:val="both"/>
        <w:rPr>
          <w:rStyle w:val="hps"/>
        </w:rPr>
      </w:pPr>
    </w:p>
    <w:p w:rsidR="00600B9D" w:rsidRDefault="00600B9D" w:rsidP="00600B9D">
      <w:pPr>
        <w:jc w:val="both"/>
        <w:rPr>
          <w:szCs w:val="22"/>
        </w:rPr>
      </w:pPr>
      <w:r>
        <w:rPr>
          <w:szCs w:val="22"/>
        </w:rPr>
        <w:t>Na trhu nemusí být všechny velikosti balení.</w:t>
      </w:r>
    </w:p>
    <w:p w:rsidR="00600B9D" w:rsidRDefault="00600B9D" w:rsidP="00600B9D">
      <w:pPr>
        <w:ind w:right="-318"/>
        <w:jc w:val="both"/>
        <w:rPr>
          <w:szCs w:val="22"/>
        </w:rPr>
      </w:pPr>
    </w:p>
    <w:p w:rsidR="00600B9D" w:rsidRDefault="00600B9D" w:rsidP="00600B9D">
      <w:pPr>
        <w:keepNext/>
        <w:jc w:val="both"/>
      </w:pPr>
      <w:r>
        <w:rPr>
          <w:b/>
        </w:rPr>
        <w:t>6.6</w:t>
      </w:r>
      <w:r>
        <w:tab/>
      </w:r>
      <w:r>
        <w:rPr>
          <w:b/>
        </w:rPr>
        <w:t xml:space="preserve">Zvláštní opatření pro zneškodňování nepoužitého veterinárního léčivého přípravku nebo odpadu, který pochází z tohoto přípravku </w:t>
      </w:r>
    </w:p>
    <w:p w:rsidR="00600B9D" w:rsidRDefault="00600B9D" w:rsidP="00600B9D">
      <w:pPr>
        <w:keepNext/>
        <w:ind w:right="-318"/>
        <w:jc w:val="both"/>
      </w:pPr>
    </w:p>
    <w:p w:rsidR="00600B9D" w:rsidRDefault="00600B9D" w:rsidP="00600B9D">
      <w:pPr>
        <w:ind w:left="0" w:right="-318" w:firstLine="0"/>
        <w:jc w:val="both"/>
        <w:rPr>
          <w:szCs w:val="22"/>
        </w:rPr>
      </w:pPr>
      <w:r>
        <w:rPr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600B9D" w:rsidRDefault="00600B9D" w:rsidP="00600B9D">
      <w:pPr>
        <w:ind w:right="-318"/>
        <w:jc w:val="both"/>
        <w:rPr>
          <w:szCs w:val="22"/>
        </w:rPr>
      </w:pPr>
    </w:p>
    <w:p w:rsidR="00600B9D" w:rsidRDefault="00600B9D" w:rsidP="00600B9D">
      <w:pPr>
        <w:ind w:right="-318"/>
        <w:jc w:val="both"/>
      </w:pPr>
    </w:p>
    <w:p w:rsidR="00600B9D" w:rsidRDefault="00600B9D" w:rsidP="00600B9D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 xml:space="preserve">DRŽITEL ROZHODNUTÍ O REGISTRACI </w:t>
      </w:r>
    </w:p>
    <w:p w:rsidR="00600B9D" w:rsidRDefault="00600B9D" w:rsidP="00600B9D">
      <w:pPr>
        <w:jc w:val="both"/>
        <w:rPr>
          <w:szCs w:val="22"/>
          <w:lang w:val="hu-HU" w:eastAsia="hu-HU"/>
        </w:rPr>
      </w:pPr>
    </w:p>
    <w:p w:rsidR="00600B9D" w:rsidRDefault="00600B9D" w:rsidP="00600B9D">
      <w:pPr>
        <w:jc w:val="both"/>
        <w:rPr>
          <w:bCs/>
          <w:szCs w:val="22"/>
          <w:lang w:val="es-ES_tradnl"/>
        </w:rPr>
      </w:pPr>
      <w:r>
        <w:rPr>
          <w:bCs/>
          <w:szCs w:val="22"/>
          <w:lang w:val="es-ES_tradnl"/>
        </w:rPr>
        <w:t>Lavet Pharmaceuticals Ltd.</w:t>
      </w:r>
    </w:p>
    <w:p w:rsidR="00600B9D" w:rsidRDefault="00600B9D" w:rsidP="00600B9D">
      <w:pPr>
        <w:jc w:val="both"/>
        <w:rPr>
          <w:bCs/>
          <w:szCs w:val="22"/>
          <w:lang w:val="es-ES_tradnl"/>
        </w:rPr>
      </w:pPr>
      <w:r>
        <w:rPr>
          <w:bCs/>
          <w:szCs w:val="22"/>
          <w:lang w:val="es-ES_tradnl"/>
        </w:rPr>
        <w:t>H-2143 Kistarcsa, Batthyány  u. 6.</w:t>
      </w:r>
    </w:p>
    <w:p w:rsidR="00600B9D" w:rsidRDefault="00600B9D" w:rsidP="00600B9D">
      <w:pPr>
        <w:jc w:val="both"/>
        <w:rPr>
          <w:bCs/>
          <w:szCs w:val="22"/>
          <w:lang w:val="hu-HU"/>
        </w:rPr>
      </w:pPr>
      <w:r>
        <w:rPr>
          <w:bCs/>
          <w:szCs w:val="22"/>
        </w:rPr>
        <w:t>Maďarsko</w:t>
      </w:r>
    </w:p>
    <w:p w:rsidR="00600B9D" w:rsidRDefault="00600B9D" w:rsidP="00600B9D">
      <w:pPr>
        <w:jc w:val="both"/>
        <w:rPr>
          <w:szCs w:val="22"/>
        </w:rPr>
      </w:pPr>
    </w:p>
    <w:p w:rsidR="00600B9D" w:rsidRDefault="00600B9D" w:rsidP="00600B9D">
      <w:pPr>
        <w:ind w:right="-318"/>
        <w:jc w:val="both"/>
      </w:pPr>
    </w:p>
    <w:p w:rsidR="00600B9D" w:rsidRDefault="00600B9D" w:rsidP="00600B9D">
      <w:pPr>
        <w:ind w:right="-318"/>
        <w:jc w:val="both"/>
        <w:rPr>
          <w:b/>
          <w:caps/>
        </w:rPr>
      </w:pPr>
      <w:r>
        <w:rPr>
          <w:b/>
        </w:rPr>
        <w:t>8.</w:t>
      </w:r>
      <w:r>
        <w:tab/>
      </w:r>
      <w:r>
        <w:rPr>
          <w:b/>
          <w:caps/>
        </w:rPr>
        <w:t>Registrační číslo(a)</w:t>
      </w:r>
    </w:p>
    <w:p w:rsidR="00600B9D" w:rsidRDefault="00600B9D" w:rsidP="00600B9D">
      <w:pPr>
        <w:ind w:right="-318"/>
        <w:jc w:val="both"/>
        <w:rPr>
          <w:caps/>
        </w:rPr>
      </w:pPr>
    </w:p>
    <w:p w:rsidR="00600B9D" w:rsidRDefault="00600B9D" w:rsidP="00600B9D">
      <w:pPr>
        <w:ind w:right="-318"/>
        <w:jc w:val="both"/>
        <w:rPr>
          <w:caps/>
          <w:szCs w:val="22"/>
          <w:lang w:val="hu-HU" w:eastAsia="hu-HU"/>
        </w:rPr>
      </w:pPr>
      <w:r>
        <w:rPr>
          <w:caps/>
          <w:szCs w:val="22"/>
        </w:rPr>
        <w:t>96/023/</w:t>
      </w:r>
      <w:proofErr w:type="gramStart"/>
      <w:r>
        <w:rPr>
          <w:caps/>
          <w:szCs w:val="22"/>
        </w:rPr>
        <w:t>11-C</w:t>
      </w:r>
      <w:proofErr w:type="gramEnd"/>
    </w:p>
    <w:p w:rsidR="00600B9D" w:rsidRDefault="00600B9D" w:rsidP="00600B9D">
      <w:pPr>
        <w:ind w:right="-318"/>
        <w:jc w:val="both"/>
        <w:rPr>
          <w:caps/>
        </w:rPr>
      </w:pPr>
    </w:p>
    <w:p w:rsidR="00600B9D" w:rsidRDefault="00600B9D" w:rsidP="00600B9D">
      <w:pPr>
        <w:ind w:right="-318"/>
        <w:jc w:val="both"/>
        <w:rPr>
          <w:caps/>
        </w:rPr>
      </w:pPr>
    </w:p>
    <w:p w:rsidR="00600B9D" w:rsidRDefault="00600B9D" w:rsidP="00600B9D">
      <w:pPr>
        <w:ind w:right="-318"/>
        <w:jc w:val="both"/>
        <w:rPr>
          <w:b/>
          <w:caps/>
        </w:rPr>
      </w:pPr>
      <w:r>
        <w:rPr>
          <w:b/>
          <w:caps/>
        </w:rPr>
        <w:t>9.</w:t>
      </w:r>
      <w:r>
        <w:rPr>
          <w:b/>
          <w:caps/>
        </w:rPr>
        <w:tab/>
        <w:t>Datum registrace/ prodloužení registrace</w:t>
      </w:r>
    </w:p>
    <w:p w:rsidR="00600B9D" w:rsidRDefault="00600B9D" w:rsidP="00600B9D">
      <w:pPr>
        <w:ind w:right="-318"/>
        <w:jc w:val="both"/>
        <w:rPr>
          <w:b/>
          <w:caps/>
        </w:rPr>
      </w:pPr>
    </w:p>
    <w:p w:rsidR="00600B9D" w:rsidRDefault="00600B9D" w:rsidP="00600B9D">
      <w:pPr>
        <w:ind w:right="-318"/>
        <w:jc w:val="both"/>
        <w:rPr>
          <w:szCs w:val="22"/>
          <w:lang w:val="hu-HU" w:eastAsia="hu-HU"/>
        </w:rPr>
      </w:pPr>
      <w:r>
        <w:rPr>
          <w:szCs w:val="22"/>
        </w:rPr>
        <w:t>Datum registrace: 29. 3. 2011</w:t>
      </w:r>
    </w:p>
    <w:p w:rsidR="00600B9D" w:rsidRDefault="00600B9D" w:rsidP="00600B9D">
      <w:pPr>
        <w:ind w:right="-318"/>
        <w:jc w:val="both"/>
      </w:pPr>
      <w:r>
        <w:rPr>
          <w:szCs w:val="22"/>
        </w:rPr>
        <w:t>Datum posledního prodloužení: 24. 9. 2021</w:t>
      </w:r>
    </w:p>
    <w:p w:rsidR="00600B9D" w:rsidRDefault="00600B9D" w:rsidP="00600B9D">
      <w:pPr>
        <w:ind w:right="-318"/>
        <w:jc w:val="both"/>
      </w:pPr>
    </w:p>
    <w:p w:rsidR="00600B9D" w:rsidRDefault="00600B9D" w:rsidP="00600B9D">
      <w:pPr>
        <w:ind w:right="-318"/>
        <w:jc w:val="both"/>
      </w:pPr>
    </w:p>
    <w:p w:rsidR="00600B9D" w:rsidRDefault="00600B9D" w:rsidP="00600B9D">
      <w:pPr>
        <w:ind w:right="-318"/>
        <w:jc w:val="both"/>
        <w:rPr>
          <w:b/>
        </w:rPr>
      </w:pPr>
      <w:r>
        <w:rPr>
          <w:b/>
        </w:rPr>
        <w:t xml:space="preserve">10. </w:t>
      </w:r>
      <w:r>
        <w:rPr>
          <w:b/>
        </w:rPr>
        <w:tab/>
        <w:t>DATUM REVIZE TEXTU</w:t>
      </w:r>
    </w:p>
    <w:p w:rsidR="00600B9D" w:rsidRDefault="00600B9D" w:rsidP="00600B9D">
      <w:pPr>
        <w:ind w:right="-318"/>
        <w:jc w:val="both"/>
      </w:pPr>
    </w:p>
    <w:p w:rsidR="00600B9D" w:rsidRDefault="00A22128" w:rsidP="00600B9D">
      <w:pPr>
        <w:ind w:right="-318"/>
        <w:jc w:val="both"/>
        <w:rPr>
          <w:szCs w:val="22"/>
        </w:rPr>
      </w:pPr>
      <w:proofErr w:type="gramStart"/>
      <w:r>
        <w:rPr>
          <w:szCs w:val="22"/>
        </w:rPr>
        <w:t>Listopad</w:t>
      </w:r>
      <w:proofErr w:type="gramEnd"/>
      <w:r>
        <w:rPr>
          <w:szCs w:val="22"/>
        </w:rPr>
        <w:t xml:space="preserve"> </w:t>
      </w:r>
      <w:r w:rsidR="00600B9D">
        <w:rPr>
          <w:szCs w:val="22"/>
        </w:rPr>
        <w:t>202</w:t>
      </w:r>
      <w:r>
        <w:rPr>
          <w:szCs w:val="22"/>
        </w:rPr>
        <w:t>3</w:t>
      </w:r>
    </w:p>
    <w:p w:rsidR="00600B9D" w:rsidRDefault="00600B9D" w:rsidP="00600B9D">
      <w:pPr>
        <w:ind w:right="-318"/>
        <w:jc w:val="both"/>
        <w:rPr>
          <w:szCs w:val="22"/>
        </w:rPr>
      </w:pPr>
    </w:p>
    <w:p w:rsidR="00600B9D" w:rsidRDefault="00600B9D" w:rsidP="00600B9D">
      <w:pPr>
        <w:ind w:right="-318"/>
        <w:jc w:val="both"/>
        <w:rPr>
          <w:szCs w:val="22"/>
          <w:lang w:val="hu-HU" w:eastAsia="hu-HU"/>
        </w:rPr>
      </w:pPr>
    </w:p>
    <w:p w:rsidR="00600B9D" w:rsidRDefault="00600B9D" w:rsidP="00600B9D">
      <w:pPr>
        <w:ind w:right="-318"/>
        <w:jc w:val="both"/>
        <w:rPr>
          <w:b/>
          <w:szCs w:val="22"/>
          <w:lang w:val="hu-HU" w:eastAsia="hu-HU"/>
        </w:rPr>
      </w:pPr>
      <w:r>
        <w:rPr>
          <w:b/>
          <w:szCs w:val="22"/>
          <w:lang w:val="hu-HU" w:eastAsia="hu-HU"/>
        </w:rPr>
        <w:t>DALŠÍ INFORMACE</w:t>
      </w:r>
    </w:p>
    <w:p w:rsidR="00600B9D" w:rsidRDefault="00600B9D" w:rsidP="00600B9D">
      <w:pPr>
        <w:ind w:right="-318"/>
        <w:jc w:val="both"/>
        <w:rPr>
          <w:szCs w:val="22"/>
          <w:lang w:val="hu-HU" w:eastAsia="hu-HU"/>
        </w:rPr>
      </w:pPr>
    </w:p>
    <w:p w:rsidR="00600B9D" w:rsidRPr="003974BE" w:rsidRDefault="00600B9D" w:rsidP="00600B9D">
      <w:pPr>
        <w:ind w:right="-318"/>
        <w:jc w:val="both"/>
        <w:rPr>
          <w:szCs w:val="22"/>
          <w:lang w:val="hu-HU" w:eastAsia="hu-HU"/>
        </w:rPr>
      </w:pPr>
      <w:r>
        <w:rPr>
          <w:szCs w:val="22"/>
          <w:lang w:val="hu-HU" w:eastAsia="hu-HU"/>
        </w:rPr>
        <w:t>Veterinární léčivý přípravek je vydáván pouze na předpis.</w:t>
      </w:r>
    </w:p>
    <w:p w:rsidR="0091063D" w:rsidRPr="00600B9D" w:rsidRDefault="0091063D" w:rsidP="00600B9D"/>
    <w:sectPr w:rsidR="0091063D" w:rsidRPr="00600B9D" w:rsidSect="0091063D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F4" w:rsidRDefault="000F26F4">
      <w:r>
        <w:separator/>
      </w:r>
    </w:p>
  </w:endnote>
  <w:endnote w:type="continuationSeparator" w:id="0">
    <w:p w:rsidR="000F26F4" w:rsidRDefault="000F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63D" w:rsidRDefault="0091063D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1063D" w:rsidRDefault="003045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1063D">
      <w:instrText xml:space="preserve"> PAGE  \* MERGEFORMAT </w:instrText>
    </w:r>
    <w:r>
      <w:fldChar w:fldCharType="separate"/>
    </w:r>
    <w:r w:rsidR="003974B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63D" w:rsidRDefault="0091063D">
    <w:pPr>
      <w:pStyle w:val="Zpat"/>
      <w:tabs>
        <w:tab w:val="clear" w:pos="8930"/>
        <w:tab w:val="right" w:pos="8931"/>
      </w:tabs>
    </w:pPr>
  </w:p>
  <w:p w:rsidR="0091063D" w:rsidRDefault="003045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1063D">
      <w:instrText xml:space="preserve"> PAGE  \* MERGEFORMAT </w:instrText>
    </w:r>
    <w:r>
      <w:fldChar w:fldCharType="separate"/>
    </w:r>
    <w:r w:rsidR="003974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F4" w:rsidRDefault="000F26F4">
      <w:r>
        <w:separator/>
      </w:r>
    </w:p>
  </w:footnote>
  <w:footnote w:type="continuationSeparator" w:id="0">
    <w:p w:rsidR="000F26F4" w:rsidRDefault="000F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7" w15:restartNumberingAfterBreak="0">
    <w:nsid w:val="7AEA2B76"/>
    <w:multiLevelType w:val="hybridMultilevel"/>
    <w:tmpl w:val="205CCDC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1063D"/>
    <w:rsid w:val="000908A1"/>
    <w:rsid w:val="000F26F4"/>
    <w:rsid w:val="001674D0"/>
    <w:rsid w:val="002A451B"/>
    <w:rsid w:val="002A4942"/>
    <w:rsid w:val="00304535"/>
    <w:rsid w:val="003974BE"/>
    <w:rsid w:val="004F1264"/>
    <w:rsid w:val="004F7F90"/>
    <w:rsid w:val="005B7079"/>
    <w:rsid w:val="00600B9D"/>
    <w:rsid w:val="0091063D"/>
    <w:rsid w:val="009C3BA5"/>
    <w:rsid w:val="00A22128"/>
    <w:rsid w:val="00CA3F37"/>
    <w:rsid w:val="00D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7AD7DD-5EF9-49A1-B0EC-40D3B786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197186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197186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197186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197186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197186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197186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197186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197186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197186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197186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97186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197186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197186"/>
    <w:pPr>
      <w:ind w:left="1760"/>
    </w:pPr>
  </w:style>
  <w:style w:type="character" w:styleId="Odkaznavysvtlivky">
    <w:name w:val="endnote reference"/>
    <w:rsid w:val="00197186"/>
    <w:rPr>
      <w:vertAlign w:val="superscript"/>
    </w:rPr>
  </w:style>
  <w:style w:type="character" w:styleId="Znakapoznpodarou">
    <w:name w:val="footnote reference"/>
    <w:rsid w:val="00197186"/>
    <w:rPr>
      <w:vertAlign w:val="superscript"/>
    </w:rPr>
  </w:style>
  <w:style w:type="paragraph" w:styleId="Textpoznpodarou">
    <w:name w:val="footnote text"/>
    <w:basedOn w:val="Normln"/>
    <w:rsid w:val="00197186"/>
    <w:pPr>
      <w:jc w:val="both"/>
    </w:pPr>
    <w:rPr>
      <w:sz w:val="20"/>
    </w:rPr>
  </w:style>
  <w:style w:type="paragraph" w:styleId="Zkladntext">
    <w:name w:val="Body Text"/>
    <w:basedOn w:val="Normln"/>
    <w:rsid w:val="00197186"/>
    <w:pPr>
      <w:jc w:val="both"/>
    </w:pPr>
  </w:style>
  <w:style w:type="paragraph" w:styleId="Textvbloku">
    <w:name w:val="Block Text"/>
    <w:basedOn w:val="Normln"/>
    <w:rsid w:val="00197186"/>
    <w:pPr>
      <w:ind w:left="2268" w:right="1711"/>
    </w:pPr>
    <w:rPr>
      <w:b/>
    </w:rPr>
  </w:style>
  <w:style w:type="paragraph" w:styleId="Zkladntext2">
    <w:name w:val="Body Text 2"/>
    <w:basedOn w:val="Normln"/>
    <w:rsid w:val="00197186"/>
    <w:rPr>
      <w:b/>
    </w:rPr>
  </w:style>
  <w:style w:type="paragraph" w:styleId="Zkladntext3">
    <w:name w:val="Body Text 3"/>
    <w:basedOn w:val="Normln"/>
    <w:rsid w:val="00197186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197186"/>
  </w:style>
  <w:style w:type="character" w:styleId="Odkaznakoment">
    <w:name w:val="annotation reference"/>
    <w:rsid w:val="00197186"/>
    <w:rPr>
      <w:sz w:val="16"/>
    </w:rPr>
  </w:style>
  <w:style w:type="paragraph" w:styleId="Zkladntextodsazen2">
    <w:name w:val="Body Text Indent 2"/>
    <w:basedOn w:val="Normln"/>
    <w:rsid w:val="00197186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197186"/>
    <w:rPr>
      <w:sz w:val="20"/>
    </w:rPr>
  </w:style>
  <w:style w:type="paragraph" w:styleId="Zkladntextodsazen3">
    <w:name w:val="Body Text Indent 3"/>
    <w:basedOn w:val="Normln"/>
    <w:rsid w:val="00197186"/>
  </w:style>
  <w:style w:type="paragraph" w:customStyle="1" w:styleId="Bullet">
    <w:name w:val="Bullet"/>
    <w:basedOn w:val="Normln"/>
    <w:rsid w:val="00197186"/>
    <w:pPr>
      <w:numPr>
        <w:numId w:val="2"/>
      </w:numPr>
    </w:pPr>
  </w:style>
  <w:style w:type="paragraph" w:styleId="Textbubliny">
    <w:name w:val="Balloon Text"/>
    <w:basedOn w:val="Normln"/>
    <w:rsid w:val="00197186"/>
    <w:rPr>
      <w:rFonts w:ascii="Tahoma" w:hAnsi="Tahoma" w:cs="Tahoma"/>
      <w:sz w:val="16"/>
      <w:szCs w:val="16"/>
    </w:rPr>
  </w:style>
  <w:style w:type="character" w:styleId="Hypertextovodkaz">
    <w:name w:val="Hyperlink"/>
    <w:rsid w:val="00197186"/>
    <w:rPr>
      <w:color w:val="0000FF"/>
      <w:u w:val="single"/>
    </w:rPr>
  </w:style>
  <w:style w:type="paragraph" w:customStyle="1" w:styleId="AHeader1">
    <w:name w:val="AHeader 1"/>
    <w:basedOn w:val="Normln"/>
    <w:rsid w:val="00197186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197186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197186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197186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197186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197186"/>
    <w:rPr>
      <w:color w:val="800080"/>
      <w:u w:val="single"/>
    </w:rPr>
  </w:style>
  <w:style w:type="character" w:customStyle="1" w:styleId="hps">
    <w:name w:val="hps"/>
    <w:basedOn w:val="Standardnpsmoodstavce"/>
    <w:rsid w:val="00D21514"/>
  </w:style>
  <w:style w:type="character" w:customStyle="1" w:styleId="shorttext">
    <w:name w:val="short_text"/>
    <w:basedOn w:val="Standardnpsmoodstavce"/>
    <w:rsid w:val="00D21514"/>
  </w:style>
  <w:style w:type="character" w:customStyle="1" w:styleId="TextkomenteChar">
    <w:name w:val="Text komentáře Char"/>
    <w:link w:val="Textkomente"/>
    <w:rsid w:val="003974B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2101</Words>
  <Characters>12398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Neugebauerová Kateřina</cp:lastModifiedBy>
  <cp:revision>6</cp:revision>
  <cp:lastPrinted>2023-11-03T09:45:00Z</cp:lastPrinted>
  <dcterms:created xsi:type="dcterms:W3CDTF">2023-10-31T10:47:00Z</dcterms:created>
  <dcterms:modified xsi:type="dcterms:W3CDTF">2023-11-03T09:45:00Z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