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center"/>
        <w:rPr>
          <w:b/>
        </w:rPr>
      </w:pPr>
      <w:r>
        <w:rPr>
          <w:b/>
        </w:rPr>
        <w:t>PŘÍLOHA I</w:t>
      </w:r>
    </w:p>
    <w:p w:rsidR="00D917CA" w:rsidRDefault="00D917CA" w:rsidP="00D917CA">
      <w:pPr>
        <w:jc w:val="center"/>
        <w:rPr>
          <w:b/>
        </w:rPr>
      </w:pPr>
    </w:p>
    <w:p w:rsidR="00D917CA" w:rsidRDefault="00D917CA" w:rsidP="00D917CA">
      <w:pPr>
        <w:jc w:val="center"/>
        <w:rPr>
          <w:b/>
        </w:rPr>
      </w:pPr>
      <w:r>
        <w:rPr>
          <w:b/>
        </w:rPr>
        <w:t>SOUHRN ÚDAJŮ O PŘÍPRAVKU</w:t>
      </w:r>
    </w:p>
    <w:p w:rsidR="00D917CA" w:rsidRDefault="00D917CA" w:rsidP="00D917CA">
      <w:pPr>
        <w:jc w:val="center"/>
      </w:pPr>
    </w:p>
    <w:p w:rsidR="00D917CA" w:rsidRDefault="00D917CA" w:rsidP="00D917CA">
      <w:pPr>
        <w:pageBreakBefore/>
        <w:jc w:val="both"/>
        <w:rPr>
          <w:b/>
        </w:rPr>
      </w:pP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</w:pPr>
      <w:proofErr w:type="spellStart"/>
      <w:r>
        <w:t>Coccibal</w:t>
      </w:r>
      <w:proofErr w:type="spellEnd"/>
      <w:r>
        <w:t xml:space="preserve"> 200 mg/ml roztok pro podání v pitné vodě pro kura domácího a krůty.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  <w:r>
        <w:t xml:space="preserve">1 ml obsahuje: 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Léčivá látka: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proofErr w:type="spellStart"/>
      <w:r>
        <w:t>Amprolium</w:t>
      </w:r>
      <w:proofErr w:type="spellEnd"/>
      <w:r>
        <w:t xml:space="preserve"> 200 mg </w:t>
      </w:r>
    </w:p>
    <w:p w:rsidR="00D917CA" w:rsidRDefault="00D917CA" w:rsidP="00D917CA">
      <w:pPr>
        <w:tabs>
          <w:tab w:val="left" w:pos="1701"/>
        </w:tabs>
        <w:jc w:val="both"/>
      </w:pPr>
      <w:r>
        <w:t xml:space="preserve">Odpovídá </w:t>
      </w:r>
      <w:proofErr w:type="spellStart"/>
      <w:r>
        <w:t>amprolii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 xml:space="preserve">     226,2 mg</w:t>
      </w:r>
      <w:r w:rsidDel="00677404">
        <w:t xml:space="preserve"> </w:t>
      </w:r>
    </w:p>
    <w:p w:rsidR="00D917CA" w:rsidRDefault="00D917CA" w:rsidP="00D917CA">
      <w:pPr>
        <w:tabs>
          <w:tab w:val="left" w:pos="1701"/>
        </w:tabs>
        <w:jc w:val="both"/>
        <w:rPr>
          <w:iCs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Pomocné látky: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r>
        <w:t xml:space="preserve">Sodná sůl </w:t>
      </w:r>
      <w:proofErr w:type="spellStart"/>
      <w:r>
        <w:t>methylparabenu</w:t>
      </w:r>
      <w:proofErr w:type="spellEnd"/>
      <w:r>
        <w:t xml:space="preserve"> (E 219)</w:t>
      </w:r>
      <w:r>
        <w:tab/>
        <w:t>1 mg</w:t>
      </w:r>
    </w:p>
    <w:p w:rsidR="00D917CA" w:rsidRDefault="00D917CA" w:rsidP="00D917CA">
      <w:pPr>
        <w:jc w:val="both"/>
      </w:pPr>
      <w:r>
        <w:t xml:space="preserve">Sodná sůl </w:t>
      </w:r>
      <w:proofErr w:type="spellStart"/>
      <w:r>
        <w:t>propylparabenu</w:t>
      </w:r>
      <w:proofErr w:type="spellEnd"/>
      <w:r>
        <w:tab/>
      </w:r>
      <w:r>
        <w:tab/>
        <w:t>0,2 mg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  <w:r>
        <w:t>Úplný seznam pomocných látek viz bod 6.1.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LÉKOVÁ FORMA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r>
        <w:t>Roztok pro podání v pitné vodě.</w:t>
      </w:r>
    </w:p>
    <w:p w:rsidR="00D917CA" w:rsidRDefault="00D917CA" w:rsidP="00D917CA">
      <w:pPr>
        <w:jc w:val="both"/>
      </w:pPr>
      <w:r>
        <w:t>Čirý  žlutý roztok.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KLINICKÉ ÚDAJE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4.1</w:t>
      </w:r>
      <w:r>
        <w:rPr>
          <w:b/>
        </w:rPr>
        <w:tab/>
        <w:t>Cílové druhy zvířat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r>
        <w:t>Kur dom</w:t>
      </w:r>
      <w:r w:rsidR="00191946">
        <w:t>á</w:t>
      </w:r>
      <w:r>
        <w:t>cí (brojleři, nosnice, mladé a chovné slepice) a krůty.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4.2</w:t>
      </w:r>
      <w:r>
        <w:rPr>
          <w:b/>
        </w:rPr>
        <w:tab/>
        <w:t xml:space="preserve">Indikace s upřesněním pro cílový druh zvířat 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hanging="15"/>
        <w:jc w:val="both"/>
      </w:pPr>
      <w:r>
        <w:t xml:space="preserve">Kur </w:t>
      </w:r>
      <w:proofErr w:type="spellStart"/>
      <w:r>
        <w:t>domací</w:t>
      </w:r>
      <w:proofErr w:type="spellEnd"/>
      <w:r>
        <w:t xml:space="preserve"> (brojleři, kuřice, nosnice, chovné slepice) a krůty: léčba střevní kokcidiózy vyvolané </w:t>
      </w:r>
      <w:proofErr w:type="spellStart"/>
      <w:r w:rsidRPr="003E2592">
        <w:rPr>
          <w:i/>
        </w:rPr>
        <w:t>Eimeria</w:t>
      </w:r>
      <w:proofErr w:type="spellEnd"/>
      <w:r w:rsidRPr="003E2592"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 citlivými na </w:t>
      </w:r>
      <w:proofErr w:type="spellStart"/>
      <w:r>
        <w:t>amprolium</w:t>
      </w:r>
      <w:proofErr w:type="spellEnd"/>
      <w:r>
        <w:t>.</w:t>
      </w:r>
    </w:p>
    <w:p w:rsidR="00D917CA" w:rsidRDefault="00D917CA" w:rsidP="00D917CA">
      <w:pPr>
        <w:ind w:left="0" w:hanging="15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4.3</w:t>
      </w:r>
      <w:r>
        <w:rPr>
          <w:b/>
        </w:rPr>
        <w:tab/>
        <w:t>Kontraindikace</w:t>
      </w:r>
    </w:p>
    <w:p w:rsidR="00D917CA" w:rsidRDefault="00D917CA" w:rsidP="00D917CA">
      <w:pPr>
        <w:jc w:val="both"/>
      </w:pPr>
    </w:p>
    <w:p w:rsidR="00D917CA" w:rsidRPr="006C4810" w:rsidRDefault="00D917CA" w:rsidP="00D917CA">
      <w:pPr>
        <w:jc w:val="both"/>
      </w:pPr>
      <w:r w:rsidRPr="005E2A69">
        <w:t>Nepoužívat v případě přecitlivělosti na léčivou látku nebo na některou z pomocných látek.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4.4</w:t>
      </w:r>
      <w:r>
        <w:rPr>
          <w:b/>
        </w:rPr>
        <w:tab/>
        <w:t>Zvláštní upozornění pro každý cílový druh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hanging="30"/>
        <w:jc w:val="both"/>
      </w:pPr>
      <w:r>
        <w:t xml:space="preserve">Jako v případě jiných </w:t>
      </w:r>
      <w:proofErr w:type="spellStart"/>
      <w:r>
        <w:t>antiparazi</w:t>
      </w:r>
      <w:r w:rsidR="00191946">
        <w:t>ti</w:t>
      </w:r>
      <w:r>
        <w:t>k</w:t>
      </w:r>
      <w:proofErr w:type="spellEnd"/>
      <w:r>
        <w:t xml:space="preserve">, časté a opakované používání </w:t>
      </w:r>
      <w:proofErr w:type="spellStart"/>
      <w:r>
        <w:t>antiprotozoik</w:t>
      </w:r>
      <w:proofErr w:type="spellEnd"/>
      <w:r>
        <w:t xml:space="preserve"> náležejících do stejné skupiny může vést ke vzniku rezistence.</w:t>
      </w:r>
    </w:p>
    <w:p w:rsidR="00D917CA" w:rsidRDefault="00D917CA" w:rsidP="00D917CA">
      <w:pPr>
        <w:ind w:left="0" w:firstLine="0"/>
        <w:jc w:val="both"/>
      </w:pPr>
      <w:r w:rsidRPr="007C4F89">
        <w:t>V případě zjištění nedostatečné účinnosti v průběhu léčby sdělte tuto skutečnost příslušným</w:t>
      </w:r>
      <w:r>
        <w:t xml:space="preserve"> </w:t>
      </w:r>
      <w:r w:rsidRPr="007C4F89">
        <w:t>národním  úřadům.</w:t>
      </w:r>
      <w:r>
        <w:t xml:space="preserve"> 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4.5</w:t>
      </w:r>
      <w:r>
        <w:rPr>
          <w:b/>
        </w:rPr>
        <w:tab/>
        <w:t>Zvláštní opatření pro použití</w:t>
      </w:r>
    </w:p>
    <w:p w:rsidR="00D917CA" w:rsidRDefault="00D917CA" w:rsidP="00D917CA">
      <w:pPr>
        <w:jc w:val="both"/>
      </w:pPr>
    </w:p>
    <w:p w:rsidR="00D917CA" w:rsidRPr="008849BA" w:rsidRDefault="00D917CA" w:rsidP="00D917CA">
      <w:pPr>
        <w:jc w:val="both"/>
        <w:rPr>
          <w:u w:val="single"/>
        </w:rPr>
      </w:pPr>
      <w:r w:rsidRPr="008849BA">
        <w:rPr>
          <w:u w:val="single"/>
        </w:rPr>
        <w:t>Zvláštní opatření pro použití u zvířat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</w:pPr>
      <w:r>
        <w:t>Přípravek není určen pro preventivní použití.</w:t>
      </w:r>
    </w:p>
    <w:p w:rsidR="00D917CA" w:rsidRDefault="00D917CA" w:rsidP="00D917CA">
      <w:pPr>
        <w:ind w:left="0" w:firstLine="0"/>
        <w:jc w:val="both"/>
      </w:pPr>
      <w:r>
        <w:lastRenderedPageBreak/>
        <w:t>Tento přípravek je vyhrazen pro případy kokcidiózy v situacích, kdy není dostupná vakcína proti kokcidióze, v případě nedostatečné účinnosti vakcíny a ve vakcinovaných hejnech vystavených silnému infekčnímu tlaku kokcidií v období před plným rozvojem imunity.</w:t>
      </w:r>
    </w:p>
    <w:p w:rsidR="00D917CA" w:rsidRDefault="00D917CA" w:rsidP="00D917CA">
      <w:pPr>
        <w:ind w:left="0" w:firstLine="0"/>
        <w:jc w:val="both"/>
      </w:pPr>
      <w:bookmarkStart w:id="0" w:name="result_box3"/>
      <w:bookmarkEnd w:id="0"/>
    </w:p>
    <w:p w:rsidR="00D917CA" w:rsidRPr="008849BA" w:rsidRDefault="00D917CA" w:rsidP="00D917CA">
      <w:pPr>
        <w:ind w:left="0" w:firstLine="0"/>
        <w:jc w:val="both"/>
        <w:rPr>
          <w:u w:val="single"/>
        </w:rPr>
      </w:pPr>
      <w:r w:rsidRPr="008849BA">
        <w:rPr>
          <w:u w:val="single"/>
        </w:rPr>
        <w:t>Zvláštní opatření určené osobám, které podávají veterinární léčivý přípravek zvířatům</w:t>
      </w:r>
    </w:p>
    <w:p w:rsidR="00D917CA" w:rsidRDefault="00D917CA" w:rsidP="00D917CA">
      <w:pPr>
        <w:jc w:val="both"/>
      </w:pPr>
    </w:p>
    <w:p w:rsidR="00D917CA" w:rsidRPr="001E5287" w:rsidRDefault="00D917CA" w:rsidP="00D917CA">
      <w:pPr>
        <w:ind w:left="0" w:firstLine="0"/>
        <w:jc w:val="both"/>
      </w:pPr>
      <w:r w:rsidRPr="001E5287">
        <w:t xml:space="preserve">Přípravek je </w:t>
      </w:r>
      <w:r>
        <w:t xml:space="preserve">kyselý a může způsobit podráždění nebo poleptání kůže, očí, hrdla a dýchacích cest. </w:t>
      </w:r>
    </w:p>
    <w:p w:rsidR="00D917CA" w:rsidRDefault="00D917CA" w:rsidP="00D917CA">
      <w:pPr>
        <w:ind w:left="0" w:firstLine="0"/>
        <w:jc w:val="both"/>
      </w:pPr>
      <w:r>
        <w:t>Zabraňte veškerému fyzickému kontaktu s přípravkem včetně výparů.</w:t>
      </w:r>
    </w:p>
    <w:p w:rsidR="00D917CA" w:rsidRDefault="00D917CA" w:rsidP="00D917CA">
      <w:pPr>
        <w:ind w:left="0" w:firstLine="0"/>
        <w:jc w:val="both"/>
      </w:pPr>
      <w:r>
        <w:t>Při manipulaci s přípravkem nejezte, nepijte a nekuřte.</w:t>
      </w:r>
    </w:p>
    <w:p w:rsidR="00D917CA" w:rsidRPr="001E5287" w:rsidRDefault="00D917CA" w:rsidP="00D917CA">
      <w:pPr>
        <w:ind w:left="0" w:firstLine="0"/>
        <w:jc w:val="both"/>
      </w:pPr>
      <w:r w:rsidRPr="001E5287">
        <w:t>Při manipulaci s přípravkem použ</w:t>
      </w:r>
      <w:r>
        <w:t>í</w:t>
      </w:r>
      <w:r w:rsidRPr="001E5287">
        <w:t xml:space="preserve">vejte </w:t>
      </w:r>
      <w:r>
        <w:t xml:space="preserve">nepropustné </w:t>
      </w:r>
      <w:r w:rsidRPr="001E5287">
        <w:t xml:space="preserve">rukavice a ochranné brýle. Zvolené rukavice musí vyhovovat </w:t>
      </w:r>
      <w:r w:rsidRPr="00644C02">
        <w:t>podmínkám</w:t>
      </w:r>
      <w:r w:rsidRPr="008849BA">
        <w:t xml:space="preserve"> EU</w:t>
      </w:r>
      <w:r w:rsidRPr="00644C02">
        <w:t xml:space="preserve"> směrnice 89/686/</w:t>
      </w:r>
      <w:r w:rsidRPr="008D4BED">
        <w:t>EHS</w:t>
      </w:r>
      <w:r w:rsidRPr="001E5287">
        <w:t xml:space="preserve"> a od n</w:t>
      </w:r>
      <w:r>
        <w:t>í</w:t>
      </w:r>
      <w:r w:rsidRPr="001E5287">
        <w:t xml:space="preserve"> odvozené normy EN 374.</w:t>
      </w:r>
    </w:p>
    <w:p w:rsidR="00D917CA" w:rsidRDefault="00D917CA" w:rsidP="00D917CA">
      <w:pPr>
        <w:ind w:left="0" w:firstLine="0"/>
        <w:jc w:val="both"/>
      </w:pPr>
      <w:r>
        <w:t>V případě zasažení kůže nebo očí ihned opláchněte zasažené místo čistou tekoucí vodou a odstraňte veškerý kontaminovaný oděv. Pokud podráždění přetrvává, vyhledejte lékařskou pomoc a ukažte etiketu praktickému lékaři.</w:t>
      </w:r>
    </w:p>
    <w:p w:rsidR="00D917CA" w:rsidRDefault="00D917CA" w:rsidP="00D917CA">
      <w:pPr>
        <w:ind w:left="0" w:firstLine="0"/>
        <w:jc w:val="both"/>
      </w:pPr>
      <w:r>
        <w:t xml:space="preserve">V případě náhodného pozření vypláchněte ústa čistou vodou, vyhledejte ihned lékařskou pomoc </w:t>
      </w:r>
      <w:r>
        <w:br/>
        <w:t>a ukažte etiketu praktickému lékaři.</w:t>
      </w:r>
    </w:p>
    <w:p w:rsidR="00D917CA" w:rsidRDefault="00D917CA" w:rsidP="00D917CA">
      <w:pPr>
        <w:ind w:left="0" w:firstLine="0"/>
        <w:jc w:val="both"/>
      </w:pPr>
      <w:r>
        <w:t xml:space="preserve">Lidé se známou </w:t>
      </w:r>
      <w:r w:rsidRPr="006C5D9D">
        <w:t>přecitlivělostí</w:t>
      </w:r>
      <w:r>
        <w:t xml:space="preserve"> na </w:t>
      </w:r>
      <w:proofErr w:type="spellStart"/>
      <w:r>
        <w:t>amprolium</w:t>
      </w:r>
      <w:proofErr w:type="spellEnd"/>
      <w:r>
        <w:t xml:space="preserve"> nebo kteroukoliv pomocnou látku by se měli vyhnout kontaktu s příprav</w:t>
      </w:r>
      <w:r w:rsidRPr="001E5287">
        <w:t>k</w:t>
      </w:r>
      <w:r>
        <w:t>em.</w:t>
      </w:r>
    </w:p>
    <w:p w:rsidR="00D917CA" w:rsidRDefault="00D917CA" w:rsidP="00D917CA">
      <w:pPr>
        <w:ind w:left="0" w:firstLine="0"/>
        <w:jc w:val="both"/>
        <w:rPr>
          <w:rFonts w:ascii="TimesNewRoman" w:hAnsi="TimesNewRoman"/>
          <w:szCs w:val="22"/>
        </w:rPr>
      </w:pPr>
      <w:r>
        <w:t>Po použití si umyjte ruce a potřísněnou pokožku.</w:t>
      </w:r>
    </w:p>
    <w:p w:rsidR="00D917CA" w:rsidRDefault="00D917CA" w:rsidP="00D917CA">
      <w:pPr>
        <w:ind w:left="0" w:firstLine="0"/>
        <w:jc w:val="both"/>
        <w:rPr>
          <w:b/>
        </w:rPr>
      </w:pPr>
      <w:r>
        <w:rPr>
          <w:b/>
        </w:rPr>
        <w:t xml:space="preserve"> </w:t>
      </w:r>
    </w:p>
    <w:p w:rsidR="00D917CA" w:rsidRDefault="00D917CA" w:rsidP="00D917CA">
      <w:pPr>
        <w:jc w:val="both"/>
        <w:rPr>
          <w:b/>
        </w:rPr>
      </w:pPr>
      <w:r>
        <w:rPr>
          <w:b/>
        </w:rPr>
        <w:t>4.6</w:t>
      </w:r>
      <w:r>
        <w:rPr>
          <w:b/>
        </w:rPr>
        <w:tab/>
        <w:t>Nežádoucí účinky (frekvence a závažnost)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r>
        <w:t>Nejsou známy.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4.7</w:t>
      </w:r>
      <w:r>
        <w:rPr>
          <w:b/>
        </w:rPr>
        <w:tab/>
        <w:t>Použití v průběhu březosti, laktace nebo snášky</w:t>
      </w:r>
    </w:p>
    <w:p w:rsidR="00D917CA" w:rsidRDefault="00D917CA" w:rsidP="00D917CA">
      <w:pPr>
        <w:jc w:val="both"/>
      </w:pPr>
    </w:p>
    <w:p w:rsidR="00D917CA" w:rsidRPr="007C4F89" w:rsidRDefault="00D917CA" w:rsidP="00D917CA">
      <w:pPr>
        <w:ind w:left="0" w:firstLine="0"/>
        <w:jc w:val="both"/>
      </w:pPr>
      <w:r w:rsidRPr="007C4F89">
        <w:t>Laboratorní studie neprokázaly teratogenní účinky.</w:t>
      </w:r>
    </w:p>
    <w:p w:rsidR="00D917CA" w:rsidRDefault="00D917CA" w:rsidP="00D917CA">
      <w:pPr>
        <w:ind w:left="0" w:firstLine="0"/>
        <w:jc w:val="both"/>
      </w:pPr>
      <w:r w:rsidRPr="007C4F89">
        <w:t xml:space="preserve">Bezpečnost </w:t>
      </w:r>
      <w:proofErr w:type="spellStart"/>
      <w:r w:rsidRPr="007C4F89">
        <w:t>amprolia</w:t>
      </w:r>
      <w:proofErr w:type="spellEnd"/>
      <w:r w:rsidRPr="007C4F89">
        <w:t xml:space="preserve"> nebyla sledována u nosnic. Použít pouze po zvážení terapeutického prospěchu a rizika příslušným veterinárním lékařem.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4.8</w:t>
      </w:r>
      <w:r>
        <w:rPr>
          <w:b/>
        </w:rPr>
        <w:tab/>
        <w:t>Interakce s dalšími léčivými přípravky a další formy interakce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hanging="30"/>
        <w:jc w:val="both"/>
      </w:pPr>
      <w:proofErr w:type="spellStart"/>
      <w:r>
        <w:t>Amprolium</w:t>
      </w:r>
      <w:proofErr w:type="spellEnd"/>
      <w:r>
        <w:t xml:space="preserve"> je analogem </w:t>
      </w:r>
      <w:proofErr w:type="spellStart"/>
      <w:r>
        <w:t>thiaminu</w:t>
      </w:r>
      <w:proofErr w:type="spellEnd"/>
      <w:r>
        <w:t xml:space="preserve">. Z tohoto důvodu může být účinnost </w:t>
      </w:r>
      <w:proofErr w:type="spellStart"/>
      <w:r>
        <w:t>amprolia</w:t>
      </w:r>
      <w:proofErr w:type="spellEnd"/>
      <w:r>
        <w:t xml:space="preserve"> snížena při současném podávání přípravků obsahujících komplex vitamínů B.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4.9</w:t>
      </w:r>
      <w:r>
        <w:rPr>
          <w:b/>
        </w:rPr>
        <w:tab/>
        <w:t>Podávané množství a způsob podání</w:t>
      </w:r>
    </w:p>
    <w:p w:rsidR="00D917CA" w:rsidRDefault="00D917CA" w:rsidP="00D917CA">
      <w:pPr>
        <w:jc w:val="both"/>
        <w:rPr>
          <w:b/>
          <w:bCs/>
        </w:rPr>
      </w:pPr>
    </w:p>
    <w:p w:rsidR="00D917CA" w:rsidRDefault="00D917CA" w:rsidP="00D917CA">
      <w:pPr>
        <w:jc w:val="both"/>
      </w:pPr>
      <w:r>
        <w:t>Pro podání v pitné vodě.</w:t>
      </w:r>
    </w:p>
    <w:p w:rsidR="00D917CA" w:rsidRDefault="00D917CA" w:rsidP="00D917CA">
      <w:pPr>
        <w:ind w:left="0" w:firstLine="0"/>
        <w:jc w:val="both"/>
      </w:pPr>
      <w:r>
        <w:t xml:space="preserve">Dávkování pro všechny cílové druhy je 20 mg </w:t>
      </w:r>
      <w:proofErr w:type="spellStart"/>
      <w:r>
        <w:t>amprolia</w:t>
      </w:r>
      <w:proofErr w:type="spellEnd"/>
      <w:r>
        <w:t xml:space="preserve"> na kg ž.hm. denně po dobu 5-7 po sobě jdoucích dní.</w:t>
      </w:r>
    </w:p>
    <w:p w:rsidR="00D917CA" w:rsidRDefault="00D917CA" w:rsidP="00D917CA">
      <w:pPr>
        <w:ind w:left="0" w:hanging="15"/>
        <w:jc w:val="both"/>
      </w:pPr>
      <w:r>
        <w:t xml:space="preserve">Při přípravě </w:t>
      </w:r>
      <w:proofErr w:type="spellStart"/>
      <w:r>
        <w:t>medikované</w:t>
      </w:r>
      <w:proofErr w:type="spellEnd"/>
      <w:r>
        <w:t xml:space="preserve"> vody je nutné vzít v úvahu živou hmotnost zvířat, která mají být léčena a jejich skutečnou denní spotřebu vody. Spotřeba se může například lišit v závislosti na věku, zdravotním stavu, plemenu či systému chovu.</w:t>
      </w:r>
    </w:p>
    <w:p w:rsidR="00D917CA" w:rsidRDefault="00D917CA" w:rsidP="00D917CA">
      <w:pPr>
        <w:ind w:left="0" w:firstLine="0"/>
        <w:jc w:val="both"/>
      </w:pPr>
      <w:r>
        <w:t>K výpočtu požadovaného objemu přípravku v ml, který připadne na 1 litr pitné vody, použijte následující vzorec: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  <w:rPr>
          <w:rFonts w:cs="Arial"/>
          <w:szCs w:val="22"/>
        </w:rPr>
      </w:pPr>
      <w:r w:rsidRPr="00D135D8">
        <w:rPr>
          <w:rFonts w:cs="Arial"/>
          <w:szCs w:val="22"/>
        </w:rPr>
        <w:t xml:space="preserve">0,1 ml </w:t>
      </w:r>
      <w:r>
        <w:rPr>
          <w:rFonts w:cs="Arial"/>
          <w:szCs w:val="22"/>
        </w:rPr>
        <w:t>přípravku</w:t>
      </w:r>
      <w:r w:rsidRPr="00D135D8">
        <w:rPr>
          <w:rFonts w:cs="Arial"/>
          <w:szCs w:val="22"/>
        </w:rPr>
        <w:t xml:space="preserve">    </w:t>
      </w:r>
      <w:r w:rsidRPr="00D135D8">
        <w:rPr>
          <w:rFonts w:cs="Arial"/>
          <w:szCs w:val="22"/>
        </w:rPr>
        <w:tab/>
        <w:t xml:space="preserve">   </w:t>
      </w:r>
      <w:r>
        <w:rPr>
          <w:rFonts w:cs="Arial"/>
          <w:szCs w:val="22"/>
        </w:rPr>
        <w:t xml:space="preserve">    průměrná</w:t>
      </w:r>
      <w:r w:rsidRPr="00D135D8">
        <w:rPr>
          <w:rFonts w:cs="Arial"/>
          <w:szCs w:val="22"/>
        </w:rPr>
        <w:t xml:space="preserve"> ž.hm.(kg)   </w:t>
      </w:r>
      <w:r>
        <w:rPr>
          <w:rFonts w:cs="Arial"/>
          <w:szCs w:val="22"/>
        </w:rPr>
        <w:t xml:space="preserve"> </w:t>
      </w:r>
      <w:r w:rsidRPr="00D135D8">
        <w:rPr>
          <w:rFonts w:cs="Arial"/>
          <w:szCs w:val="22"/>
        </w:rPr>
        <w:t>po</w:t>
      </w:r>
      <w:r>
        <w:rPr>
          <w:rFonts w:cs="Arial"/>
          <w:szCs w:val="22"/>
        </w:rPr>
        <w:t>č</w:t>
      </w:r>
      <w:r w:rsidRPr="00D135D8">
        <w:rPr>
          <w:rFonts w:cs="Arial"/>
          <w:szCs w:val="22"/>
        </w:rPr>
        <w:t>et</w:t>
      </w:r>
      <w:r>
        <w:rPr>
          <w:rFonts w:cs="Arial"/>
          <w:szCs w:val="22"/>
        </w:rPr>
        <w:t xml:space="preserve"> </w:t>
      </w:r>
      <w:r w:rsidRPr="00D135D8">
        <w:rPr>
          <w:rFonts w:cs="Arial"/>
          <w:szCs w:val="22"/>
        </w:rPr>
        <w:t xml:space="preserve">léčených </w:t>
      </w:r>
    </w:p>
    <w:p w:rsidR="00D917CA" w:rsidRDefault="00D917CA" w:rsidP="00D917CA">
      <w:pPr>
        <w:ind w:left="0" w:firstLine="0"/>
        <w:jc w:val="both"/>
        <w:rPr>
          <w:rFonts w:cs="Arial"/>
          <w:szCs w:val="22"/>
        </w:rPr>
      </w:pPr>
      <w:r>
        <w:rPr>
          <w:rFonts w:cs="Arial"/>
          <w:szCs w:val="22"/>
        </w:rPr>
        <w:t>na kg ž.hm.  a</w:t>
      </w:r>
      <w:r>
        <w:rPr>
          <w:rFonts w:cs="Arial"/>
          <w:szCs w:val="22"/>
        </w:rPr>
        <w:tab/>
        <w:t xml:space="preserve">  X  léčených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X   zvířat</w:t>
      </w:r>
    </w:p>
    <w:p w:rsidR="00D917CA" w:rsidRDefault="00D917CA" w:rsidP="00D917CA">
      <w:pPr>
        <w:ind w:left="0"/>
        <w:jc w:val="both"/>
        <w:rPr>
          <w:rFonts w:cs="Arial"/>
          <w:szCs w:val="22"/>
        </w:rPr>
      </w:pPr>
      <w:r w:rsidRPr="008805BC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>den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zvířat</w:t>
      </w:r>
    </w:p>
    <w:p w:rsidR="00D917CA" w:rsidRDefault="00D917CA" w:rsidP="00D917CA">
      <w:pPr>
        <w:ind w:left="0" w:firstLine="0"/>
        <w:jc w:val="both"/>
        <w:rPr>
          <w:rFonts w:cs="Arial"/>
          <w:szCs w:val="22"/>
        </w:rPr>
      </w:pPr>
      <w:r w:rsidRPr="008805BC">
        <w:rPr>
          <w:rFonts w:cs="Arial"/>
          <w:szCs w:val="22"/>
        </w:rPr>
        <w:t>------------------------------------------------------------------------------------- = ml</w:t>
      </w:r>
      <w:r>
        <w:rPr>
          <w:rFonts w:cs="Arial"/>
          <w:szCs w:val="22"/>
        </w:rPr>
        <w:t xml:space="preserve"> přípravku</w:t>
      </w:r>
      <w:r w:rsidRPr="008805BC">
        <w:rPr>
          <w:rFonts w:cs="Arial"/>
          <w:szCs w:val="22"/>
        </w:rPr>
        <w:t>/</w:t>
      </w:r>
      <w:r>
        <w:rPr>
          <w:rFonts w:cs="Arial"/>
          <w:szCs w:val="22"/>
        </w:rPr>
        <w:t>litr pitné vody</w:t>
      </w:r>
    </w:p>
    <w:p w:rsidR="00D917CA" w:rsidRDefault="00D917CA" w:rsidP="00D917CA">
      <w:pPr>
        <w:ind w:left="0" w:firstLine="0"/>
        <w:jc w:val="both"/>
        <w:rPr>
          <w:szCs w:val="22"/>
        </w:rPr>
      </w:pPr>
      <w:r>
        <w:rPr>
          <w:rFonts w:cs="Arial"/>
          <w:szCs w:val="22"/>
        </w:rPr>
        <w:t>Celkový objem pitné vody</w:t>
      </w:r>
      <w:r w:rsidRPr="008805B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</w:t>
      </w:r>
      <w:r w:rsidRPr="008805BC">
        <w:rPr>
          <w:rFonts w:cs="Arial"/>
          <w:szCs w:val="22"/>
        </w:rPr>
        <w:t>v litrech</w:t>
      </w:r>
      <w:r>
        <w:rPr>
          <w:rFonts w:cs="Arial"/>
          <w:szCs w:val="22"/>
        </w:rPr>
        <w:t xml:space="preserve">) spotřebovaný </w:t>
      </w:r>
      <w:r w:rsidRPr="008805BC">
        <w:rPr>
          <w:rFonts w:cs="Arial"/>
          <w:szCs w:val="22"/>
        </w:rPr>
        <w:t>hejn</w:t>
      </w:r>
      <w:r>
        <w:rPr>
          <w:rFonts w:cs="Arial"/>
          <w:szCs w:val="22"/>
        </w:rPr>
        <w:t xml:space="preserve">em během </w:t>
      </w:r>
      <w:r w:rsidRPr="008805BC">
        <w:rPr>
          <w:rFonts w:cs="Arial"/>
          <w:szCs w:val="22"/>
        </w:rPr>
        <w:t>p</w:t>
      </w:r>
      <w:r>
        <w:rPr>
          <w:szCs w:val="22"/>
        </w:rPr>
        <w:t>ředchozího dne</w:t>
      </w:r>
    </w:p>
    <w:p w:rsidR="00D917CA" w:rsidRPr="008805BC" w:rsidRDefault="00D917CA" w:rsidP="00D917CA">
      <w:pPr>
        <w:ind w:left="0" w:firstLine="708"/>
        <w:jc w:val="both"/>
        <w:rPr>
          <w:szCs w:val="22"/>
        </w:rPr>
      </w:pP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ind w:left="0" w:firstLine="0"/>
        <w:jc w:val="both"/>
      </w:pPr>
      <w:r w:rsidRPr="00C14D03">
        <w:t>K zabezpečení adekvátního příjmu vody léčenými zvířaty je nutné zajistit dostatečný přístup k napájecím</w:t>
      </w:r>
      <w:r>
        <w:t>u</w:t>
      </w:r>
      <w:r w:rsidRPr="00C14D03">
        <w:t xml:space="preserve"> systém</w:t>
      </w:r>
      <w:r>
        <w:t>u</w:t>
      </w:r>
      <w:r w:rsidRPr="00C14D03">
        <w:t xml:space="preserve">. Během léčby nesmí mít zvířata k dispozici jiný zdroj pitné vody. </w:t>
      </w:r>
      <w:proofErr w:type="spellStart"/>
      <w:r w:rsidRPr="00C14D03">
        <w:t>Medikovanou</w:t>
      </w:r>
      <w:proofErr w:type="spellEnd"/>
      <w:r w:rsidRPr="00C14D03">
        <w:t xml:space="preserve"> pitnou vodu je nutné obměňovat každých 24 hodin.</w:t>
      </w: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ind w:left="0" w:firstLine="0"/>
        <w:jc w:val="both"/>
      </w:pPr>
      <w:r>
        <w:lastRenderedPageBreak/>
        <w:t xml:space="preserve">Po ukončení léčby je nutné řádně vyčistit napájecí systém, aby nedocházelo k příjmu léčivé látky v množství, které je nižší, než je léčebná dávka. 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4.10</w:t>
      </w:r>
      <w:r>
        <w:rPr>
          <w:b/>
        </w:rPr>
        <w:tab/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-15" w:firstLine="0"/>
        <w:jc w:val="both"/>
      </w:pPr>
      <w:r>
        <w:t xml:space="preserve">Dlouhodobé užívání může způsobit nedostatek </w:t>
      </w:r>
      <w:proofErr w:type="spellStart"/>
      <w:r>
        <w:t>thiaminu</w:t>
      </w:r>
      <w:proofErr w:type="spellEnd"/>
      <w:r>
        <w:t xml:space="preserve">. Objeví-li se tyto příznaky, podejte </w:t>
      </w:r>
      <w:proofErr w:type="spellStart"/>
      <w:r>
        <w:t>thiamin</w:t>
      </w:r>
      <w:proofErr w:type="spellEnd"/>
      <w:r>
        <w:t>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4.11</w:t>
      </w:r>
      <w:r>
        <w:rPr>
          <w:b/>
        </w:rPr>
        <w:tab/>
        <w:t>Ochranné lhůty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</w:pPr>
      <w:r>
        <w:t>Kur dom</w:t>
      </w:r>
      <w:r w:rsidR="00191946">
        <w:t>á</w:t>
      </w:r>
      <w:r>
        <w:t xml:space="preserve">cí  a krůty: </w:t>
      </w:r>
    </w:p>
    <w:p w:rsidR="00D917CA" w:rsidRDefault="00D917CA" w:rsidP="00191946">
      <w:pPr>
        <w:jc w:val="both"/>
      </w:pPr>
      <w:r>
        <w:t>Maso:</w:t>
      </w:r>
      <w:r>
        <w:tab/>
      </w:r>
      <w:r>
        <w:tab/>
        <w:t>Bez ochranných lhůt.</w:t>
      </w:r>
    </w:p>
    <w:p w:rsidR="00D917CA" w:rsidRDefault="00D917CA" w:rsidP="00D917CA">
      <w:pPr>
        <w:jc w:val="both"/>
      </w:pPr>
      <w:r>
        <w:t>Vejce:</w:t>
      </w:r>
      <w:r>
        <w:tab/>
        <w:t>Bez ochranných lhůt.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FARMAKOLOGICKÉ VLASTNOSTI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ind w:left="0" w:firstLine="0"/>
        <w:jc w:val="both"/>
      </w:pPr>
      <w:r>
        <w:t xml:space="preserve">Farmakoterapeutická skupina: </w:t>
      </w:r>
      <w:proofErr w:type="spellStart"/>
      <w:r>
        <w:t>antiprotozoika</w:t>
      </w:r>
      <w:proofErr w:type="spellEnd"/>
      <w:r>
        <w:t xml:space="preserve">, terapie </w:t>
      </w:r>
      <w:proofErr w:type="spellStart"/>
      <w:r>
        <w:t>protozoálních</w:t>
      </w:r>
      <w:proofErr w:type="spellEnd"/>
      <w:r>
        <w:t xml:space="preserve"> onemocnění, </w:t>
      </w:r>
      <w:proofErr w:type="spellStart"/>
      <w:r>
        <w:t>amprolium</w:t>
      </w:r>
      <w:proofErr w:type="spellEnd"/>
    </w:p>
    <w:p w:rsidR="00D917CA" w:rsidRDefault="00D917CA" w:rsidP="00D917CA">
      <w:pPr>
        <w:ind w:left="0" w:firstLine="0"/>
        <w:jc w:val="both"/>
      </w:pPr>
      <w:proofErr w:type="spellStart"/>
      <w:r>
        <w:t>ATCvet</w:t>
      </w:r>
      <w:proofErr w:type="spellEnd"/>
      <w:r>
        <w:t xml:space="preserve"> kód: QP51AX09</w:t>
      </w: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5.1</w:t>
      </w:r>
      <w:r>
        <w:rPr>
          <w:b/>
          <w:color w:val="000000"/>
        </w:rPr>
        <w:tab/>
        <w:t>Farmakodynamické vlastnosti</w:t>
      </w:r>
    </w:p>
    <w:p w:rsidR="00D917CA" w:rsidRDefault="00D917CA" w:rsidP="00D917CA">
      <w:pPr>
        <w:ind w:left="0" w:firstLine="0"/>
        <w:jc w:val="both"/>
        <w:rPr>
          <w:b/>
          <w:color w:val="000000"/>
        </w:rPr>
      </w:pPr>
    </w:p>
    <w:p w:rsidR="00D917CA" w:rsidRDefault="00D917CA" w:rsidP="00D917CA">
      <w:pPr>
        <w:ind w:left="0" w:firstLine="0"/>
        <w:jc w:val="both"/>
        <w:rPr>
          <w:color w:val="000000"/>
        </w:rPr>
      </w:pPr>
      <w:proofErr w:type="spellStart"/>
      <w:r>
        <w:rPr>
          <w:color w:val="000000"/>
        </w:rPr>
        <w:t>Amprolium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antikokcidikum</w:t>
      </w:r>
      <w:proofErr w:type="spellEnd"/>
      <w:r>
        <w:rPr>
          <w:color w:val="000000"/>
        </w:rPr>
        <w:t xml:space="preserve">, které působí jako kompetitivní inhibitor </w:t>
      </w:r>
      <w:proofErr w:type="spellStart"/>
      <w:r>
        <w:rPr>
          <w:color w:val="000000"/>
        </w:rPr>
        <w:t>thiaminu</w:t>
      </w:r>
      <w:proofErr w:type="spellEnd"/>
      <w:r>
        <w:rPr>
          <w:color w:val="000000"/>
        </w:rPr>
        <w:t xml:space="preserve"> v metabolizmu parazita a zasahuje do metabolismu cukrů potřebných pro množení a přežívání kokcidií.</w:t>
      </w:r>
    </w:p>
    <w:p w:rsidR="00D917CA" w:rsidRDefault="00D917CA" w:rsidP="00D917CA">
      <w:pPr>
        <w:ind w:left="0" w:firstLine="0"/>
        <w:jc w:val="both"/>
        <w:rPr>
          <w:color w:val="000000"/>
        </w:rPr>
      </w:pPr>
    </w:p>
    <w:p w:rsidR="00D917CA" w:rsidRDefault="00D917CA" w:rsidP="00D917CA">
      <w:pPr>
        <w:ind w:left="0" w:firstLine="0"/>
        <w:jc w:val="both"/>
        <w:rPr>
          <w:color w:val="000000"/>
        </w:rPr>
      </w:pPr>
      <w:r>
        <w:rPr>
          <w:color w:val="000000"/>
        </w:rPr>
        <w:t xml:space="preserve">V laboratorních studiích prováděných </w:t>
      </w:r>
      <w:r w:rsidRPr="00C14D03">
        <w:rPr>
          <w:i/>
          <w:color w:val="000000"/>
        </w:rPr>
        <w:t>in vitro</w:t>
      </w:r>
      <w:r>
        <w:rPr>
          <w:color w:val="000000"/>
        </w:rPr>
        <w:t xml:space="preserve"> bylo prokázáno, že schizonty </w:t>
      </w:r>
      <w:proofErr w:type="spellStart"/>
      <w:r w:rsidRPr="004074EA">
        <w:rPr>
          <w:i/>
          <w:color w:val="000000"/>
        </w:rPr>
        <w:t>Eimeria</w:t>
      </w:r>
      <w:proofErr w:type="spellEnd"/>
      <w:r w:rsidRPr="004074EA">
        <w:rPr>
          <w:i/>
          <w:color w:val="000000"/>
        </w:rPr>
        <w:t xml:space="preserve"> </w:t>
      </w:r>
      <w:proofErr w:type="spellStart"/>
      <w:r w:rsidRPr="004074EA">
        <w:rPr>
          <w:i/>
          <w:color w:val="000000"/>
        </w:rPr>
        <w:t>tenella</w:t>
      </w:r>
      <w:proofErr w:type="spellEnd"/>
      <w:r>
        <w:rPr>
          <w:color w:val="000000"/>
        </w:rPr>
        <w:t xml:space="preserve"> a hostitelské střevní buňky mohou přijímat </w:t>
      </w:r>
      <w:proofErr w:type="spellStart"/>
      <w:r>
        <w:rPr>
          <w:color w:val="000000"/>
        </w:rPr>
        <w:t>thiamin</w:t>
      </w:r>
      <w:proofErr w:type="spellEnd"/>
      <w:r>
        <w:rPr>
          <w:color w:val="000000"/>
        </w:rPr>
        <w:t xml:space="preserve"> formou pasivní difúze nebo aktivně, transportem závislým na energii a pH. </w:t>
      </w:r>
      <w:proofErr w:type="spellStart"/>
      <w:r>
        <w:rPr>
          <w:color w:val="000000"/>
        </w:rPr>
        <w:t>Amprolium</w:t>
      </w:r>
      <w:proofErr w:type="spellEnd"/>
      <w:r>
        <w:rPr>
          <w:color w:val="000000"/>
        </w:rPr>
        <w:t xml:space="preserve"> kompetitivně inhibovalo oba systémy, nicméně bylo prokázáno, že citlivost cizopasníka na </w:t>
      </w:r>
      <w:proofErr w:type="spellStart"/>
      <w:r>
        <w:rPr>
          <w:color w:val="000000"/>
        </w:rPr>
        <w:t>amprolium</w:t>
      </w:r>
      <w:proofErr w:type="spellEnd"/>
      <w:r>
        <w:rPr>
          <w:color w:val="000000"/>
        </w:rPr>
        <w:t xml:space="preserve"> je větší než citlivost hostitele.</w:t>
      </w:r>
    </w:p>
    <w:p w:rsidR="00D917CA" w:rsidRDefault="00D917CA" w:rsidP="00D917CA">
      <w:pPr>
        <w:ind w:left="0" w:firstLine="0"/>
        <w:jc w:val="both"/>
        <w:rPr>
          <w:color w:val="000000"/>
        </w:rPr>
      </w:pPr>
    </w:p>
    <w:p w:rsidR="00D917CA" w:rsidRDefault="00D917CA" w:rsidP="00D917CA">
      <w:pPr>
        <w:ind w:left="0" w:firstLine="0"/>
        <w:jc w:val="both"/>
        <w:rPr>
          <w:color w:val="000000"/>
        </w:rPr>
      </w:pPr>
      <w:r>
        <w:rPr>
          <w:color w:val="000000"/>
        </w:rPr>
        <w:t xml:space="preserve">Jak bylo prokázáno u kuřat, která byla uměle infikována </w:t>
      </w:r>
      <w:proofErr w:type="spellStart"/>
      <w:r w:rsidRPr="004074EA">
        <w:rPr>
          <w:i/>
          <w:color w:val="000000"/>
        </w:rPr>
        <w:t>Eimeria</w:t>
      </w:r>
      <w:proofErr w:type="spellEnd"/>
      <w:r w:rsidRPr="004074EA">
        <w:rPr>
          <w:i/>
          <w:color w:val="000000"/>
        </w:rPr>
        <w:t xml:space="preserve"> maxima</w:t>
      </w:r>
      <w:r>
        <w:rPr>
          <w:color w:val="000000"/>
        </w:rPr>
        <w:t xml:space="preserve">, podávání </w:t>
      </w:r>
      <w:proofErr w:type="spellStart"/>
      <w:r>
        <w:rPr>
          <w:color w:val="000000"/>
        </w:rPr>
        <w:t>amprolia</w:t>
      </w:r>
      <w:proofErr w:type="spellEnd"/>
      <w:r>
        <w:rPr>
          <w:color w:val="000000"/>
        </w:rPr>
        <w:t xml:space="preserve"> má na následek, že část makrogamet a oocyst vykazuje mo</w:t>
      </w:r>
      <w:r w:rsidR="00191946">
        <w:rPr>
          <w:color w:val="000000"/>
        </w:rPr>
        <w:t>rf</w:t>
      </w:r>
      <w:bookmarkStart w:id="1" w:name="_GoBack"/>
      <w:bookmarkEnd w:id="1"/>
      <w:r>
        <w:rPr>
          <w:color w:val="000000"/>
        </w:rPr>
        <w:t xml:space="preserve">ologické anomálie, což může být důvodem snížené sporulace. </w:t>
      </w:r>
    </w:p>
    <w:p w:rsidR="00D917CA" w:rsidRDefault="00D917CA" w:rsidP="00D917CA">
      <w:pPr>
        <w:ind w:left="0" w:firstLine="0"/>
        <w:jc w:val="both"/>
        <w:rPr>
          <w:color w:val="000000"/>
        </w:rPr>
      </w:pPr>
    </w:p>
    <w:p w:rsidR="00D917CA" w:rsidRDefault="00D917CA" w:rsidP="00D917CA">
      <w:pP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5.2</w:t>
      </w:r>
      <w:r>
        <w:rPr>
          <w:b/>
          <w:color w:val="000000"/>
        </w:rPr>
        <w:tab/>
        <w:t>Farmakokinetické údaje</w:t>
      </w:r>
    </w:p>
    <w:p w:rsidR="00D917CA" w:rsidRDefault="00D917CA" w:rsidP="00D917CA">
      <w:pPr>
        <w:ind w:left="0" w:firstLine="0"/>
        <w:jc w:val="both"/>
        <w:rPr>
          <w:color w:val="FF0000"/>
        </w:rPr>
      </w:pPr>
    </w:p>
    <w:p w:rsidR="00D917CA" w:rsidRDefault="00D917CA" w:rsidP="00D917CA">
      <w:pPr>
        <w:ind w:left="0" w:firstLine="0"/>
        <w:jc w:val="both"/>
      </w:pPr>
      <w:proofErr w:type="spellStart"/>
      <w:r>
        <w:t>Amprolium</w:t>
      </w:r>
      <w:proofErr w:type="spellEnd"/>
      <w:r>
        <w:t xml:space="preserve"> je po perorálním podání málo absorbováno, maximální koncentrace je dosažena po 4 hodinách. Vylučuje se zejména trusem.</w:t>
      </w: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</w:pPr>
      <w:proofErr w:type="spellStart"/>
      <w:r>
        <w:t>Propylenglykol</w:t>
      </w:r>
      <w:proofErr w:type="spellEnd"/>
    </w:p>
    <w:p w:rsidR="00D917CA" w:rsidRDefault="00D917CA" w:rsidP="00D917CA">
      <w:pPr>
        <w:jc w:val="both"/>
      </w:pPr>
      <w:r>
        <w:t xml:space="preserve">Sodná sůl </w:t>
      </w:r>
      <w:proofErr w:type="spellStart"/>
      <w:r>
        <w:t>methylparabenu</w:t>
      </w:r>
      <w:proofErr w:type="spellEnd"/>
      <w:r>
        <w:t xml:space="preserve"> (E 219)</w:t>
      </w:r>
      <w:r>
        <w:tab/>
      </w:r>
    </w:p>
    <w:p w:rsidR="00D917CA" w:rsidRDefault="00D917CA" w:rsidP="00D917CA">
      <w:pPr>
        <w:jc w:val="both"/>
      </w:pPr>
      <w:r>
        <w:t xml:space="preserve">Sodná sůl </w:t>
      </w:r>
      <w:proofErr w:type="spellStart"/>
      <w:r>
        <w:t>propylparabenu</w:t>
      </w:r>
      <w:proofErr w:type="spellEnd"/>
      <w:r>
        <w:tab/>
      </w:r>
    </w:p>
    <w:p w:rsidR="00D917CA" w:rsidRDefault="00D917CA" w:rsidP="00D917CA">
      <w:pPr>
        <w:jc w:val="both"/>
      </w:pPr>
      <w:r>
        <w:t>Čištěná voda</w:t>
      </w:r>
    </w:p>
    <w:p w:rsidR="00D917CA" w:rsidRDefault="00D917CA" w:rsidP="00D917CA">
      <w:pPr>
        <w:jc w:val="both"/>
        <w:rPr>
          <w:b/>
        </w:rPr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6.2</w:t>
      </w:r>
      <w:r>
        <w:rPr>
          <w:b/>
        </w:rPr>
        <w:tab/>
        <w:t>Inkompatibility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</w:pPr>
      <w:r>
        <w:t>Studie kompatibility nejsou k dispozici, a proto tento veterinární léčivý přípravek nesmí být mísen s žádnými dalšími veterinárními léčivými přípravky.</w:t>
      </w: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6.3</w:t>
      </w:r>
      <w:r>
        <w:rPr>
          <w:b/>
        </w:rPr>
        <w:tab/>
        <w:t>Doba použitelnosti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ind w:right="-318"/>
        <w:jc w:val="both"/>
      </w:pPr>
      <w:r>
        <w:t xml:space="preserve">Doba použitelnosti veterinárního léčivého přípravku v neporušeném obalu: </w:t>
      </w:r>
      <w:r w:rsidR="00844A4A">
        <w:t xml:space="preserve">2 </w:t>
      </w:r>
      <w:r>
        <w:t>roky.</w:t>
      </w:r>
    </w:p>
    <w:p w:rsidR="00D917CA" w:rsidRDefault="00D917CA" w:rsidP="00D917CA">
      <w:pPr>
        <w:ind w:right="-318"/>
        <w:jc w:val="both"/>
      </w:pPr>
      <w:r>
        <w:t>Doba použitelnosti po prvním otevření vnitřního obalu: 6 měsíců.</w:t>
      </w:r>
    </w:p>
    <w:p w:rsidR="00D917CA" w:rsidRDefault="00D917CA" w:rsidP="00D917CA">
      <w:pPr>
        <w:ind w:right="-318"/>
        <w:jc w:val="both"/>
      </w:pPr>
      <w:r>
        <w:t>Doba použitelnosti po naředění nebo rekonstituci podle návodu: 24 hodin.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ind w:right="-318"/>
        <w:jc w:val="both"/>
      </w:pPr>
      <w:r>
        <w:t xml:space="preserve">Tento veterinární léčivý přípravek nevyžaduje žádné zvláštní podmínky uchovávání. 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6.5</w:t>
      </w:r>
      <w:r>
        <w:rPr>
          <w:b/>
        </w:rPr>
        <w:tab/>
        <w:t>Druh a složení vnitřního obalu</w:t>
      </w:r>
    </w:p>
    <w:p w:rsidR="00D917CA" w:rsidRDefault="00D917CA" w:rsidP="00D917CA">
      <w:pPr>
        <w:jc w:val="both"/>
      </w:pPr>
    </w:p>
    <w:p w:rsidR="00D917CA" w:rsidRDefault="00D917CA" w:rsidP="00D917CA">
      <w:pPr>
        <w:ind w:left="0" w:firstLine="0"/>
        <w:jc w:val="both"/>
      </w:pPr>
      <w:r>
        <w:t xml:space="preserve">100 ml, 1 l: bílé neprůhledné HDPE lahve s indukčním těsněním a šroubovacím uzávěrem. </w:t>
      </w:r>
    </w:p>
    <w:p w:rsidR="00D917CA" w:rsidRDefault="00D917CA" w:rsidP="00D917CA">
      <w:pPr>
        <w:ind w:left="0" w:firstLine="0"/>
        <w:jc w:val="both"/>
      </w:pPr>
      <w:r>
        <w:t>5 l: bílý neprůhledný HDPE sud s indukčním těsněním a šroubovacím uzávěrem.</w:t>
      </w:r>
    </w:p>
    <w:p w:rsidR="00D917CA" w:rsidRDefault="00D917CA" w:rsidP="00D917CA">
      <w:pPr>
        <w:ind w:left="0" w:firstLine="0"/>
        <w:jc w:val="both"/>
      </w:pPr>
      <w:r>
        <w:t>Velikosti balení: 1 l, 5 l, 12 x 1 l v papírové krabici, 4 x 5 l v papírové krabici, 10 x 100 ml v papírové krabici s příbalovou informací.</w:t>
      </w:r>
    </w:p>
    <w:p w:rsidR="00D917CA" w:rsidRDefault="00D917CA" w:rsidP="00D917CA">
      <w:pPr>
        <w:jc w:val="both"/>
      </w:pPr>
    </w:p>
    <w:p w:rsidR="00D917CA" w:rsidRDefault="00D917CA" w:rsidP="00D917CA">
      <w:pPr>
        <w:jc w:val="both"/>
      </w:pPr>
      <w:r>
        <w:t>Na trhu nemusí být všechny velikosti balení.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6.6</w:t>
      </w:r>
      <w:r>
        <w:tab/>
      </w:r>
      <w:r>
        <w:rPr>
          <w:b/>
        </w:rPr>
        <w:t xml:space="preserve">Zvláštní opatření pro zneškodňování nepoužitého veterinárního léčivého přípravku nebo odpadu, který pochází z tohoto přípravku </w:t>
      </w:r>
    </w:p>
    <w:p w:rsidR="00D917CA" w:rsidRDefault="00D917CA" w:rsidP="00D917CA">
      <w:pPr>
        <w:ind w:left="0" w:right="-318" w:firstLine="0"/>
        <w:jc w:val="both"/>
      </w:pPr>
    </w:p>
    <w:p w:rsidR="00D917CA" w:rsidRDefault="00D917CA" w:rsidP="00D917CA">
      <w:pPr>
        <w:ind w:left="0" w:right="15" w:firstLine="0"/>
        <w:jc w:val="both"/>
      </w:pPr>
      <w:r>
        <w:t>Všechen nepoužitý veterinární léčivý přípravek nebo odpad, který pochází z tohoto přípravku, musí být likvidován podle místních právních předpisů.</w:t>
      </w:r>
    </w:p>
    <w:p w:rsidR="00D917CA" w:rsidRDefault="00D917CA" w:rsidP="00D917CA">
      <w:pPr>
        <w:ind w:left="0" w:firstLine="0"/>
        <w:jc w:val="both"/>
      </w:pP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jc w:val="both"/>
        <w:rPr>
          <w:b/>
        </w:rPr>
      </w:pPr>
      <w:r>
        <w:rPr>
          <w:b/>
        </w:rPr>
        <w:t>7. DRŽITEL ROZHODNUTÍ O REGISTRACI</w:t>
      </w:r>
    </w:p>
    <w:p w:rsidR="00D917CA" w:rsidRDefault="00D917CA" w:rsidP="00D917CA">
      <w:pPr>
        <w:ind w:left="0" w:firstLine="0"/>
        <w:jc w:val="both"/>
        <w:rPr>
          <w:b/>
        </w:rPr>
      </w:pPr>
    </w:p>
    <w:p w:rsidR="00D917CA" w:rsidRPr="00CD10A1" w:rsidRDefault="00D917CA" w:rsidP="00D917CA">
      <w:pPr>
        <w:autoSpaceDE w:val="0"/>
        <w:ind w:left="0" w:firstLine="0"/>
        <w:jc w:val="both"/>
        <w:rPr>
          <w:rFonts w:cs="Arial"/>
          <w:szCs w:val="22"/>
        </w:rPr>
      </w:pPr>
      <w:r w:rsidRPr="00CD10A1">
        <w:rPr>
          <w:rFonts w:cs="Arial"/>
          <w:szCs w:val="22"/>
        </w:rPr>
        <w:t>SP VETERINARIA SA</w:t>
      </w:r>
    </w:p>
    <w:p w:rsidR="00D917CA" w:rsidRPr="00CD10A1" w:rsidRDefault="00D917CA" w:rsidP="00D917CA">
      <w:pPr>
        <w:autoSpaceDE w:val="0"/>
        <w:jc w:val="both"/>
        <w:rPr>
          <w:rFonts w:cs="Arial"/>
          <w:szCs w:val="22"/>
        </w:rPr>
      </w:pPr>
      <w:proofErr w:type="spellStart"/>
      <w:r w:rsidRPr="00CD10A1">
        <w:rPr>
          <w:rFonts w:cs="Arial"/>
          <w:szCs w:val="22"/>
        </w:rPr>
        <w:t>Ctra</w:t>
      </w:r>
      <w:proofErr w:type="spellEnd"/>
      <w:r w:rsidRPr="00CD10A1">
        <w:rPr>
          <w:rFonts w:cs="Arial"/>
          <w:szCs w:val="22"/>
        </w:rPr>
        <w:t xml:space="preserve"> </w:t>
      </w:r>
      <w:proofErr w:type="spellStart"/>
      <w:r w:rsidRPr="00CD10A1">
        <w:rPr>
          <w:rFonts w:cs="Arial"/>
          <w:szCs w:val="22"/>
        </w:rPr>
        <w:t>Reus</w:t>
      </w:r>
      <w:proofErr w:type="spellEnd"/>
      <w:r w:rsidRPr="00CD10A1">
        <w:rPr>
          <w:rFonts w:cs="Arial"/>
          <w:szCs w:val="22"/>
        </w:rPr>
        <w:t xml:space="preserve"> </w:t>
      </w:r>
      <w:proofErr w:type="spellStart"/>
      <w:r w:rsidRPr="00CD10A1">
        <w:rPr>
          <w:rFonts w:cs="Arial"/>
          <w:szCs w:val="22"/>
        </w:rPr>
        <w:t>Vinyols</w:t>
      </w:r>
      <w:proofErr w:type="spellEnd"/>
      <w:r w:rsidRPr="00CD10A1">
        <w:rPr>
          <w:rFonts w:cs="Arial"/>
          <w:szCs w:val="22"/>
        </w:rPr>
        <w:t xml:space="preserve"> km 4.1</w:t>
      </w:r>
    </w:p>
    <w:p w:rsidR="00D917CA" w:rsidRPr="00CD10A1" w:rsidRDefault="00D917CA" w:rsidP="00D917CA">
      <w:pPr>
        <w:autoSpaceDE w:val="0"/>
        <w:jc w:val="both"/>
        <w:rPr>
          <w:rFonts w:cs="Arial"/>
          <w:szCs w:val="22"/>
        </w:rPr>
      </w:pPr>
      <w:proofErr w:type="spellStart"/>
      <w:r w:rsidRPr="00CD10A1">
        <w:rPr>
          <w:rFonts w:cs="Arial"/>
          <w:szCs w:val="22"/>
        </w:rPr>
        <w:t>Riudoms</w:t>
      </w:r>
      <w:proofErr w:type="spellEnd"/>
      <w:r w:rsidRPr="00CD10A1">
        <w:rPr>
          <w:rFonts w:cs="Arial"/>
          <w:szCs w:val="22"/>
        </w:rPr>
        <w:t xml:space="preserve"> (43330)</w:t>
      </w:r>
    </w:p>
    <w:p w:rsidR="00D917CA" w:rsidRDefault="00D917CA" w:rsidP="00D917CA">
      <w:pPr>
        <w:autoSpaceDE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Španělsko</w:t>
      </w:r>
    </w:p>
    <w:p w:rsidR="00D917CA" w:rsidRPr="00CD10A1" w:rsidRDefault="00D917CA" w:rsidP="00D917CA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D917CA" w:rsidRDefault="00D917CA" w:rsidP="00D917CA">
      <w:pPr>
        <w:ind w:left="0" w:right="-318" w:firstLine="0"/>
        <w:jc w:val="both"/>
      </w:pPr>
    </w:p>
    <w:p w:rsidR="00D917CA" w:rsidRDefault="00D917CA" w:rsidP="00D917CA">
      <w:pPr>
        <w:ind w:right="-318"/>
        <w:jc w:val="both"/>
        <w:rPr>
          <w:b/>
          <w:caps/>
        </w:rPr>
      </w:pPr>
      <w:r>
        <w:rPr>
          <w:b/>
        </w:rPr>
        <w:t>8.</w:t>
      </w:r>
      <w:r>
        <w:tab/>
      </w:r>
      <w:r>
        <w:rPr>
          <w:b/>
          <w:caps/>
        </w:rPr>
        <w:t>Registrační číslo</w:t>
      </w:r>
    </w:p>
    <w:p w:rsidR="00D917CA" w:rsidRDefault="00D917CA" w:rsidP="00D917CA">
      <w:pPr>
        <w:ind w:right="-318"/>
        <w:jc w:val="both"/>
        <w:rPr>
          <w:b/>
          <w:caps/>
        </w:rPr>
      </w:pPr>
    </w:p>
    <w:p w:rsidR="00D917CA" w:rsidRPr="004669F7" w:rsidRDefault="00D917CA" w:rsidP="00D917CA">
      <w:pPr>
        <w:ind w:right="-318"/>
        <w:jc w:val="both"/>
        <w:rPr>
          <w:caps/>
        </w:rPr>
      </w:pPr>
      <w:r w:rsidRPr="004669F7">
        <w:rPr>
          <w:caps/>
        </w:rPr>
        <w:t>96/042/12-C</w:t>
      </w:r>
    </w:p>
    <w:p w:rsidR="00D917CA" w:rsidRDefault="00D917CA" w:rsidP="00D917CA">
      <w:pPr>
        <w:ind w:right="-318"/>
        <w:jc w:val="both"/>
        <w:rPr>
          <w:b/>
          <w:caps/>
        </w:rPr>
      </w:pPr>
    </w:p>
    <w:p w:rsidR="00D917CA" w:rsidRDefault="00D917CA" w:rsidP="00D917CA">
      <w:pPr>
        <w:ind w:right="-318"/>
        <w:jc w:val="both"/>
        <w:rPr>
          <w:b/>
          <w:caps/>
        </w:rPr>
      </w:pPr>
    </w:p>
    <w:p w:rsidR="00D917CA" w:rsidRDefault="00D917CA" w:rsidP="00D917CA">
      <w:pPr>
        <w:ind w:right="-318"/>
        <w:jc w:val="both"/>
        <w:rPr>
          <w:b/>
          <w:caps/>
        </w:rPr>
      </w:pPr>
      <w:r>
        <w:rPr>
          <w:b/>
          <w:caps/>
        </w:rPr>
        <w:t>9.</w:t>
      </w:r>
      <w:r>
        <w:rPr>
          <w:b/>
          <w:caps/>
        </w:rPr>
        <w:tab/>
        <w:t>Datum registrace/ prodloužení registrace</w:t>
      </w:r>
    </w:p>
    <w:p w:rsidR="00D917CA" w:rsidRDefault="00D917CA" w:rsidP="00D917CA">
      <w:pPr>
        <w:ind w:right="-318"/>
        <w:jc w:val="both"/>
        <w:rPr>
          <w:b/>
          <w:caps/>
        </w:rPr>
      </w:pPr>
    </w:p>
    <w:p w:rsidR="00D917CA" w:rsidRDefault="00D917CA" w:rsidP="00D917CA">
      <w:pPr>
        <w:ind w:right="-318"/>
        <w:jc w:val="both"/>
      </w:pPr>
      <w:r>
        <w:t>19. 4. 2012/ 8. 8. 2017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ind w:right="-318"/>
        <w:jc w:val="both"/>
        <w:rPr>
          <w:b/>
        </w:rPr>
      </w:pPr>
      <w:r>
        <w:rPr>
          <w:b/>
        </w:rPr>
        <w:t>10. DATUM REVIZE TEXTU</w:t>
      </w:r>
    </w:p>
    <w:p w:rsidR="00D917CA" w:rsidRDefault="00D917CA" w:rsidP="00D917CA">
      <w:pPr>
        <w:ind w:right="-318"/>
        <w:jc w:val="both"/>
        <w:rPr>
          <w:b/>
        </w:rPr>
      </w:pPr>
    </w:p>
    <w:p w:rsidR="00D917CA" w:rsidRDefault="00844A4A" w:rsidP="00D917CA">
      <w:pPr>
        <w:ind w:right="-318"/>
        <w:jc w:val="both"/>
      </w:pPr>
      <w:r>
        <w:t>Září 2022</w:t>
      </w:r>
    </w:p>
    <w:p w:rsidR="00D917CA" w:rsidRDefault="00D917CA" w:rsidP="00D917CA">
      <w:pPr>
        <w:ind w:right="-318"/>
        <w:jc w:val="both"/>
        <w:rPr>
          <w:b/>
        </w:rPr>
      </w:pPr>
    </w:p>
    <w:p w:rsidR="00D917CA" w:rsidRDefault="00D917CA" w:rsidP="00D917CA">
      <w:pPr>
        <w:rPr>
          <w:b/>
        </w:rPr>
      </w:pPr>
    </w:p>
    <w:p w:rsidR="00D917CA" w:rsidRDefault="00D917CA" w:rsidP="00D917CA">
      <w:r>
        <w:rPr>
          <w:b/>
        </w:rPr>
        <w:t>DALŠÍ INFORMACE</w:t>
      </w:r>
    </w:p>
    <w:p w:rsidR="00D917CA" w:rsidRDefault="00D917CA" w:rsidP="00D917CA">
      <w:pPr>
        <w:ind w:right="-318"/>
        <w:jc w:val="both"/>
      </w:pPr>
    </w:p>
    <w:p w:rsidR="00D917CA" w:rsidRDefault="00D917CA" w:rsidP="00D917CA">
      <w:pPr>
        <w:ind w:right="-318"/>
      </w:pPr>
      <w:r>
        <w:t>Veterinární léčivý přípravek je vydáván pouze na předpis.</w:t>
      </w:r>
    </w:p>
    <w:p w:rsidR="00D917CA" w:rsidRDefault="00D917CA" w:rsidP="00D917CA">
      <w:pPr>
        <w:jc w:val="both"/>
      </w:pPr>
    </w:p>
    <w:p w:rsidR="00D917CA" w:rsidRPr="000832F0" w:rsidRDefault="00D917CA" w:rsidP="00D917CA"/>
    <w:p w:rsidR="00D917CA" w:rsidRPr="00AC7AD4" w:rsidRDefault="00D917CA" w:rsidP="00D917CA"/>
    <w:p w:rsidR="00990659" w:rsidRDefault="00990659">
      <w:bookmarkStart w:id="2" w:name="result_box4"/>
      <w:bookmarkStart w:id="3" w:name="result_box8"/>
      <w:bookmarkStart w:id="4" w:name="result_box41"/>
      <w:bookmarkStart w:id="5" w:name="result_box411"/>
      <w:bookmarkEnd w:id="2"/>
      <w:bookmarkEnd w:id="3"/>
      <w:bookmarkEnd w:id="4"/>
      <w:bookmarkEnd w:id="5"/>
    </w:p>
    <w:sectPr w:rsidR="00990659" w:rsidSect="00A91897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BC" w:rsidRDefault="00E46BBC">
      <w:r>
        <w:separator/>
      </w:r>
    </w:p>
  </w:endnote>
  <w:endnote w:type="continuationSeparator" w:id="0">
    <w:p w:rsidR="00E46BBC" w:rsidRDefault="00E4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9B23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A5F4E">
      <w:instrText xml:space="preserve"> PAGE  \* MERGEFORMAT </w:instrText>
    </w:r>
    <w:r>
      <w:fldChar w:fldCharType="separate"/>
    </w:r>
    <w:r w:rsidR="00D917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9B23B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A5F4E">
      <w:instrText xml:space="preserve"> PAGE  \* MERGEFORMAT </w:instrText>
    </w:r>
    <w:r>
      <w:fldChar w:fldCharType="separate"/>
    </w:r>
    <w:r w:rsidR="00D917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BC" w:rsidRDefault="00E46BBC">
      <w:r>
        <w:separator/>
      </w:r>
    </w:p>
  </w:footnote>
  <w:footnote w:type="continuationSeparator" w:id="0">
    <w:p w:rsidR="00E46BBC" w:rsidRDefault="00E4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2"/>
  </w:num>
  <w:num w:numId="7">
    <w:abstractNumId w:val="22"/>
  </w:num>
  <w:num w:numId="8">
    <w:abstractNumId w:val="21"/>
  </w:num>
  <w:num w:numId="9">
    <w:abstractNumId w:val="7"/>
  </w:num>
  <w:num w:numId="10">
    <w:abstractNumId w:val="32"/>
  </w:num>
  <w:num w:numId="11">
    <w:abstractNumId w:val="33"/>
  </w:num>
  <w:num w:numId="12">
    <w:abstractNumId w:val="17"/>
  </w:num>
  <w:num w:numId="13">
    <w:abstractNumId w:val="14"/>
  </w:num>
  <w:num w:numId="14">
    <w:abstractNumId w:val="3"/>
  </w:num>
  <w:num w:numId="15">
    <w:abstractNumId w:val="31"/>
  </w:num>
  <w:num w:numId="16">
    <w:abstractNumId w:val="19"/>
  </w:num>
  <w:num w:numId="17">
    <w:abstractNumId w:val="36"/>
  </w:num>
  <w:num w:numId="18">
    <w:abstractNumId w:val="8"/>
  </w:num>
  <w:num w:numId="19">
    <w:abstractNumId w:val="2"/>
  </w:num>
  <w:num w:numId="20">
    <w:abstractNumId w:val="18"/>
  </w:num>
  <w:num w:numId="21">
    <w:abstractNumId w:val="4"/>
  </w:num>
  <w:num w:numId="22">
    <w:abstractNumId w:val="6"/>
  </w:num>
  <w:num w:numId="23">
    <w:abstractNumId w:val="25"/>
  </w:num>
  <w:num w:numId="24">
    <w:abstractNumId w:val="11"/>
  </w:num>
  <w:num w:numId="25">
    <w:abstractNumId w:val="30"/>
  </w:num>
  <w:num w:numId="26">
    <w:abstractNumId w:val="24"/>
  </w:num>
  <w:num w:numId="27">
    <w:abstractNumId w:val="13"/>
  </w:num>
  <w:num w:numId="28">
    <w:abstractNumId w:val="10"/>
  </w:num>
  <w:num w:numId="29">
    <w:abstractNumId w:val="20"/>
  </w:num>
  <w:num w:numId="30">
    <w:abstractNumId w:val="23"/>
  </w:num>
  <w:num w:numId="31">
    <w:abstractNumId w:val="15"/>
  </w:num>
  <w:num w:numId="32">
    <w:abstractNumId w:val="9"/>
  </w:num>
  <w:num w:numId="33">
    <w:abstractNumId w:val="28"/>
  </w:num>
  <w:num w:numId="34">
    <w:abstractNumId w:val="29"/>
  </w:num>
  <w:num w:numId="35">
    <w:abstractNumId w:val="27"/>
  </w:num>
  <w:num w:numId="36">
    <w:abstractNumId w:val="16"/>
  </w:num>
  <w:num w:numId="37">
    <w:abstractNumId w:val="5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120C24"/>
    <w:rsid w:val="0017288C"/>
    <w:rsid w:val="00191946"/>
    <w:rsid w:val="001A5F4E"/>
    <w:rsid w:val="002A0BAF"/>
    <w:rsid w:val="002F50F3"/>
    <w:rsid w:val="007F2019"/>
    <w:rsid w:val="00814D8D"/>
    <w:rsid w:val="00844A4A"/>
    <w:rsid w:val="00894714"/>
    <w:rsid w:val="00990659"/>
    <w:rsid w:val="009A4EDF"/>
    <w:rsid w:val="009B23B2"/>
    <w:rsid w:val="00A12818"/>
    <w:rsid w:val="00A82534"/>
    <w:rsid w:val="00A90943"/>
    <w:rsid w:val="00A91897"/>
    <w:rsid w:val="00C51F8D"/>
    <w:rsid w:val="00D917CA"/>
    <w:rsid w:val="00E46BBC"/>
    <w:rsid w:val="00E71162"/>
    <w:rsid w:val="00F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8207"/>
  <w15:docId w15:val="{84EBE090-2A38-4444-BDDA-8774977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A91897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A9189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A9189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A9189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A9189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A9189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A9189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9189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A9189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9189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189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A9189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A91897"/>
    <w:pPr>
      <w:ind w:left="1760"/>
    </w:pPr>
  </w:style>
  <w:style w:type="character" w:styleId="Odkaznavysvtlivky">
    <w:name w:val="endnote reference"/>
    <w:rsid w:val="00A91897"/>
    <w:rPr>
      <w:vertAlign w:val="superscript"/>
    </w:rPr>
  </w:style>
  <w:style w:type="character" w:styleId="Znakapoznpodarou">
    <w:name w:val="footnote reference"/>
    <w:rsid w:val="00A91897"/>
    <w:rPr>
      <w:vertAlign w:val="superscript"/>
    </w:rPr>
  </w:style>
  <w:style w:type="paragraph" w:styleId="Textpoznpodarou">
    <w:name w:val="footnote text"/>
    <w:basedOn w:val="Normln"/>
    <w:rsid w:val="00A91897"/>
    <w:pPr>
      <w:jc w:val="both"/>
    </w:pPr>
    <w:rPr>
      <w:sz w:val="20"/>
    </w:rPr>
  </w:style>
  <w:style w:type="paragraph" w:styleId="Zkladntext">
    <w:name w:val="Body Text"/>
    <w:basedOn w:val="Normln"/>
    <w:rsid w:val="00A91897"/>
    <w:pPr>
      <w:jc w:val="both"/>
    </w:pPr>
  </w:style>
  <w:style w:type="paragraph" w:styleId="Textvbloku">
    <w:name w:val="Block Text"/>
    <w:basedOn w:val="Normln"/>
    <w:rsid w:val="00A91897"/>
    <w:pPr>
      <w:ind w:left="2268" w:right="1711"/>
    </w:pPr>
    <w:rPr>
      <w:b/>
    </w:rPr>
  </w:style>
  <w:style w:type="paragraph" w:styleId="Zkladntext2">
    <w:name w:val="Body Text 2"/>
    <w:basedOn w:val="Normln"/>
    <w:rsid w:val="00A91897"/>
    <w:rPr>
      <w:b/>
    </w:rPr>
  </w:style>
  <w:style w:type="paragraph" w:styleId="Zkladntext3">
    <w:name w:val="Body Text 3"/>
    <w:basedOn w:val="Normln"/>
    <w:rsid w:val="00A9189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A91897"/>
  </w:style>
  <w:style w:type="character" w:styleId="Odkaznakoment">
    <w:name w:val="annotation reference"/>
    <w:rsid w:val="00A91897"/>
    <w:rPr>
      <w:sz w:val="16"/>
    </w:rPr>
  </w:style>
  <w:style w:type="paragraph" w:styleId="Zkladntextodsazen2">
    <w:name w:val="Body Text Indent 2"/>
    <w:basedOn w:val="Normln"/>
    <w:rsid w:val="00A91897"/>
    <w:pPr>
      <w:jc w:val="both"/>
    </w:pPr>
    <w:rPr>
      <w:b/>
    </w:rPr>
  </w:style>
  <w:style w:type="paragraph" w:styleId="Textkomente">
    <w:name w:val="annotation text"/>
    <w:basedOn w:val="Normln"/>
    <w:rsid w:val="00A91897"/>
    <w:rPr>
      <w:sz w:val="20"/>
    </w:rPr>
  </w:style>
  <w:style w:type="paragraph" w:styleId="Zkladntextodsazen3">
    <w:name w:val="Body Text Indent 3"/>
    <w:basedOn w:val="Normln"/>
    <w:rsid w:val="00A91897"/>
  </w:style>
  <w:style w:type="paragraph" w:customStyle="1" w:styleId="Bullet">
    <w:name w:val="Bullet"/>
    <w:basedOn w:val="Normln"/>
    <w:rsid w:val="00A91897"/>
    <w:pPr>
      <w:numPr>
        <w:numId w:val="2"/>
      </w:numPr>
    </w:pPr>
  </w:style>
  <w:style w:type="paragraph" w:styleId="Textbubliny">
    <w:name w:val="Balloon Text"/>
    <w:basedOn w:val="Normln"/>
    <w:rsid w:val="00A91897"/>
    <w:rPr>
      <w:rFonts w:ascii="Tahoma" w:hAnsi="Tahoma" w:cs="Tahoma"/>
      <w:sz w:val="16"/>
      <w:szCs w:val="16"/>
    </w:rPr>
  </w:style>
  <w:style w:type="character" w:styleId="Hypertextovodkaz">
    <w:name w:val="Hyperlink"/>
    <w:rsid w:val="00A91897"/>
    <w:rPr>
      <w:color w:val="0000FF"/>
      <w:u w:val="single"/>
    </w:rPr>
  </w:style>
  <w:style w:type="paragraph" w:customStyle="1" w:styleId="AHeader1">
    <w:name w:val="AHeader 1"/>
    <w:basedOn w:val="Normln"/>
    <w:rsid w:val="00A9189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A9189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A9189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A9189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A9189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A918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Nejezchlebová Ladislava</dc:creator>
  <cp:keywords/>
  <dc:description/>
  <cp:lastModifiedBy>Šťastná Hana</cp:lastModifiedBy>
  <cp:revision>4</cp:revision>
  <cp:lastPrinted>2022-11-04T07:45:00Z</cp:lastPrinted>
  <dcterms:created xsi:type="dcterms:W3CDTF">2022-10-31T09:45:00Z</dcterms:created>
  <dcterms:modified xsi:type="dcterms:W3CDTF">2022-11-04T07:45:00Z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