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E8C6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CB6E84B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FFA6E12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55D86E1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00C0D26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961597A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6B25BBC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37620E6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D8FD16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71ED31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DA52D1D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4C0BA34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30B442B8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0E7060EB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0842C335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044785B3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46E0D568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3A67C528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3A036939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2FE87372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03A197B0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dstrike/>
          <w:szCs w:val="22"/>
        </w:rPr>
      </w:pPr>
    </w:p>
    <w:p w14:paraId="6944E20C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13FDE">
        <w:rPr>
          <w:b/>
          <w:szCs w:val="22"/>
        </w:rPr>
        <w:t>PŘÍLOHA I</w:t>
      </w:r>
    </w:p>
    <w:p w14:paraId="12A0DF86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0ABC024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86AEA">
        <w:rPr>
          <w:b/>
          <w:szCs w:val="22"/>
        </w:rPr>
        <w:t>SOUHRN ÚDAJŮ O PŘÍPRAVKU</w:t>
      </w:r>
    </w:p>
    <w:p w14:paraId="17F70237" w14:textId="77777777" w:rsidR="007F0133" w:rsidRPr="00586AEA" w:rsidRDefault="007F0133" w:rsidP="00586AEA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7A1CC959" w14:textId="77777777" w:rsidR="007F0133" w:rsidRPr="00586AEA" w:rsidRDefault="007F0133" w:rsidP="00586AEA">
      <w:pPr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br w:type="page"/>
      </w:r>
      <w:r w:rsidRPr="00586AEA">
        <w:rPr>
          <w:b/>
          <w:szCs w:val="22"/>
        </w:rPr>
        <w:lastRenderedPageBreak/>
        <w:t>1.</w:t>
      </w:r>
      <w:r w:rsidRPr="00586AEA">
        <w:rPr>
          <w:b/>
          <w:szCs w:val="22"/>
        </w:rPr>
        <w:tab/>
        <w:t>NÁZEV VETERINÁRNÍHO LÉČIVÉHO PŘÍPRAVKU</w:t>
      </w:r>
    </w:p>
    <w:p w14:paraId="3D656593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75F6972F" w14:textId="4E67A19B" w:rsidR="007F0133" w:rsidRPr="00586AEA" w:rsidRDefault="007F0133" w:rsidP="00586AEA">
      <w:pPr>
        <w:tabs>
          <w:tab w:val="clear" w:pos="567"/>
        </w:tabs>
        <w:spacing w:line="240" w:lineRule="auto"/>
        <w:rPr>
          <w:kern w:val="14"/>
          <w:szCs w:val="22"/>
        </w:rPr>
      </w:pPr>
      <w:bookmarkStart w:id="0" w:name="_Hlk153530562"/>
      <w:proofErr w:type="spellStart"/>
      <w:r w:rsidRPr="00586AEA">
        <w:rPr>
          <w:b/>
          <w:szCs w:val="22"/>
        </w:rPr>
        <w:t>Pharmasin</w:t>
      </w:r>
      <w:proofErr w:type="spellEnd"/>
      <w:r w:rsidRPr="00586AEA">
        <w:rPr>
          <w:b/>
          <w:szCs w:val="22"/>
        </w:rPr>
        <w:t xml:space="preserve"> </w:t>
      </w:r>
      <w:r w:rsidR="00F42416">
        <w:rPr>
          <w:b/>
          <w:bCs/>
        </w:rPr>
        <w:t>1 g/g</w:t>
      </w:r>
      <w:r w:rsidR="00F42416" w:rsidRPr="00B04976">
        <w:rPr>
          <w:b/>
          <w:bCs/>
        </w:rPr>
        <w:t xml:space="preserve"> </w:t>
      </w:r>
      <w:r w:rsidRPr="00586AEA">
        <w:rPr>
          <w:b/>
          <w:szCs w:val="22"/>
        </w:rPr>
        <w:t>granule pro podání v pitné vodě</w:t>
      </w:r>
      <w:r w:rsidRPr="00586AEA">
        <w:rPr>
          <w:szCs w:val="22"/>
        </w:rPr>
        <w:t xml:space="preserve"> </w:t>
      </w:r>
    </w:p>
    <w:p w14:paraId="1012DDAA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kern w:val="14"/>
          <w:szCs w:val="22"/>
        </w:rPr>
      </w:pPr>
      <w:r w:rsidRPr="00586AEA">
        <w:rPr>
          <w:szCs w:val="22"/>
        </w:rPr>
        <w:t>pro prasata, kura domácího, krůty a telata</w:t>
      </w:r>
      <w:bookmarkEnd w:id="0"/>
      <w:r w:rsidRPr="00586AEA">
        <w:rPr>
          <w:szCs w:val="22"/>
        </w:rPr>
        <w:t>.</w:t>
      </w:r>
    </w:p>
    <w:p w14:paraId="4B052BF2" w14:textId="20D26853" w:rsidR="007F0133" w:rsidRDefault="007F0133" w:rsidP="00586AEA">
      <w:pPr>
        <w:tabs>
          <w:tab w:val="clear" w:pos="567"/>
          <w:tab w:val="left" w:pos="5880"/>
        </w:tabs>
        <w:spacing w:line="240" w:lineRule="auto"/>
        <w:rPr>
          <w:szCs w:val="22"/>
        </w:rPr>
      </w:pPr>
    </w:p>
    <w:p w14:paraId="42F90242" w14:textId="77777777" w:rsidR="00586AEA" w:rsidRPr="00586AEA" w:rsidRDefault="00586AEA" w:rsidP="00586AEA">
      <w:pPr>
        <w:tabs>
          <w:tab w:val="clear" w:pos="567"/>
          <w:tab w:val="left" w:pos="5880"/>
        </w:tabs>
        <w:spacing w:line="240" w:lineRule="auto"/>
        <w:rPr>
          <w:szCs w:val="22"/>
        </w:rPr>
      </w:pPr>
    </w:p>
    <w:p w14:paraId="2073AE38" w14:textId="77777777" w:rsidR="007F0133" w:rsidRPr="00586AEA" w:rsidRDefault="007F0133" w:rsidP="00586AEA">
      <w:pPr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2.</w:t>
      </w:r>
      <w:r w:rsidRPr="00586AEA">
        <w:rPr>
          <w:b/>
          <w:szCs w:val="22"/>
        </w:rPr>
        <w:tab/>
        <w:t>KVALITATIVNÍ A KVANTITATIVNÍ SLOŽENÍ</w:t>
      </w:r>
    </w:p>
    <w:p w14:paraId="10EF62E1" w14:textId="77777777" w:rsidR="007F0133" w:rsidRPr="00586AEA" w:rsidRDefault="007F0133" w:rsidP="00586AEA">
      <w:pPr>
        <w:spacing w:line="240" w:lineRule="auto"/>
        <w:ind w:left="567" w:hanging="567"/>
        <w:rPr>
          <w:b/>
          <w:szCs w:val="22"/>
        </w:rPr>
      </w:pPr>
    </w:p>
    <w:p w14:paraId="4AB0FE9F" w14:textId="77777777" w:rsidR="007F0133" w:rsidRPr="00586AEA" w:rsidRDefault="007F0133" w:rsidP="00586AEA">
      <w:pPr>
        <w:spacing w:line="240" w:lineRule="auto"/>
        <w:ind w:left="567" w:hanging="567"/>
        <w:rPr>
          <w:szCs w:val="22"/>
        </w:rPr>
      </w:pPr>
      <w:r w:rsidRPr="00586AEA">
        <w:rPr>
          <w:szCs w:val="22"/>
        </w:rPr>
        <w:t>Každý 1,1 g granulí obsahuje</w:t>
      </w:r>
    </w:p>
    <w:p w14:paraId="0324EC09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/>
          <w:kern w:val="14"/>
          <w:szCs w:val="22"/>
        </w:rPr>
      </w:pPr>
      <w:r w:rsidRPr="00586AEA">
        <w:rPr>
          <w:b/>
          <w:szCs w:val="22"/>
        </w:rPr>
        <w:t>Léčivá látka:</w:t>
      </w:r>
    </w:p>
    <w:p w14:paraId="3A7FD9AE" w14:textId="77777777" w:rsidR="007F0133" w:rsidRPr="00586AEA" w:rsidRDefault="007F0133" w:rsidP="00213FDE">
      <w:pPr>
        <w:tabs>
          <w:tab w:val="clear" w:pos="567"/>
        </w:tabs>
        <w:spacing w:line="240" w:lineRule="auto"/>
        <w:rPr>
          <w:bCs/>
          <w:kern w:val="14"/>
          <w:szCs w:val="22"/>
        </w:rPr>
      </w:pPr>
      <w:r w:rsidRPr="00586AEA">
        <w:rPr>
          <w:szCs w:val="22"/>
        </w:rPr>
        <w:t>1 000 mg tylosinum (odpovídá 1 100 mg tylosini tartaras)</w:t>
      </w:r>
    </w:p>
    <w:p w14:paraId="55CEBBD5" w14:textId="20068CFB" w:rsidR="007F0133" w:rsidRPr="00586AEA" w:rsidRDefault="003A6E40" w:rsidP="00213FDE">
      <w:pPr>
        <w:tabs>
          <w:tab w:val="clear" w:pos="567"/>
        </w:tabs>
        <w:spacing w:line="240" w:lineRule="auto"/>
        <w:rPr>
          <w:bCs/>
          <w:kern w:val="14"/>
          <w:szCs w:val="22"/>
        </w:rPr>
      </w:pPr>
      <w:r w:rsidRPr="00213FDE">
        <w:rPr>
          <w:szCs w:val="22"/>
        </w:rPr>
        <w:t>Bílé až světle žluté granule.</w:t>
      </w:r>
    </w:p>
    <w:p w14:paraId="7708C021" w14:textId="65D86A1A" w:rsidR="007F0133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3A6B5644" w14:textId="77777777" w:rsidR="00586AEA" w:rsidRPr="00586AEA" w:rsidRDefault="00586AEA" w:rsidP="00586AEA">
      <w:pPr>
        <w:tabs>
          <w:tab w:val="clear" w:pos="567"/>
        </w:tabs>
        <w:spacing w:line="240" w:lineRule="auto"/>
        <w:rPr>
          <w:szCs w:val="22"/>
        </w:rPr>
      </w:pPr>
    </w:p>
    <w:p w14:paraId="25BFA574" w14:textId="77777777" w:rsidR="007F0133" w:rsidRPr="00586AEA" w:rsidRDefault="007F0133" w:rsidP="00586AEA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t>3.</w:t>
      </w:r>
      <w:r w:rsidRPr="00586AEA">
        <w:rPr>
          <w:b/>
          <w:szCs w:val="22"/>
        </w:rPr>
        <w:tab/>
        <w:t>KLINICKÉ INFORMACE</w:t>
      </w:r>
    </w:p>
    <w:p w14:paraId="443B2988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2CB530CE" w14:textId="77777777" w:rsidR="007F0133" w:rsidRPr="00586AEA" w:rsidRDefault="007F0133" w:rsidP="00586AE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3.1</w:t>
      </w:r>
      <w:r w:rsidRPr="00586AEA">
        <w:rPr>
          <w:b/>
          <w:szCs w:val="22"/>
        </w:rPr>
        <w:tab/>
        <w:t>Cílové druhy zvířat</w:t>
      </w:r>
    </w:p>
    <w:p w14:paraId="3E1E25FA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25A3CB2D" w14:textId="1A46FA6B" w:rsidR="007F0133" w:rsidRPr="00586AEA" w:rsidRDefault="003A6E40" w:rsidP="00586AEA">
      <w:pPr>
        <w:tabs>
          <w:tab w:val="clear" w:pos="567"/>
        </w:tabs>
        <w:spacing w:line="240" w:lineRule="auto"/>
        <w:rPr>
          <w:bCs/>
          <w:szCs w:val="22"/>
        </w:rPr>
      </w:pPr>
      <w:r w:rsidRPr="00586AEA">
        <w:rPr>
          <w:szCs w:val="22"/>
        </w:rPr>
        <w:t>Skot (telata), prasata, kur domácí, krůty.</w:t>
      </w:r>
    </w:p>
    <w:p w14:paraId="17B651A5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4866E7AE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  <w:r w:rsidRPr="00586AEA">
        <w:rPr>
          <w:b/>
          <w:szCs w:val="22"/>
        </w:rPr>
        <w:t>3.2</w:t>
      </w:r>
      <w:r w:rsidRPr="00586AEA">
        <w:rPr>
          <w:b/>
          <w:szCs w:val="22"/>
        </w:rPr>
        <w:tab/>
        <w:t>Indikace pro použití pro každý cílový druh zvířat</w:t>
      </w:r>
    </w:p>
    <w:p w14:paraId="2ED2D5A7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695B4088" w14:textId="0309C8DA" w:rsidR="007F0133" w:rsidRPr="00586AEA" w:rsidRDefault="003A6E40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  <w:u w:val="single"/>
        </w:rPr>
        <w:t>Skot (telata)</w:t>
      </w:r>
      <w:r w:rsidRPr="00586AEA">
        <w:rPr>
          <w:szCs w:val="22"/>
        </w:rPr>
        <w:t xml:space="preserve">: </w:t>
      </w:r>
      <w:r w:rsidR="007F0133" w:rsidRPr="00586AEA">
        <w:rPr>
          <w:szCs w:val="22"/>
        </w:rPr>
        <w:t xml:space="preserve">Léčba a </w:t>
      </w:r>
      <w:proofErr w:type="spellStart"/>
      <w:r w:rsidR="0082740D">
        <w:rPr>
          <w:szCs w:val="22"/>
        </w:rPr>
        <w:t>metafylaxe</w:t>
      </w:r>
      <w:proofErr w:type="spellEnd"/>
      <w:r w:rsidR="0082740D" w:rsidRPr="00586AEA">
        <w:rPr>
          <w:szCs w:val="22"/>
        </w:rPr>
        <w:t xml:space="preserve"> </w:t>
      </w:r>
      <w:r w:rsidR="007F0133" w:rsidRPr="00586AEA">
        <w:rPr>
          <w:szCs w:val="22"/>
        </w:rPr>
        <w:t xml:space="preserve">pneumonie vyvolané </w:t>
      </w:r>
      <w:proofErr w:type="spellStart"/>
      <w:r w:rsidR="007F0133" w:rsidRPr="00586AEA">
        <w:rPr>
          <w:i/>
          <w:szCs w:val="22"/>
        </w:rPr>
        <w:t>Mycoplasma</w:t>
      </w:r>
      <w:proofErr w:type="spellEnd"/>
      <w:r w:rsidR="007F0133" w:rsidRPr="00586AEA">
        <w:rPr>
          <w:i/>
          <w:szCs w:val="22"/>
        </w:rPr>
        <w:t xml:space="preserve"> </w:t>
      </w:r>
      <w:proofErr w:type="spellStart"/>
      <w:r w:rsidR="007F0133" w:rsidRPr="00586AEA">
        <w:rPr>
          <w:szCs w:val="22"/>
        </w:rPr>
        <w:t>spp</w:t>
      </w:r>
      <w:proofErr w:type="spellEnd"/>
      <w:r w:rsidR="0082740D">
        <w:rPr>
          <w:i/>
          <w:szCs w:val="22"/>
        </w:rPr>
        <w:t>.</w:t>
      </w:r>
      <w:r w:rsidR="00E1080A">
        <w:rPr>
          <w:i/>
          <w:szCs w:val="22"/>
        </w:rPr>
        <w:t>,</w:t>
      </w:r>
      <w:r w:rsidR="007F0133" w:rsidRPr="00586AEA">
        <w:rPr>
          <w:i/>
          <w:szCs w:val="22"/>
        </w:rPr>
        <w:t xml:space="preserve"> </w:t>
      </w:r>
      <w:r w:rsidR="007F0133" w:rsidRPr="00E25C95">
        <w:rPr>
          <w:szCs w:val="22"/>
        </w:rPr>
        <w:t>bylo-li onemocnění diagnostikováno na úrovni stáda.</w:t>
      </w:r>
    </w:p>
    <w:p w14:paraId="6CC78B94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3E42955E" w14:textId="08283C64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  <w:u w:val="single"/>
        </w:rPr>
        <w:t>Prasata</w:t>
      </w:r>
      <w:r w:rsidRPr="00586AEA">
        <w:rPr>
          <w:szCs w:val="22"/>
        </w:rPr>
        <w:t xml:space="preserve">: Léčba a </w:t>
      </w:r>
      <w:proofErr w:type="spellStart"/>
      <w:r w:rsidR="0082740D">
        <w:rPr>
          <w:szCs w:val="22"/>
        </w:rPr>
        <w:t>metafylaxe</w:t>
      </w:r>
      <w:proofErr w:type="spellEnd"/>
      <w:r w:rsidR="0082740D" w:rsidRPr="00586AEA">
        <w:rPr>
          <w:szCs w:val="22"/>
        </w:rPr>
        <w:t xml:space="preserve"> </w:t>
      </w:r>
      <w:r w:rsidRPr="00586AEA">
        <w:rPr>
          <w:szCs w:val="22"/>
        </w:rPr>
        <w:t xml:space="preserve">enzootické pneumonie vyvolané </w:t>
      </w:r>
      <w:proofErr w:type="spellStart"/>
      <w:r w:rsidRPr="00586AEA">
        <w:rPr>
          <w:i/>
          <w:szCs w:val="22"/>
        </w:rPr>
        <w:t>Mycoplasma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hyopneumoniae</w:t>
      </w:r>
      <w:proofErr w:type="spellEnd"/>
      <w:r w:rsidRPr="00586AEA">
        <w:rPr>
          <w:szCs w:val="22"/>
        </w:rPr>
        <w:t xml:space="preserve"> a </w:t>
      </w:r>
      <w:proofErr w:type="spellStart"/>
      <w:r w:rsidRPr="00586AEA">
        <w:rPr>
          <w:i/>
          <w:szCs w:val="22"/>
        </w:rPr>
        <w:t>Mycoplasma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hyorhinis</w:t>
      </w:r>
      <w:proofErr w:type="spellEnd"/>
      <w:r w:rsidR="00E1080A">
        <w:rPr>
          <w:szCs w:val="22"/>
        </w:rPr>
        <w:t xml:space="preserve">, </w:t>
      </w:r>
      <w:r w:rsidRPr="00586AEA">
        <w:rPr>
          <w:szCs w:val="22"/>
        </w:rPr>
        <w:t>bylo</w:t>
      </w:r>
      <w:r w:rsidR="00E1080A">
        <w:rPr>
          <w:szCs w:val="22"/>
        </w:rPr>
        <w:t>-li</w:t>
      </w:r>
      <w:r w:rsidRPr="00586AEA">
        <w:rPr>
          <w:szCs w:val="22"/>
        </w:rPr>
        <w:t xml:space="preserve"> onemocnění diagnostikováno ve stádu. </w:t>
      </w:r>
    </w:p>
    <w:p w14:paraId="1B690081" w14:textId="77777777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jc w:val="both"/>
        <w:rPr>
          <w:bCs/>
          <w:szCs w:val="22"/>
        </w:rPr>
      </w:pPr>
    </w:p>
    <w:p w14:paraId="26452809" w14:textId="20A91B25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Léčba a </w:t>
      </w:r>
      <w:proofErr w:type="spellStart"/>
      <w:r w:rsidR="0082740D">
        <w:rPr>
          <w:szCs w:val="22"/>
        </w:rPr>
        <w:t>metafylaxe</w:t>
      </w:r>
      <w:proofErr w:type="spellEnd"/>
      <w:r w:rsidR="0082740D" w:rsidRPr="00586AEA">
        <w:rPr>
          <w:szCs w:val="22"/>
        </w:rPr>
        <w:t xml:space="preserve"> </w:t>
      </w:r>
      <w:r w:rsidRPr="00586AEA">
        <w:rPr>
          <w:szCs w:val="22"/>
        </w:rPr>
        <w:t xml:space="preserve">střevní </w:t>
      </w:r>
      <w:proofErr w:type="spellStart"/>
      <w:r w:rsidRPr="00586AEA">
        <w:rPr>
          <w:szCs w:val="22"/>
        </w:rPr>
        <w:t>adenomatózy</w:t>
      </w:r>
      <w:proofErr w:type="spellEnd"/>
      <w:r w:rsidRPr="00586AEA">
        <w:rPr>
          <w:szCs w:val="22"/>
        </w:rPr>
        <w:t xml:space="preserve"> prasat (PIA, ileitis) doprovázené výskytem </w:t>
      </w:r>
      <w:proofErr w:type="spellStart"/>
      <w:r w:rsidRPr="00586AEA">
        <w:rPr>
          <w:i/>
          <w:szCs w:val="22"/>
        </w:rPr>
        <w:t>Lawsonia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intracellularis</w:t>
      </w:r>
      <w:proofErr w:type="spellEnd"/>
      <w:r w:rsidRPr="00586AEA">
        <w:rPr>
          <w:szCs w:val="22"/>
        </w:rPr>
        <w:t>, bylo</w:t>
      </w:r>
      <w:r w:rsidR="00E1080A">
        <w:rPr>
          <w:szCs w:val="22"/>
        </w:rPr>
        <w:t>-li</w:t>
      </w:r>
      <w:r w:rsidRPr="00586AEA">
        <w:rPr>
          <w:szCs w:val="22"/>
        </w:rPr>
        <w:t xml:space="preserve"> onemocnění diagnostikováno ve stádu.</w:t>
      </w:r>
    </w:p>
    <w:p w14:paraId="461DAC93" w14:textId="77777777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jc w:val="both"/>
        <w:rPr>
          <w:bCs/>
          <w:szCs w:val="22"/>
        </w:rPr>
      </w:pPr>
    </w:p>
    <w:p w14:paraId="7B724BEE" w14:textId="21FF39A3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  <w:u w:val="single"/>
        </w:rPr>
        <w:t>Kur</w:t>
      </w:r>
      <w:r w:rsidR="000A298E">
        <w:rPr>
          <w:szCs w:val="22"/>
          <w:u w:val="single"/>
        </w:rPr>
        <w:t xml:space="preserve"> </w:t>
      </w:r>
      <w:r w:rsidRPr="00586AEA">
        <w:rPr>
          <w:szCs w:val="22"/>
          <w:u w:val="single"/>
        </w:rPr>
        <w:t>domácí</w:t>
      </w:r>
      <w:r w:rsidRPr="00586AEA">
        <w:rPr>
          <w:szCs w:val="22"/>
        </w:rPr>
        <w:t xml:space="preserve">: Léčba a </w:t>
      </w:r>
      <w:proofErr w:type="spellStart"/>
      <w:r w:rsidR="00AA7C48">
        <w:rPr>
          <w:szCs w:val="22"/>
        </w:rPr>
        <w:t>metafylaxe</w:t>
      </w:r>
      <w:proofErr w:type="spellEnd"/>
      <w:r w:rsidR="00AA7C48" w:rsidRPr="00586AEA">
        <w:rPr>
          <w:szCs w:val="22"/>
        </w:rPr>
        <w:t xml:space="preserve"> </w:t>
      </w:r>
      <w:r w:rsidRPr="00586AEA">
        <w:rPr>
          <w:szCs w:val="22"/>
        </w:rPr>
        <w:t xml:space="preserve">chronického respiračního onemocnění (CRD) vyvolaného </w:t>
      </w:r>
      <w:proofErr w:type="spellStart"/>
      <w:r w:rsidRPr="00586AEA">
        <w:rPr>
          <w:i/>
          <w:szCs w:val="22"/>
        </w:rPr>
        <w:t>Mycoplasma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gallisepticum</w:t>
      </w:r>
      <w:proofErr w:type="spellEnd"/>
      <w:r w:rsidRPr="00586AEA">
        <w:rPr>
          <w:szCs w:val="22"/>
        </w:rPr>
        <w:t xml:space="preserve"> a </w:t>
      </w:r>
      <w:proofErr w:type="spellStart"/>
      <w:r w:rsidRPr="00586AEA">
        <w:rPr>
          <w:i/>
          <w:szCs w:val="22"/>
        </w:rPr>
        <w:t>Mycoplasma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synoviae</w:t>
      </w:r>
      <w:proofErr w:type="spellEnd"/>
      <w:r w:rsidR="000A298E">
        <w:rPr>
          <w:i/>
          <w:szCs w:val="22"/>
        </w:rPr>
        <w:t>,</w:t>
      </w:r>
      <w:r w:rsidRPr="00586AEA">
        <w:rPr>
          <w:szCs w:val="22"/>
        </w:rPr>
        <w:t xml:space="preserve"> bylo</w:t>
      </w:r>
      <w:r w:rsidR="000A298E">
        <w:rPr>
          <w:szCs w:val="22"/>
        </w:rPr>
        <w:t>-li</w:t>
      </w:r>
      <w:r w:rsidRPr="00586AEA">
        <w:rPr>
          <w:szCs w:val="22"/>
        </w:rPr>
        <w:t xml:space="preserve"> onemocnění diagnostikováno v hejnu.</w:t>
      </w:r>
    </w:p>
    <w:p w14:paraId="6AD7E311" w14:textId="77777777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rPr>
          <w:bCs/>
          <w:szCs w:val="22"/>
        </w:rPr>
      </w:pPr>
    </w:p>
    <w:p w14:paraId="772EFBE2" w14:textId="61FD6CE8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rPr>
          <w:bCs/>
          <w:szCs w:val="22"/>
        </w:rPr>
      </w:pPr>
      <w:r w:rsidRPr="00586AEA">
        <w:rPr>
          <w:szCs w:val="22"/>
        </w:rPr>
        <w:t xml:space="preserve">Léčba a </w:t>
      </w:r>
      <w:proofErr w:type="spellStart"/>
      <w:r w:rsidR="007238BC">
        <w:rPr>
          <w:szCs w:val="22"/>
        </w:rPr>
        <w:t>metafylaxe</w:t>
      </w:r>
      <w:proofErr w:type="spellEnd"/>
      <w:r w:rsidR="007238BC" w:rsidRPr="00586AEA">
        <w:rPr>
          <w:szCs w:val="22"/>
        </w:rPr>
        <w:t xml:space="preserve"> </w:t>
      </w:r>
      <w:r w:rsidRPr="00586AEA">
        <w:rPr>
          <w:szCs w:val="22"/>
        </w:rPr>
        <w:t xml:space="preserve">nekrotické enteritidy vyvolané </w:t>
      </w:r>
      <w:r w:rsidRPr="00586AEA">
        <w:rPr>
          <w:i/>
          <w:szCs w:val="22"/>
        </w:rPr>
        <w:t xml:space="preserve">Clostridium </w:t>
      </w:r>
      <w:proofErr w:type="spellStart"/>
      <w:r w:rsidRPr="00586AEA">
        <w:rPr>
          <w:i/>
          <w:szCs w:val="22"/>
        </w:rPr>
        <w:t>perfringens</w:t>
      </w:r>
      <w:proofErr w:type="spellEnd"/>
      <w:r w:rsidRPr="00586AEA">
        <w:rPr>
          <w:szCs w:val="22"/>
        </w:rPr>
        <w:t>, bylo</w:t>
      </w:r>
      <w:r w:rsidR="00450A08">
        <w:rPr>
          <w:szCs w:val="22"/>
        </w:rPr>
        <w:t>-li</w:t>
      </w:r>
      <w:r w:rsidRPr="00586AEA">
        <w:rPr>
          <w:szCs w:val="22"/>
        </w:rPr>
        <w:t xml:space="preserve"> onemocnění diagnostikováno v hejnu.</w:t>
      </w:r>
    </w:p>
    <w:p w14:paraId="6081FEEA" w14:textId="77777777" w:rsidR="007F0133" w:rsidRPr="00586AEA" w:rsidRDefault="007F0133" w:rsidP="00586AEA">
      <w:pPr>
        <w:tabs>
          <w:tab w:val="clear" w:pos="567"/>
          <w:tab w:val="num" w:pos="720"/>
        </w:tabs>
        <w:spacing w:line="240" w:lineRule="auto"/>
        <w:rPr>
          <w:bCs/>
          <w:i/>
          <w:szCs w:val="22"/>
        </w:rPr>
      </w:pPr>
    </w:p>
    <w:p w14:paraId="761D53E9" w14:textId="4E18747D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  <w:u w:val="single"/>
        </w:rPr>
        <w:t>Krůty</w:t>
      </w:r>
      <w:r w:rsidRPr="00586AEA">
        <w:rPr>
          <w:szCs w:val="22"/>
        </w:rPr>
        <w:t xml:space="preserve">: Léčba a </w:t>
      </w:r>
      <w:proofErr w:type="spellStart"/>
      <w:r w:rsidR="007238BC">
        <w:rPr>
          <w:szCs w:val="22"/>
        </w:rPr>
        <w:t>metafylaxe</w:t>
      </w:r>
      <w:proofErr w:type="spellEnd"/>
      <w:r w:rsidR="007238BC" w:rsidRPr="00586AEA">
        <w:rPr>
          <w:szCs w:val="22"/>
        </w:rPr>
        <w:t xml:space="preserve"> </w:t>
      </w:r>
      <w:r w:rsidRPr="00586AEA">
        <w:rPr>
          <w:szCs w:val="22"/>
        </w:rPr>
        <w:t xml:space="preserve">infekční sinusitidy vyvolané </w:t>
      </w:r>
      <w:proofErr w:type="spellStart"/>
      <w:r w:rsidRPr="00586AEA">
        <w:rPr>
          <w:i/>
          <w:szCs w:val="22"/>
        </w:rPr>
        <w:t>Mycoplasma</w:t>
      </w:r>
      <w:proofErr w:type="spellEnd"/>
      <w:r w:rsidRPr="00586AEA">
        <w:rPr>
          <w:i/>
          <w:szCs w:val="22"/>
        </w:rPr>
        <w:t xml:space="preserve"> </w:t>
      </w:r>
      <w:proofErr w:type="spellStart"/>
      <w:r w:rsidRPr="00586AEA">
        <w:rPr>
          <w:i/>
          <w:szCs w:val="22"/>
        </w:rPr>
        <w:t>gallisepticum</w:t>
      </w:r>
      <w:proofErr w:type="spellEnd"/>
      <w:r w:rsidR="00450A08">
        <w:rPr>
          <w:i/>
          <w:szCs w:val="22"/>
        </w:rPr>
        <w:t>,</w:t>
      </w:r>
      <w:r w:rsidRPr="00586AEA">
        <w:rPr>
          <w:i/>
          <w:szCs w:val="22"/>
        </w:rPr>
        <w:t xml:space="preserve"> </w:t>
      </w:r>
      <w:r w:rsidRPr="00586AEA">
        <w:rPr>
          <w:szCs w:val="22"/>
        </w:rPr>
        <w:t>bylo</w:t>
      </w:r>
      <w:r w:rsidR="00450A08">
        <w:rPr>
          <w:szCs w:val="22"/>
        </w:rPr>
        <w:t>-li</w:t>
      </w:r>
      <w:r w:rsidRPr="00586AEA">
        <w:rPr>
          <w:szCs w:val="22"/>
        </w:rPr>
        <w:t xml:space="preserve"> onemocnění diagnostikováno v hejnu.</w:t>
      </w:r>
    </w:p>
    <w:p w14:paraId="5E2909FA" w14:textId="77777777" w:rsidR="007F0133" w:rsidRPr="00586AEA" w:rsidRDefault="007F0133" w:rsidP="00586AEA">
      <w:pPr>
        <w:spacing w:line="240" w:lineRule="auto"/>
        <w:rPr>
          <w:b/>
          <w:szCs w:val="22"/>
        </w:rPr>
      </w:pPr>
    </w:p>
    <w:p w14:paraId="6770B13B" w14:textId="5DBAC803" w:rsidR="007F0133" w:rsidRDefault="007F0133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586AEA">
        <w:rPr>
          <w:b/>
          <w:szCs w:val="22"/>
        </w:rPr>
        <w:t>3.3</w:t>
      </w:r>
      <w:r w:rsidRPr="00586AEA">
        <w:rPr>
          <w:b/>
          <w:szCs w:val="22"/>
        </w:rPr>
        <w:tab/>
        <w:t>Kontraindikace</w:t>
      </w:r>
    </w:p>
    <w:p w14:paraId="6198081C" w14:textId="77777777" w:rsidR="00B73289" w:rsidRPr="00586AEA" w:rsidRDefault="00B73289" w:rsidP="00213FDE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4125314" w14:textId="0F766A15" w:rsidR="00D04C35" w:rsidRPr="00586AEA" w:rsidRDefault="00D04C35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Nepoužívat v případech přecitlivělosti na léčivou látku</w:t>
      </w:r>
      <w:r w:rsidR="00B430F4">
        <w:rPr>
          <w:szCs w:val="22"/>
        </w:rPr>
        <w:t xml:space="preserve"> nebo</w:t>
      </w:r>
      <w:r w:rsidR="0086151F">
        <w:rPr>
          <w:szCs w:val="22"/>
        </w:rPr>
        <w:t xml:space="preserve"> </w:t>
      </w:r>
      <w:r w:rsidRPr="00213FDE">
        <w:rPr>
          <w:szCs w:val="22"/>
        </w:rPr>
        <w:t>na</w:t>
      </w:r>
      <w:r w:rsidRPr="00586AEA">
        <w:rPr>
          <w:szCs w:val="22"/>
        </w:rPr>
        <w:t xml:space="preserve"> jiné </w:t>
      </w:r>
      <w:proofErr w:type="spellStart"/>
      <w:r w:rsidRPr="00586AEA">
        <w:rPr>
          <w:szCs w:val="22"/>
        </w:rPr>
        <w:t>makrolidy</w:t>
      </w:r>
      <w:proofErr w:type="spellEnd"/>
      <w:r w:rsidRPr="00586AEA">
        <w:rPr>
          <w:szCs w:val="22"/>
        </w:rPr>
        <w:t>.</w:t>
      </w:r>
    </w:p>
    <w:p w14:paraId="27070B55" w14:textId="4CD05E67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Nepoužívat v případech známé rezistence na tylosin nebo zkřížené rezistence s jinými </w:t>
      </w:r>
      <w:proofErr w:type="spellStart"/>
      <w:r w:rsidRPr="00586AEA">
        <w:rPr>
          <w:szCs w:val="22"/>
        </w:rPr>
        <w:t>makrolidy</w:t>
      </w:r>
      <w:proofErr w:type="spellEnd"/>
      <w:r w:rsidRPr="00586AEA">
        <w:rPr>
          <w:szCs w:val="22"/>
        </w:rPr>
        <w:t xml:space="preserve"> (MLS-rezistence).</w:t>
      </w:r>
    </w:p>
    <w:p w14:paraId="544A7A85" w14:textId="77777777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Nepoužívejte u zvířat očkovaných vakcínami citlivými na tylosin souběžně nebo 1 týden před aplikací.</w:t>
      </w:r>
    </w:p>
    <w:p w14:paraId="484B1476" w14:textId="77777777" w:rsidR="007F0133" w:rsidRPr="00586AEA" w:rsidRDefault="007F0133" w:rsidP="00586AEA">
      <w:pPr>
        <w:spacing w:line="240" w:lineRule="auto"/>
        <w:rPr>
          <w:szCs w:val="22"/>
        </w:rPr>
      </w:pPr>
      <w:r w:rsidRPr="00586AEA">
        <w:rPr>
          <w:szCs w:val="22"/>
        </w:rPr>
        <w:t>Nepoužívat u zvířat s poruchou jater.</w:t>
      </w:r>
    </w:p>
    <w:p w14:paraId="1A0C2E98" w14:textId="77777777" w:rsidR="007F0133" w:rsidRPr="00586AEA" w:rsidRDefault="007F0133" w:rsidP="00586AEA">
      <w:pPr>
        <w:spacing w:line="240" w:lineRule="auto"/>
        <w:rPr>
          <w:szCs w:val="22"/>
        </w:rPr>
      </w:pPr>
      <w:r w:rsidRPr="00586AEA">
        <w:rPr>
          <w:szCs w:val="22"/>
        </w:rPr>
        <w:t>Nepoužívat u koní kvůli nebezpečí zánětu slepého střeva.</w:t>
      </w:r>
    </w:p>
    <w:p w14:paraId="60642EF8" w14:textId="77777777" w:rsidR="007F0133" w:rsidRPr="00586AEA" w:rsidRDefault="007F0133" w:rsidP="00586AEA">
      <w:pPr>
        <w:spacing w:line="240" w:lineRule="auto"/>
        <w:rPr>
          <w:b/>
          <w:szCs w:val="22"/>
        </w:rPr>
      </w:pPr>
    </w:p>
    <w:p w14:paraId="7E6AD14F" w14:textId="77777777" w:rsidR="007F0133" w:rsidRPr="00586AEA" w:rsidRDefault="007F0133" w:rsidP="00586AEA">
      <w:pPr>
        <w:spacing w:line="240" w:lineRule="auto"/>
        <w:rPr>
          <w:b/>
          <w:szCs w:val="22"/>
        </w:rPr>
      </w:pPr>
      <w:r w:rsidRPr="00586AEA">
        <w:rPr>
          <w:b/>
          <w:szCs w:val="22"/>
        </w:rPr>
        <w:t>3.4</w:t>
      </w:r>
      <w:r w:rsidRPr="00586AEA">
        <w:rPr>
          <w:b/>
          <w:szCs w:val="22"/>
        </w:rPr>
        <w:tab/>
        <w:t xml:space="preserve">Zvláštní upozornění </w:t>
      </w:r>
    </w:p>
    <w:p w14:paraId="62ECAF25" w14:textId="77777777" w:rsidR="007F0133" w:rsidRPr="00586AEA" w:rsidRDefault="007F0133" w:rsidP="00586AEA">
      <w:pPr>
        <w:spacing w:line="240" w:lineRule="auto"/>
        <w:rPr>
          <w:b/>
          <w:szCs w:val="22"/>
        </w:rPr>
      </w:pPr>
    </w:p>
    <w:p w14:paraId="2D080A90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Vzhledem k pravděpodobné variabilitě (časové, geografické) v citlivosti bakterií na tylosin se doporučuje provést odběr vzorků na bakteriologické vyšetření a testování citlivosti.</w:t>
      </w:r>
    </w:p>
    <w:p w14:paraId="288A1446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543892BA" w14:textId="77777777" w:rsidR="007F0133" w:rsidRPr="00586AEA" w:rsidRDefault="007F0133" w:rsidP="00586AEA">
      <w:pPr>
        <w:spacing w:line="240" w:lineRule="auto"/>
        <w:rPr>
          <w:bCs/>
          <w:szCs w:val="22"/>
        </w:rPr>
      </w:pPr>
      <w:r w:rsidRPr="00586AEA">
        <w:rPr>
          <w:szCs w:val="22"/>
        </w:rPr>
        <w:lastRenderedPageBreak/>
        <w:t>Je nutné se vyhnout poddávkování anebo nedostatečně dlouhé době léčby, protože jsou považovány za faktory podporující vznik rezistence bakterií.</w:t>
      </w:r>
    </w:p>
    <w:p w14:paraId="1961C67C" w14:textId="77777777" w:rsidR="007F0133" w:rsidRPr="00586AEA" w:rsidRDefault="007F0133" w:rsidP="00586AEA">
      <w:pPr>
        <w:spacing w:line="240" w:lineRule="auto"/>
        <w:rPr>
          <w:bCs/>
          <w:szCs w:val="22"/>
        </w:rPr>
      </w:pPr>
    </w:p>
    <w:p w14:paraId="57083F83" w14:textId="77777777" w:rsidR="007F0133" w:rsidRPr="00586AEA" w:rsidRDefault="007F0133" w:rsidP="00586AEA">
      <w:pPr>
        <w:spacing w:line="240" w:lineRule="auto"/>
        <w:rPr>
          <w:b/>
          <w:szCs w:val="22"/>
        </w:rPr>
      </w:pPr>
      <w:r w:rsidRPr="00586AEA">
        <w:rPr>
          <w:b/>
          <w:szCs w:val="22"/>
        </w:rPr>
        <w:t>3.5</w:t>
      </w:r>
      <w:r w:rsidRPr="00586AEA">
        <w:rPr>
          <w:b/>
          <w:szCs w:val="22"/>
        </w:rPr>
        <w:tab/>
        <w:t>Zvláštní opatření pro použití</w:t>
      </w:r>
    </w:p>
    <w:p w14:paraId="727974D4" w14:textId="77777777" w:rsidR="007F0133" w:rsidRPr="00586AEA" w:rsidRDefault="007F0133" w:rsidP="00586AEA">
      <w:pPr>
        <w:spacing w:line="240" w:lineRule="auto"/>
        <w:rPr>
          <w:b/>
          <w:szCs w:val="22"/>
        </w:rPr>
      </w:pPr>
    </w:p>
    <w:p w14:paraId="3883ECF7" w14:textId="73F01002" w:rsidR="007F0133" w:rsidRDefault="007F0133" w:rsidP="00586AEA">
      <w:pPr>
        <w:spacing w:line="240" w:lineRule="auto"/>
        <w:rPr>
          <w:szCs w:val="22"/>
          <w:u w:val="single"/>
        </w:rPr>
      </w:pPr>
      <w:r w:rsidRPr="00586AEA">
        <w:rPr>
          <w:szCs w:val="22"/>
          <w:u w:val="single"/>
        </w:rPr>
        <w:t>Zvláštní opatření pro bezpečné použití u cílových druhů zvířat:</w:t>
      </w:r>
    </w:p>
    <w:p w14:paraId="5BA304CD" w14:textId="77777777" w:rsidR="005D7953" w:rsidRPr="00586AEA" w:rsidRDefault="005D7953" w:rsidP="00586AEA">
      <w:pPr>
        <w:spacing w:line="240" w:lineRule="auto"/>
        <w:rPr>
          <w:bCs/>
          <w:szCs w:val="22"/>
          <w:u w:val="single"/>
        </w:rPr>
      </w:pPr>
    </w:p>
    <w:p w14:paraId="382694A0" w14:textId="77777777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Zvířata s akutními infekcemi mohou mít snížený příjem vody a krmiva a v takovém případě je třeba neprodleně zahájit léčbu vhodnými injekčními veterinárními léčivými přípravky.</w:t>
      </w:r>
    </w:p>
    <w:p w14:paraId="28919E12" w14:textId="6CEE3743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Nenechávejte ani nelikvidujte vodu obsahující tylosin tartarát tam, kde by mohla být přístupná zvířatům, která nejsou léčena nebo volně žijící zvěři.</w:t>
      </w:r>
    </w:p>
    <w:p w14:paraId="55FD5D45" w14:textId="77777777" w:rsidR="005D7953" w:rsidRDefault="005D7953">
      <w:pPr>
        <w:keepNext/>
        <w:spacing w:line="240" w:lineRule="auto"/>
        <w:jc w:val="both"/>
        <w:rPr>
          <w:szCs w:val="22"/>
          <w:u w:val="single"/>
        </w:rPr>
      </w:pPr>
    </w:p>
    <w:p w14:paraId="7569E6B0" w14:textId="486B89CA" w:rsidR="007F0133" w:rsidRDefault="007F0133">
      <w:pPr>
        <w:keepNext/>
        <w:spacing w:line="240" w:lineRule="auto"/>
        <w:jc w:val="both"/>
        <w:rPr>
          <w:szCs w:val="22"/>
          <w:u w:val="single"/>
        </w:rPr>
      </w:pPr>
      <w:r w:rsidRPr="00586AEA">
        <w:rPr>
          <w:szCs w:val="22"/>
          <w:u w:val="single"/>
        </w:rPr>
        <w:t>Zvláštní opatření pro osobu, která podává veterinární léčivý přípravek zvířatům:</w:t>
      </w:r>
    </w:p>
    <w:p w14:paraId="6091D7DB" w14:textId="77777777" w:rsidR="006465E8" w:rsidRPr="00586AEA" w:rsidRDefault="006465E8" w:rsidP="00213FDE">
      <w:pPr>
        <w:keepNext/>
        <w:spacing w:line="240" w:lineRule="auto"/>
        <w:jc w:val="both"/>
        <w:rPr>
          <w:szCs w:val="22"/>
          <w:u w:val="single"/>
        </w:rPr>
      </w:pPr>
    </w:p>
    <w:p w14:paraId="7AC3D915" w14:textId="685C9EC5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Tylosin může způsobit podráždění.</w:t>
      </w:r>
      <w:r w:rsidRPr="00586AEA">
        <w:rPr>
          <w:b/>
          <w:szCs w:val="22"/>
        </w:rPr>
        <w:t xml:space="preserve"> </w:t>
      </w:r>
      <w:r w:rsidRPr="00586AEA">
        <w:rPr>
          <w:szCs w:val="22"/>
        </w:rPr>
        <w:t>Makrolidy, jako např. tylosin, mohou způsobovat také přecitlivělost (alergii) po injekci, inhalaci, požití, kontaktu s kůží či oč</w:t>
      </w:r>
      <w:r w:rsidR="00D630D1" w:rsidRPr="00586AEA">
        <w:rPr>
          <w:szCs w:val="22"/>
        </w:rPr>
        <w:t>ima</w:t>
      </w:r>
      <w:r w:rsidRPr="00586AEA">
        <w:rPr>
          <w:szCs w:val="22"/>
        </w:rPr>
        <w:t xml:space="preserve">.  Přecitlivělost na tylosin může vést ke zkříženým reakcím s ostatními makrolidy a naopak.  Alergické reakce na tyto látky mohou být </w:t>
      </w:r>
      <w:r w:rsidR="004E4652" w:rsidRPr="00586AEA">
        <w:rPr>
          <w:szCs w:val="22"/>
        </w:rPr>
        <w:t>v</w:t>
      </w:r>
      <w:r w:rsidR="004E4652">
        <w:rPr>
          <w:szCs w:val="22"/>
        </w:rPr>
        <w:t> </w:t>
      </w:r>
      <w:r w:rsidRPr="00586AEA">
        <w:rPr>
          <w:szCs w:val="22"/>
        </w:rPr>
        <w:t>některých případech vážné, a proto je třeba zabránit přímému kontaktu.</w:t>
      </w:r>
    </w:p>
    <w:p w14:paraId="466BF13E" w14:textId="149E00D7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Aby se zabránilo expozici během přípravy medikované vody, použijte ochranný oblek, bezpečnostní brýle, nepropustné rukavice a noste buď jednorázový respirátor </w:t>
      </w:r>
      <w:r w:rsidR="00D630D1" w:rsidRPr="00586AEA">
        <w:rPr>
          <w:szCs w:val="22"/>
        </w:rPr>
        <w:t xml:space="preserve">s polomaskou </w:t>
      </w:r>
      <w:r w:rsidRPr="00586AEA">
        <w:rPr>
          <w:szCs w:val="22"/>
        </w:rPr>
        <w:t xml:space="preserve">vyhovující </w:t>
      </w:r>
      <w:r w:rsidR="00D630D1" w:rsidRPr="00586AEA">
        <w:rPr>
          <w:szCs w:val="22"/>
        </w:rPr>
        <w:t xml:space="preserve">evropské </w:t>
      </w:r>
      <w:r w:rsidRPr="00586AEA">
        <w:rPr>
          <w:szCs w:val="22"/>
        </w:rPr>
        <w:t xml:space="preserve">normě EN149 nebo respirátor pro více použití </w:t>
      </w:r>
      <w:r w:rsidR="00D630D1" w:rsidRPr="00586AEA">
        <w:rPr>
          <w:szCs w:val="22"/>
        </w:rPr>
        <w:t xml:space="preserve">podle evropské </w:t>
      </w:r>
      <w:r w:rsidRPr="00586AEA">
        <w:rPr>
          <w:szCs w:val="22"/>
        </w:rPr>
        <w:t>norm</w:t>
      </w:r>
      <w:r w:rsidR="00D630D1" w:rsidRPr="00586AEA">
        <w:rPr>
          <w:szCs w:val="22"/>
        </w:rPr>
        <w:t>y</w:t>
      </w:r>
      <w:r w:rsidRPr="00586AEA">
        <w:rPr>
          <w:szCs w:val="22"/>
        </w:rPr>
        <w:t xml:space="preserve"> EN140 </w:t>
      </w:r>
      <w:r w:rsidR="00D630D1" w:rsidRPr="00586AEA">
        <w:rPr>
          <w:szCs w:val="22"/>
        </w:rPr>
        <w:t xml:space="preserve">s </w:t>
      </w:r>
      <w:r w:rsidRPr="00586AEA">
        <w:rPr>
          <w:szCs w:val="22"/>
        </w:rPr>
        <w:t xml:space="preserve">filtrem podle normy EN143. </w:t>
      </w:r>
    </w:p>
    <w:p w14:paraId="36129FAE" w14:textId="77777777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</w:p>
    <w:p w14:paraId="0384ACFB" w14:textId="77777777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Po použití přípravku si umyjte ruce.</w:t>
      </w:r>
    </w:p>
    <w:p w14:paraId="13ECD9B3" w14:textId="77777777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</w:p>
    <w:p w14:paraId="00686A91" w14:textId="0C930343" w:rsidR="007F0133" w:rsidRPr="00586AEA" w:rsidRDefault="007F0133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V případě náhodného potřísnění kůže postižené místo důkladně omyjte mýdlem a vodou. V</w:t>
      </w:r>
      <w:r w:rsidR="00347A30" w:rsidRPr="00586AEA">
        <w:rPr>
          <w:szCs w:val="22"/>
        </w:rPr>
        <w:t> </w:t>
      </w:r>
      <w:r w:rsidRPr="00586AEA">
        <w:rPr>
          <w:szCs w:val="22"/>
        </w:rPr>
        <w:t>případě náhodného vniknutí přípravku do očí vypláchněte oči velkým množstvím čisté tekoucí vody.</w:t>
      </w:r>
    </w:p>
    <w:p w14:paraId="40CCFB8A" w14:textId="688ABA9F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Nemanipulujte s </w:t>
      </w:r>
      <w:r w:rsidR="00F017E6" w:rsidRPr="00586AEA">
        <w:rPr>
          <w:szCs w:val="22"/>
        </w:rPr>
        <w:t xml:space="preserve">veterinárním léčivým </w:t>
      </w:r>
      <w:r w:rsidRPr="00586AEA">
        <w:rPr>
          <w:szCs w:val="22"/>
        </w:rPr>
        <w:t xml:space="preserve">přípravkem, jste-li alergičtí na látky obsažené v tomto </w:t>
      </w:r>
      <w:r w:rsidR="00F017E6" w:rsidRPr="00586AEA">
        <w:rPr>
          <w:szCs w:val="22"/>
        </w:rPr>
        <w:t xml:space="preserve">veterinárním léčivém </w:t>
      </w:r>
      <w:r w:rsidRPr="00586AEA">
        <w:rPr>
          <w:szCs w:val="22"/>
        </w:rPr>
        <w:t>přípravku.</w:t>
      </w:r>
    </w:p>
    <w:p w14:paraId="12DAC630" w14:textId="272B5A25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Pokud se </w:t>
      </w:r>
      <w:r w:rsidR="00347A30" w:rsidRPr="00586AEA">
        <w:rPr>
          <w:szCs w:val="22"/>
        </w:rPr>
        <w:t xml:space="preserve">u vás </w:t>
      </w:r>
      <w:r w:rsidRPr="00586AEA">
        <w:rPr>
          <w:szCs w:val="22"/>
        </w:rPr>
        <w:t xml:space="preserve">objeví </w:t>
      </w:r>
      <w:proofErr w:type="spellStart"/>
      <w:r w:rsidR="00347A30" w:rsidRPr="00586AEA">
        <w:rPr>
          <w:szCs w:val="22"/>
        </w:rPr>
        <w:t>postexpoziční</w:t>
      </w:r>
      <w:proofErr w:type="spellEnd"/>
      <w:r w:rsidR="00347A30" w:rsidRPr="00586AEA">
        <w:rPr>
          <w:szCs w:val="22"/>
        </w:rPr>
        <w:t xml:space="preserve"> </w:t>
      </w:r>
      <w:r w:rsidRPr="00586AEA">
        <w:rPr>
          <w:szCs w:val="22"/>
        </w:rPr>
        <w:t>příznaky</w:t>
      </w:r>
      <w:r w:rsidR="00347A30" w:rsidRPr="00586AEA">
        <w:rPr>
          <w:szCs w:val="22"/>
        </w:rPr>
        <w:t>,</w:t>
      </w:r>
      <w:r w:rsidRPr="00586AEA">
        <w:rPr>
          <w:szCs w:val="22"/>
        </w:rPr>
        <w:t xml:space="preserve"> jako např</w:t>
      </w:r>
      <w:r w:rsidR="00347A30" w:rsidRPr="00586AEA">
        <w:rPr>
          <w:szCs w:val="22"/>
        </w:rPr>
        <w:t>.</w:t>
      </w:r>
      <w:r w:rsidRPr="00586AEA">
        <w:rPr>
          <w:szCs w:val="22"/>
        </w:rPr>
        <w:t xml:space="preserve"> kožní vyrážka, vyhledejte lékařskou pomoc </w:t>
      </w:r>
      <w:r w:rsidR="004E4652" w:rsidRPr="00586AEA">
        <w:rPr>
          <w:szCs w:val="22"/>
        </w:rPr>
        <w:t>a</w:t>
      </w:r>
      <w:r w:rsidR="004E4652">
        <w:rPr>
          <w:szCs w:val="22"/>
        </w:rPr>
        <w:t> </w:t>
      </w:r>
      <w:r w:rsidRPr="00586AEA">
        <w:rPr>
          <w:szCs w:val="22"/>
        </w:rPr>
        <w:t xml:space="preserve">ukažte lékaři toto upozornění. Otok obličeje, rtů a očí nebo potíže s dýcháním jsou vážné příznaky </w:t>
      </w:r>
      <w:r w:rsidR="004E4652" w:rsidRPr="00586AEA">
        <w:rPr>
          <w:szCs w:val="22"/>
        </w:rPr>
        <w:t>a</w:t>
      </w:r>
      <w:r w:rsidR="004E4652">
        <w:rPr>
          <w:szCs w:val="22"/>
        </w:rPr>
        <w:t> </w:t>
      </w:r>
      <w:r w:rsidRPr="00586AEA">
        <w:rPr>
          <w:szCs w:val="22"/>
        </w:rPr>
        <w:t>vyžadují okamžitou lékařskou p</w:t>
      </w:r>
      <w:r w:rsidR="00347A30" w:rsidRPr="00586AEA">
        <w:rPr>
          <w:szCs w:val="22"/>
        </w:rPr>
        <w:t>omoc</w:t>
      </w:r>
      <w:r w:rsidRPr="00586AEA">
        <w:rPr>
          <w:szCs w:val="22"/>
        </w:rPr>
        <w:t>.</w:t>
      </w:r>
    </w:p>
    <w:p w14:paraId="6DF1D442" w14:textId="77777777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7168EA59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3.6</w:t>
      </w:r>
      <w:r w:rsidRPr="00586AEA">
        <w:rPr>
          <w:b/>
          <w:szCs w:val="22"/>
        </w:rPr>
        <w:tab/>
        <w:t>Nežádoucí účinky</w:t>
      </w:r>
    </w:p>
    <w:p w14:paraId="72E8CDE4" w14:textId="77777777" w:rsidR="007F0133" w:rsidRPr="00586AEA" w:rsidRDefault="007F0133" w:rsidP="00586AEA">
      <w:pPr>
        <w:spacing w:line="240" w:lineRule="auto"/>
        <w:jc w:val="both"/>
        <w:rPr>
          <w:bCs/>
          <w:szCs w:val="22"/>
          <w:u w:val="single"/>
        </w:rPr>
      </w:pPr>
      <w:bookmarkStart w:id="1" w:name="_Hlk124501820"/>
    </w:p>
    <w:p w14:paraId="682FAA3F" w14:textId="77777777" w:rsidR="007F0133" w:rsidRPr="00586AEA" w:rsidRDefault="007F0133" w:rsidP="00586AEA">
      <w:pPr>
        <w:spacing w:line="240" w:lineRule="auto"/>
        <w:jc w:val="both"/>
        <w:rPr>
          <w:bCs/>
          <w:szCs w:val="22"/>
          <w:u w:val="single"/>
        </w:rPr>
      </w:pPr>
      <w:r w:rsidRPr="00586AEA">
        <w:rPr>
          <w:szCs w:val="22"/>
          <w:u w:val="single"/>
        </w:rPr>
        <w:t>Prasata:</w:t>
      </w:r>
    </w:p>
    <w:p w14:paraId="07A32DFF" w14:textId="77777777" w:rsidR="007F0133" w:rsidRPr="00586AEA" w:rsidRDefault="007F0133" w:rsidP="00586AEA">
      <w:pPr>
        <w:spacing w:line="240" w:lineRule="auto"/>
        <w:jc w:val="both"/>
        <w:rPr>
          <w:bCs/>
          <w:szCs w:val="22"/>
          <w:u w:val="single"/>
        </w:rPr>
      </w:pPr>
    </w:p>
    <w:tbl>
      <w:tblPr>
        <w:tblW w:w="45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4427"/>
      </w:tblGrid>
      <w:tr w:rsidR="00F017E6" w:rsidRPr="00586AEA" w14:paraId="06E83694" w14:textId="77777777" w:rsidTr="001675B3">
        <w:tc>
          <w:tcPr>
            <w:tcW w:w="2325" w:type="pct"/>
          </w:tcPr>
          <w:p w14:paraId="0FEA02DD" w14:textId="117716E7" w:rsidR="00F017E6" w:rsidRPr="00586AEA" w:rsidRDefault="00776309" w:rsidP="00586AEA">
            <w:pPr>
              <w:spacing w:line="240" w:lineRule="auto"/>
              <w:rPr>
                <w:szCs w:val="22"/>
              </w:rPr>
            </w:pPr>
            <w:bookmarkStart w:id="2" w:name="_Hlk133930425"/>
            <w:r w:rsidRPr="00776309">
              <w:rPr>
                <w:szCs w:val="22"/>
              </w:rPr>
              <w:t>Neznámá četnost (z dostupných údajů nelze určit)</w:t>
            </w:r>
          </w:p>
        </w:tc>
        <w:tc>
          <w:tcPr>
            <w:tcW w:w="2675" w:type="pct"/>
            <w:hideMark/>
          </w:tcPr>
          <w:p w14:paraId="1F7C8432" w14:textId="7BC95C4F" w:rsidR="00F017E6" w:rsidRPr="00586AEA" w:rsidRDefault="00F017E6" w:rsidP="00586AEA">
            <w:pPr>
              <w:spacing w:line="240" w:lineRule="auto"/>
              <w:rPr>
                <w:iCs/>
                <w:szCs w:val="22"/>
              </w:rPr>
            </w:pPr>
            <w:r w:rsidRPr="00586AEA">
              <w:rPr>
                <w:szCs w:val="22"/>
              </w:rPr>
              <w:t>Průjem*, svědění*, zarudnutí kůže*, otok vulvy*, otok</w:t>
            </w:r>
            <w:r w:rsidR="003456BB">
              <w:rPr>
                <w:szCs w:val="22"/>
              </w:rPr>
              <w:t xml:space="preserve"> rekta</w:t>
            </w:r>
            <w:r w:rsidRPr="00586AEA">
              <w:rPr>
                <w:szCs w:val="22"/>
              </w:rPr>
              <w:t>* a prolaps rekta*.</w:t>
            </w:r>
          </w:p>
        </w:tc>
      </w:tr>
    </w:tbl>
    <w:p w14:paraId="15827906" w14:textId="10AE3DB9" w:rsidR="00F017E6" w:rsidRPr="00586AEA" w:rsidRDefault="00F017E6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* Všechno to jsou </w:t>
      </w:r>
      <w:r w:rsidR="005E6988">
        <w:rPr>
          <w:szCs w:val="22"/>
        </w:rPr>
        <w:t xml:space="preserve">přechodné </w:t>
      </w:r>
      <w:r w:rsidRPr="00586AEA">
        <w:rPr>
          <w:szCs w:val="22"/>
        </w:rPr>
        <w:t>příznaky a objevují se 48–72 hodin po zahájení léčby</w:t>
      </w:r>
    </w:p>
    <w:p w14:paraId="4969A9EE" w14:textId="77777777" w:rsidR="00F017E6" w:rsidRPr="00586AEA" w:rsidRDefault="00F017E6" w:rsidP="00586AEA">
      <w:pPr>
        <w:spacing w:line="240" w:lineRule="auto"/>
        <w:jc w:val="both"/>
        <w:rPr>
          <w:bCs/>
          <w:szCs w:val="22"/>
        </w:rPr>
      </w:pPr>
    </w:p>
    <w:p w14:paraId="75A8E5A0" w14:textId="77777777" w:rsidR="00F017E6" w:rsidRPr="00586AEA" w:rsidRDefault="00F017E6" w:rsidP="00586AEA">
      <w:pPr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 příbalové informaci.</w:t>
      </w:r>
    </w:p>
    <w:bookmarkEnd w:id="1"/>
    <w:bookmarkEnd w:id="2"/>
    <w:p w14:paraId="021B43A4" w14:textId="77777777" w:rsidR="007F0133" w:rsidRPr="00213FDE" w:rsidRDefault="007F0133" w:rsidP="00586AEA">
      <w:pPr>
        <w:spacing w:line="240" w:lineRule="auto"/>
        <w:rPr>
          <w:b/>
          <w:szCs w:val="22"/>
        </w:rPr>
      </w:pPr>
    </w:p>
    <w:p w14:paraId="6AFE9E93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t>3.7</w:t>
      </w:r>
      <w:r w:rsidRPr="00586AEA">
        <w:rPr>
          <w:b/>
          <w:szCs w:val="22"/>
        </w:rPr>
        <w:tab/>
        <w:t>Použití v průběhu březosti, laktace nebo snášky</w:t>
      </w:r>
    </w:p>
    <w:p w14:paraId="45166FD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1AADE0D5" w14:textId="3C70943C" w:rsidR="00F017E6" w:rsidRDefault="00F017E6" w:rsidP="00586AE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13FDE">
        <w:rPr>
          <w:szCs w:val="22"/>
          <w:u w:val="single"/>
        </w:rPr>
        <w:t>Březost a laktace:</w:t>
      </w:r>
    </w:p>
    <w:p w14:paraId="45F3A6CD" w14:textId="77777777" w:rsidR="00ED0E64" w:rsidRPr="00586AEA" w:rsidRDefault="00ED0E64" w:rsidP="00586AE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0B3EB97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Laboratorní studie u myší a krys nepodaly důkaz o teratogenním, fetotoxickém účinku a maternální toxicitě. Na cílových druzích nebyly provedeny žádné studie. Použít pouze po zvážení terapeutického prospěchu a rizika příslušným veterinárním lékařem.</w:t>
      </w:r>
    </w:p>
    <w:p w14:paraId="51FA928F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14D55EFB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3.8</w:t>
      </w:r>
      <w:r w:rsidRPr="00586AEA">
        <w:rPr>
          <w:b/>
          <w:szCs w:val="22"/>
        </w:rPr>
        <w:tab/>
        <w:t>Interakce s jinými léčivými přípravky a další formy interakce</w:t>
      </w:r>
    </w:p>
    <w:p w14:paraId="58A96D4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76D2B33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Linkosamidy a aminoglykosidová antibiotika působí antagonisticky s tylosinem.</w:t>
      </w:r>
    </w:p>
    <w:p w14:paraId="13386B8F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7683048B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3.9</w:t>
      </w:r>
      <w:r w:rsidRPr="00586AEA">
        <w:rPr>
          <w:b/>
          <w:szCs w:val="22"/>
        </w:rPr>
        <w:tab/>
        <w:t>Cesty podání a dávkování</w:t>
      </w:r>
    </w:p>
    <w:p w14:paraId="1B524029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3D741B85" w14:textId="1C8BA7F9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Podání v pitné vodě. </w:t>
      </w:r>
    </w:p>
    <w:p w14:paraId="2A5080C1" w14:textId="7FF5CCF4" w:rsidR="007F0133" w:rsidRPr="00586AEA" w:rsidRDefault="00F017E6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U </w:t>
      </w:r>
      <w:r w:rsidRPr="00213FDE">
        <w:rPr>
          <w:szCs w:val="22"/>
        </w:rPr>
        <w:t>skotu (telat) lze veterinární léčivý</w:t>
      </w:r>
      <w:r w:rsidRPr="00586AEA">
        <w:rPr>
          <w:szCs w:val="22"/>
        </w:rPr>
        <w:t xml:space="preserve"> </w:t>
      </w:r>
      <w:r w:rsidR="007F0133" w:rsidRPr="00586AEA">
        <w:rPr>
          <w:szCs w:val="22"/>
        </w:rPr>
        <w:t>přípravek podávat také v mléku nebo mléčné náhražce.</w:t>
      </w:r>
    </w:p>
    <w:p w14:paraId="6D6831DE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4E15F9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1,1 gramu veterinárního léčivého přípravku odpovídá 1 gramu tylosinu. Dávkování je následující:</w:t>
      </w:r>
    </w:p>
    <w:p w14:paraId="3BADC2E8" w14:textId="77777777" w:rsidR="007F0133" w:rsidRPr="00586AEA" w:rsidRDefault="007F0133" w:rsidP="00586AEA">
      <w:pPr>
        <w:tabs>
          <w:tab w:val="clear" w:pos="567"/>
        </w:tabs>
        <w:spacing w:line="240" w:lineRule="auto"/>
        <w:ind w:left="390"/>
        <w:jc w:val="both"/>
        <w:rPr>
          <w:szCs w:val="22"/>
        </w:rPr>
      </w:pPr>
    </w:p>
    <w:p w14:paraId="141B02C5" w14:textId="393CA891" w:rsidR="007F0133" w:rsidRPr="00586AEA" w:rsidRDefault="00F017E6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13FDE">
        <w:rPr>
          <w:szCs w:val="22"/>
          <w:u w:val="single"/>
        </w:rPr>
        <w:t>Skot (telata)</w:t>
      </w:r>
      <w:r w:rsidRPr="00213FDE">
        <w:rPr>
          <w:szCs w:val="22"/>
        </w:rPr>
        <w:t>:</w:t>
      </w:r>
    </w:p>
    <w:p w14:paraId="6B45F3CA" w14:textId="34B7C962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86AEA">
        <w:rPr>
          <w:szCs w:val="22"/>
        </w:rPr>
        <w:t>10 – 20</w:t>
      </w:r>
      <w:proofErr w:type="gramEnd"/>
      <w:r w:rsidRPr="00586AEA">
        <w:rPr>
          <w:szCs w:val="22"/>
        </w:rPr>
        <w:t xml:space="preserve"> mg tylosinu na kg ž. hm. (odpovídá 11 – 22 mg veterinárního léčivého přípravku na kg ž.hm.), dvakrát denně (odpovídá denní dávce 20 – 40 mg tylosinu na kg ž.hm.) po dobu 7 </w:t>
      </w:r>
      <w:r w:rsidR="00F017E6" w:rsidRPr="00586AEA">
        <w:rPr>
          <w:szCs w:val="22"/>
        </w:rPr>
        <w:t xml:space="preserve">- </w:t>
      </w:r>
      <w:r w:rsidRPr="00586AEA">
        <w:rPr>
          <w:szCs w:val="22"/>
        </w:rPr>
        <w:t xml:space="preserve">14 dnů. </w:t>
      </w:r>
    </w:p>
    <w:p w14:paraId="75A67D5F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24A26C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  <w:u w:val="single"/>
        </w:rPr>
        <w:t>Krůty</w:t>
      </w:r>
      <w:r w:rsidRPr="00586AEA">
        <w:rPr>
          <w:szCs w:val="22"/>
        </w:rPr>
        <w:t xml:space="preserve">: </w:t>
      </w:r>
    </w:p>
    <w:p w14:paraId="0B77B4EC" w14:textId="09B58AD9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86AEA">
        <w:rPr>
          <w:szCs w:val="22"/>
        </w:rPr>
        <w:t>75 – 100</w:t>
      </w:r>
      <w:proofErr w:type="gramEnd"/>
      <w:r w:rsidRPr="00586AEA">
        <w:rPr>
          <w:szCs w:val="22"/>
        </w:rPr>
        <w:t xml:space="preserve"> mg tylosinu na kg ž. hm. </w:t>
      </w:r>
      <w:r w:rsidR="008656CC">
        <w:rPr>
          <w:szCs w:val="22"/>
        </w:rPr>
        <w:t xml:space="preserve">a </w:t>
      </w:r>
      <w:r w:rsidRPr="00586AEA">
        <w:rPr>
          <w:szCs w:val="22"/>
        </w:rPr>
        <w:t>den (odpovídá 82,5 – 110 mg veterinárního léčivého přípravku na kg ž.hm.) po dobu 3 – 5 dnů.</w:t>
      </w:r>
    </w:p>
    <w:p w14:paraId="0A64713E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591125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586AEA">
        <w:rPr>
          <w:szCs w:val="22"/>
          <w:u w:val="single"/>
        </w:rPr>
        <w:t>Kur domácí:</w:t>
      </w:r>
    </w:p>
    <w:p w14:paraId="55F38611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Léčba chronického respiračního onemocnění: </w:t>
      </w:r>
    </w:p>
    <w:p w14:paraId="7A6B1AE8" w14:textId="149C5CEF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86AEA">
        <w:rPr>
          <w:szCs w:val="22"/>
        </w:rPr>
        <w:t>75 – 100</w:t>
      </w:r>
      <w:proofErr w:type="gramEnd"/>
      <w:r w:rsidRPr="00586AEA">
        <w:rPr>
          <w:szCs w:val="22"/>
        </w:rPr>
        <w:t xml:space="preserve"> mg tylosinu na kg ž. hm. </w:t>
      </w:r>
      <w:r w:rsidR="00F43B8D">
        <w:rPr>
          <w:szCs w:val="22"/>
        </w:rPr>
        <w:t>a den</w:t>
      </w:r>
      <w:r w:rsidRPr="00586AEA">
        <w:rPr>
          <w:szCs w:val="22"/>
        </w:rPr>
        <w:t xml:space="preserve"> (odpovídá 82,5 – 110 mg veterinárního léčivého přípravku na kg ž.hm.) po dobu 3 – 5 dnů.</w:t>
      </w:r>
    </w:p>
    <w:p w14:paraId="79F42339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F8461B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Léčba nekrotické enteritidy:</w:t>
      </w:r>
    </w:p>
    <w:p w14:paraId="40A65226" w14:textId="4DA5F5D8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20 mg tylosinu na kg ž. hm. </w:t>
      </w:r>
      <w:r w:rsidR="00F43B8D">
        <w:rPr>
          <w:szCs w:val="22"/>
        </w:rPr>
        <w:t>a den</w:t>
      </w:r>
      <w:r w:rsidRPr="00586AEA">
        <w:rPr>
          <w:szCs w:val="22"/>
        </w:rPr>
        <w:t xml:space="preserve"> (odpovídá 22 mg veterinárního léčivého přípravku) po dobu 3 dnů.</w:t>
      </w:r>
    </w:p>
    <w:p w14:paraId="47AA5B90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878265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  <w:u w:val="single"/>
        </w:rPr>
        <w:t>Prasata</w:t>
      </w:r>
      <w:r w:rsidRPr="00586AEA">
        <w:rPr>
          <w:szCs w:val="22"/>
        </w:rPr>
        <w:t>:</w:t>
      </w:r>
    </w:p>
    <w:p w14:paraId="02A249CB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86AEA">
        <w:rPr>
          <w:szCs w:val="22"/>
        </w:rPr>
        <w:t>Léčba  enzootické</w:t>
      </w:r>
      <w:proofErr w:type="gramEnd"/>
      <w:r w:rsidRPr="00586AEA">
        <w:rPr>
          <w:szCs w:val="22"/>
        </w:rPr>
        <w:t xml:space="preserve"> pneumonie:</w:t>
      </w:r>
    </w:p>
    <w:p w14:paraId="26F58FD8" w14:textId="72D54212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20 mg tylosinu na kg ž. hm. </w:t>
      </w:r>
      <w:r w:rsidR="00F43B8D">
        <w:rPr>
          <w:szCs w:val="22"/>
        </w:rPr>
        <w:t>a den</w:t>
      </w:r>
      <w:r w:rsidRPr="00586AEA">
        <w:rPr>
          <w:szCs w:val="22"/>
        </w:rPr>
        <w:t xml:space="preserve"> (odpovídá 22 mg veterinárního léčivého přípravku na kg </w:t>
      </w:r>
      <w:proofErr w:type="gramStart"/>
      <w:r w:rsidRPr="00586AEA">
        <w:rPr>
          <w:szCs w:val="22"/>
        </w:rPr>
        <w:t>ž.hm. )</w:t>
      </w:r>
      <w:proofErr w:type="gramEnd"/>
      <w:r w:rsidRPr="00586AEA">
        <w:rPr>
          <w:szCs w:val="22"/>
        </w:rPr>
        <w:t xml:space="preserve"> po dobu 10 dnů.</w:t>
      </w:r>
    </w:p>
    <w:p w14:paraId="359C138F" w14:textId="7A54AE3D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Léčba ileitidy nebo střevní </w:t>
      </w:r>
      <w:proofErr w:type="spellStart"/>
      <w:r w:rsidRPr="00586AEA">
        <w:rPr>
          <w:szCs w:val="22"/>
        </w:rPr>
        <w:t>adenomatózy</w:t>
      </w:r>
      <w:proofErr w:type="spellEnd"/>
      <w:r w:rsidRPr="00586AEA">
        <w:rPr>
          <w:szCs w:val="22"/>
        </w:rPr>
        <w:t xml:space="preserve"> prasat (PIA):</w:t>
      </w:r>
    </w:p>
    <w:p w14:paraId="3FA7275F" w14:textId="1DAD4430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 w:rsidRPr="00586AEA">
        <w:rPr>
          <w:szCs w:val="22"/>
        </w:rPr>
        <w:t>5 - 10</w:t>
      </w:r>
      <w:proofErr w:type="gramEnd"/>
      <w:r w:rsidRPr="00586AEA">
        <w:rPr>
          <w:szCs w:val="22"/>
        </w:rPr>
        <w:t xml:space="preserve"> mg tylosinu na kg ž. hm.  </w:t>
      </w:r>
      <w:r w:rsidR="00F43B8D">
        <w:rPr>
          <w:szCs w:val="22"/>
        </w:rPr>
        <w:t>a den</w:t>
      </w:r>
      <w:r w:rsidRPr="00586AEA">
        <w:rPr>
          <w:szCs w:val="22"/>
        </w:rPr>
        <w:t xml:space="preserve"> (odpovídá 5,5 -</w:t>
      </w:r>
      <w:r w:rsidR="00F017E6" w:rsidRPr="00586AEA">
        <w:rPr>
          <w:szCs w:val="22"/>
        </w:rPr>
        <w:t xml:space="preserve"> </w:t>
      </w:r>
      <w:r w:rsidRPr="00586AEA">
        <w:rPr>
          <w:szCs w:val="22"/>
        </w:rPr>
        <w:t>11 mg veterinárního léčivého přípravku na kg ž. hm.) po dobu 7 dnů.</w:t>
      </w:r>
    </w:p>
    <w:p w14:paraId="0A9E39DD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F50979" w14:textId="1B1D99D1" w:rsidR="00AE2CD5" w:rsidRPr="00586AEA" w:rsidRDefault="00AE2CD5" w:rsidP="00586AE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213FDE">
        <w:rPr>
          <w:szCs w:val="22"/>
        </w:rPr>
        <w:t>Pro zajištění správného dávkování je třeba co nejpřesněji stanovit živou hmotnost. Příjem medikované vody / mléka / mléčné náhražky závisí na klinickém stavu zvířat. Pro dosažení správného dávkování může být nutné odpovídajícím způsobem upravit koncentraci tylosinu. Na základě doporučené dávky a</w:t>
      </w:r>
      <w:r w:rsidR="004E1B5A">
        <w:rPr>
          <w:szCs w:val="22"/>
        </w:rPr>
        <w:t> </w:t>
      </w:r>
      <w:r w:rsidRPr="00213FDE">
        <w:rPr>
          <w:szCs w:val="22"/>
        </w:rPr>
        <w:t>počtu a hmotnosti zvířat, která je třeba ošetřit, se přesná denní koncentrace veterinárního léčivého přípravku vypočítá podle následujícího vzorce:</w:t>
      </w:r>
    </w:p>
    <w:p w14:paraId="094D1D0F" w14:textId="77777777" w:rsidR="00AE2CD5" w:rsidRPr="00586AEA" w:rsidRDefault="00AE2CD5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239" w:type="dxa"/>
        <w:tblLook w:val="01E0" w:firstRow="1" w:lastRow="1" w:firstColumn="1" w:lastColumn="1" w:noHBand="0" w:noVBand="0"/>
      </w:tblPr>
      <w:tblGrid>
        <w:gridCol w:w="2965"/>
        <w:gridCol w:w="326"/>
        <w:gridCol w:w="3137"/>
        <w:gridCol w:w="351"/>
        <w:gridCol w:w="2460"/>
      </w:tblGrid>
      <w:tr w:rsidR="00B70211" w:rsidRPr="00B70211" w14:paraId="0035A103" w14:textId="77777777" w:rsidTr="00213FDE">
        <w:trPr>
          <w:trHeight w:val="1222"/>
        </w:trPr>
        <w:tc>
          <w:tcPr>
            <w:tcW w:w="2977" w:type="dxa"/>
            <w:vAlign w:val="center"/>
          </w:tcPr>
          <w:p w14:paraId="6E608B5C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…… mg veterinárního léčivého přípravku na kg živé hmotnosti</w:t>
            </w:r>
          </w:p>
          <w:p w14:paraId="08CF2A22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na den</w:t>
            </w:r>
          </w:p>
        </w:tc>
        <w:tc>
          <w:tcPr>
            <w:tcW w:w="291" w:type="dxa"/>
          </w:tcPr>
          <w:p w14:paraId="5A986CEF" w14:textId="77777777" w:rsidR="00B70211" w:rsidRDefault="00B70211" w:rsidP="00586AEA">
            <w:pPr>
              <w:spacing w:line="240" w:lineRule="auto"/>
              <w:rPr>
                <w:szCs w:val="22"/>
              </w:rPr>
            </w:pPr>
            <w:r w:rsidRPr="00213FDE">
              <w:rPr>
                <w:szCs w:val="22"/>
              </w:rPr>
              <w:t xml:space="preserve">  </w:t>
            </w:r>
          </w:p>
          <w:p w14:paraId="740B4752" w14:textId="77777777" w:rsidR="00B70211" w:rsidRDefault="00B70211" w:rsidP="00586AEA">
            <w:pPr>
              <w:spacing w:line="240" w:lineRule="auto"/>
              <w:rPr>
                <w:szCs w:val="22"/>
              </w:rPr>
            </w:pPr>
          </w:p>
          <w:p w14:paraId="0E900870" w14:textId="2497F128" w:rsidR="00B70211" w:rsidRPr="00213FDE" w:rsidRDefault="00B70211" w:rsidP="00586AEA">
            <w:pPr>
              <w:spacing w:line="240" w:lineRule="auto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x</w:t>
            </w:r>
          </w:p>
        </w:tc>
        <w:tc>
          <w:tcPr>
            <w:tcW w:w="3152" w:type="dxa"/>
            <w:vAlign w:val="center"/>
          </w:tcPr>
          <w:p w14:paraId="46A05900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Průměrná živá hmotnost (kg)</w:t>
            </w:r>
          </w:p>
          <w:p w14:paraId="10832434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léčených zvířat</w:t>
            </w:r>
          </w:p>
        </w:tc>
        <w:tc>
          <w:tcPr>
            <w:tcW w:w="351" w:type="dxa"/>
            <w:vMerge w:val="restart"/>
          </w:tcPr>
          <w:p w14:paraId="62E4357C" w14:textId="6ED87609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  <w:p w14:paraId="013537C7" w14:textId="71A96E2F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  <w:p w14:paraId="0BF4F751" w14:textId="4FC08F34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  <w:p w14:paraId="759645CF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  <w:p w14:paraId="12109225" w14:textId="67E4C949" w:rsidR="00B70211" w:rsidRPr="00213FDE" w:rsidRDefault="00B70211" w:rsidP="00586AEA">
            <w:pPr>
              <w:spacing w:line="240" w:lineRule="auto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=</w:t>
            </w:r>
          </w:p>
        </w:tc>
        <w:tc>
          <w:tcPr>
            <w:tcW w:w="2468" w:type="dxa"/>
            <w:vMerge w:val="restart"/>
          </w:tcPr>
          <w:p w14:paraId="4169434E" w14:textId="77777777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24548704" w14:textId="77777777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12AEB099" w14:textId="11A060DC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50B0998F" w14:textId="77777777" w:rsidR="00B70211" w:rsidRDefault="00B70211" w:rsidP="00586AEA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  <w:p w14:paraId="07198065" w14:textId="59CC6E42" w:rsidR="00B70211" w:rsidRPr="00B70211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……mg veterinárního léčivého přípravku /</w:t>
            </w:r>
          </w:p>
          <w:p w14:paraId="3820BBB5" w14:textId="77777777" w:rsidR="00B70211" w:rsidRDefault="00B70211" w:rsidP="00586AEA">
            <w:pPr>
              <w:spacing w:line="240" w:lineRule="auto"/>
              <w:rPr>
                <w:szCs w:val="22"/>
              </w:rPr>
            </w:pPr>
            <w:r w:rsidRPr="00213FDE">
              <w:rPr>
                <w:szCs w:val="22"/>
              </w:rPr>
              <w:t>l pitné vody</w:t>
            </w:r>
          </w:p>
          <w:p w14:paraId="20C35236" w14:textId="7925BF17" w:rsidR="004E3233" w:rsidRPr="00213FDE" w:rsidRDefault="004E3233" w:rsidP="00586AEA">
            <w:pPr>
              <w:spacing w:line="240" w:lineRule="auto"/>
              <w:rPr>
                <w:rFonts w:eastAsia="Calibri"/>
                <w:kern w:val="2"/>
                <w:szCs w:val="22"/>
              </w:rPr>
            </w:pPr>
          </w:p>
        </w:tc>
      </w:tr>
      <w:tr w:rsidR="00B70211" w:rsidRPr="00586AEA" w14:paraId="4A7670B2" w14:textId="77777777" w:rsidTr="00213FDE">
        <w:trPr>
          <w:trHeight w:val="359"/>
        </w:trPr>
        <w:tc>
          <w:tcPr>
            <w:tcW w:w="6420" w:type="dxa"/>
            <w:gridSpan w:val="3"/>
            <w:tcBorders>
              <w:top w:val="single" w:sz="4" w:space="0" w:color="auto"/>
            </w:tcBorders>
          </w:tcPr>
          <w:p w14:paraId="7146C769" w14:textId="77777777" w:rsidR="00B70211" w:rsidRPr="00213FDE" w:rsidRDefault="00B70211" w:rsidP="00213FDE">
            <w:pPr>
              <w:tabs>
                <w:tab w:val="clear" w:pos="567"/>
              </w:tabs>
              <w:spacing w:line="240" w:lineRule="auto"/>
              <w:jc w:val="center"/>
              <w:rPr>
                <w:rFonts w:eastAsia="Calibri"/>
                <w:kern w:val="2"/>
                <w:szCs w:val="22"/>
              </w:rPr>
            </w:pPr>
            <w:r w:rsidRPr="00213FDE">
              <w:rPr>
                <w:szCs w:val="22"/>
              </w:rPr>
              <w:t>Průměrné množství pitné vody nebo mléka / zvíře (l)</w:t>
            </w:r>
          </w:p>
        </w:tc>
        <w:tc>
          <w:tcPr>
            <w:tcW w:w="351" w:type="dxa"/>
            <w:vMerge/>
          </w:tcPr>
          <w:p w14:paraId="435CF6F0" w14:textId="77777777" w:rsidR="00B70211" w:rsidRPr="00213FDE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</w:tc>
        <w:tc>
          <w:tcPr>
            <w:tcW w:w="2468" w:type="dxa"/>
            <w:vMerge/>
          </w:tcPr>
          <w:p w14:paraId="607A2F53" w14:textId="3F37EBD7" w:rsidR="00B70211" w:rsidRPr="00586AEA" w:rsidRDefault="00B70211" w:rsidP="00586AEA">
            <w:pPr>
              <w:tabs>
                <w:tab w:val="clear" w:pos="567"/>
              </w:tabs>
              <w:spacing w:line="240" w:lineRule="auto"/>
              <w:rPr>
                <w:rFonts w:eastAsia="Calibri"/>
                <w:kern w:val="2"/>
                <w:szCs w:val="22"/>
              </w:rPr>
            </w:pPr>
          </w:p>
        </w:tc>
      </w:tr>
    </w:tbl>
    <w:p w14:paraId="1CA20D23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349322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Léčená zvířata by měla mít zajištěn dostatečný přístup k napájecímu systému, aby se zajistila odpovídající spotřeba vody. Žádný jiný zdroj pitné vody by neměl být během léčby k dispozici.</w:t>
      </w:r>
    </w:p>
    <w:p w14:paraId="71FD634E" w14:textId="4DD9554A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Pokud se příznaky onemocnění významně nezlepší během 3 dnů, je třeba přehodnotit </w:t>
      </w:r>
      <w:r w:rsidR="006B13E7">
        <w:rPr>
          <w:szCs w:val="22"/>
        </w:rPr>
        <w:t>léčbu</w:t>
      </w:r>
      <w:r w:rsidRPr="00586AEA">
        <w:rPr>
          <w:szCs w:val="22"/>
        </w:rPr>
        <w:t xml:space="preserve">. Po ukončení medikace je třeba odpovídajícím způsobem vyčistit napájecí systém, aby se předešlo příjmu </w:t>
      </w:r>
      <w:proofErr w:type="gramStart"/>
      <w:r w:rsidRPr="00586AEA">
        <w:rPr>
          <w:szCs w:val="22"/>
        </w:rPr>
        <w:t>subterapeutického  množství</w:t>
      </w:r>
      <w:proofErr w:type="gramEnd"/>
      <w:r w:rsidRPr="00586AEA">
        <w:rPr>
          <w:szCs w:val="22"/>
        </w:rPr>
        <w:t xml:space="preserve"> léčivé látky, což by mohlo podpořit vznik rezistence.</w:t>
      </w:r>
    </w:p>
    <w:p w14:paraId="20D78D2A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Voda, mléko nebo mléčná náhražka s léčivem by se měly vyměňovat každých 24 hodin.</w:t>
      </w:r>
    </w:p>
    <w:p w14:paraId="084F5868" w14:textId="25A9CA9B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lastRenderedPageBreak/>
        <w:t xml:space="preserve">Pokud jednotlivá zvířata vykazují známky závažné infekce, jako je snížený příjem vody nebo </w:t>
      </w:r>
      <w:r w:rsidR="00AE10EE">
        <w:rPr>
          <w:szCs w:val="22"/>
        </w:rPr>
        <w:t>krmiva</w:t>
      </w:r>
      <w:r w:rsidRPr="00586AEA">
        <w:rPr>
          <w:szCs w:val="22"/>
        </w:rPr>
        <w:t>, měla by být léčena individuálně, například vhodnými injekčními veterinárními léčivými přípravky.</w:t>
      </w:r>
    </w:p>
    <w:p w14:paraId="4130CAAE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07DC4011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  <w:r w:rsidRPr="00586AEA">
        <w:rPr>
          <w:b/>
          <w:szCs w:val="22"/>
        </w:rPr>
        <w:t>3.10</w:t>
      </w:r>
      <w:r w:rsidRPr="00586AEA">
        <w:rPr>
          <w:b/>
          <w:szCs w:val="22"/>
        </w:rPr>
        <w:tab/>
        <w:t>Příznaky předávkování (a kde je relevantní, první pomoc a antidota)</w:t>
      </w:r>
    </w:p>
    <w:p w14:paraId="27929143" w14:textId="77777777" w:rsidR="007F0133" w:rsidRPr="00586AEA" w:rsidRDefault="007F0133" w:rsidP="00586AEA">
      <w:pPr>
        <w:pStyle w:val="Zkladntextodsazen"/>
        <w:rPr>
          <w:bCs/>
          <w:szCs w:val="22"/>
        </w:rPr>
      </w:pPr>
    </w:p>
    <w:p w14:paraId="3CDB7CF3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Neexistují důkazy o toxicitě tylosinu u krys při dávkách do 1000 mg/kg při perorálním podání.</w:t>
      </w:r>
    </w:p>
    <w:p w14:paraId="4B55464D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Cs/>
          <w:szCs w:val="22"/>
        </w:rPr>
      </w:pPr>
      <w:r w:rsidRPr="00586AEA">
        <w:rPr>
          <w:szCs w:val="22"/>
        </w:rPr>
        <w:t>Neexistují důkazy o toxicitě tylosinu u kura domácího, krůt, prasat nebo telat, při perorálním podání dávek do trojnásobku doporučené dávky.</w:t>
      </w:r>
    </w:p>
    <w:p w14:paraId="2176D184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6506AC0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  <w:r w:rsidRPr="00586AEA">
        <w:rPr>
          <w:b/>
          <w:szCs w:val="22"/>
        </w:rPr>
        <w:t>3.11</w:t>
      </w:r>
      <w:r w:rsidRPr="00586AEA">
        <w:rPr>
          <w:b/>
          <w:szCs w:val="22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61C31A0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041A9699" w14:textId="77777777" w:rsidR="00AE2CD5" w:rsidRPr="00586AEA" w:rsidRDefault="00AE2CD5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Neuplatňuje se.</w:t>
      </w:r>
    </w:p>
    <w:p w14:paraId="6437E704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4FA664CF" w14:textId="77777777" w:rsidR="007F0133" w:rsidRPr="00586AEA" w:rsidRDefault="007F0133" w:rsidP="000E189C">
      <w:pPr>
        <w:tabs>
          <w:tab w:val="clear" w:pos="567"/>
          <w:tab w:val="left" w:pos="709"/>
        </w:tabs>
        <w:spacing w:line="240" w:lineRule="auto"/>
        <w:rPr>
          <w:b/>
          <w:szCs w:val="22"/>
        </w:rPr>
      </w:pPr>
      <w:r w:rsidRPr="00586AEA">
        <w:rPr>
          <w:b/>
          <w:szCs w:val="22"/>
        </w:rPr>
        <w:t>3.12</w:t>
      </w:r>
      <w:r w:rsidRPr="00586AEA">
        <w:rPr>
          <w:b/>
          <w:szCs w:val="22"/>
        </w:rPr>
        <w:tab/>
        <w:t>Ochranné lhůty</w:t>
      </w:r>
    </w:p>
    <w:p w14:paraId="3D7649A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szCs w:val="22"/>
        </w:rPr>
      </w:pPr>
    </w:p>
    <w:p w14:paraId="7DF4F13F" w14:textId="07A26ABF" w:rsidR="007F0133" w:rsidRPr="00586AEA" w:rsidRDefault="00AE2CD5" w:rsidP="00586AEA">
      <w:pPr>
        <w:tabs>
          <w:tab w:val="clear" w:pos="567"/>
        </w:tabs>
        <w:spacing w:line="240" w:lineRule="auto"/>
        <w:rPr>
          <w:szCs w:val="22"/>
        </w:rPr>
      </w:pPr>
      <w:r w:rsidRPr="00213FDE">
        <w:rPr>
          <w:szCs w:val="22"/>
        </w:rPr>
        <w:t>Skot (telata)</w:t>
      </w:r>
      <w:r w:rsidRPr="00586AEA">
        <w:rPr>
          <w:szCs w:val="22"/>
        </w:rPr>
        <w:t xml:space="preserve"> </w:t>
      </w:r>
      <w:r w:rsidR="007F0133" w:rsidRPr="00586AEA">
        <w:rPr>
          <w:szCs w:val="22"/>
        </w:rPr>
        <w:t>(maso): 12 dnů</w:t>
      </w:r>
    </w:p>
    <w:p w14:paraId="38D7ECB5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Prasata (maso): 1 den</w:t>
      </w:r>
    </w:p>
    <w:p w14:paraId="4EA0A81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Krůty (maso): 2 dnů</w:t>
      </w:r>
    </w:p>
    <w:p w14:paraId="045DF12C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Krůty (vejce): Bez ochranných lhůt.</w:t>
      </w:r>
    </w:p>
    <w:p w14:paraId="22F9E4E6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Kur domácí (maso): 1 den</w:t>
      </w:r>
    </w:p>
    <w:p w14:paraId="67CF2312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Kur domácí (vejce): Bez ochranných lhůt.</w:t>
      </w:r>
    </w:p>
    <w:p w14:paraId="10814960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4AE8A790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5A712849" w14:textId="77777777" w:rsidR="007F0133" w:rsidRPr="00586AEA" w:rsidRDefault="007F0133" w:rsidP="000E189C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586AEA">
        <w:rPr>
          <w:b/>
          <w:szCs w:val="22"/>
        </w:rPr>
        <w:t>4.</w:t>
      </w:r>
      <w:r w:rsidRPr="00586AEA">
        <w:rPr>
          <w:b/>
          <w:szCs w:val="22"/>
        </w:rPr>
        <w:tab/>
        <w:t>FARMAKOLOGICKÉ INFORMACE</w:t>
      </w:r>
    </w:p>
    <w:p w14:paraId="422364B7" w14:textId="77777777" w:rsidR="007F0133" w:rsidRPr="00586AEA" w:rsidRDefault="007F0133" w:rsidP="000E189C">
      <w:pPr>
        <w:keepNext/>
        <w:tabs>
          <w:tab w:val="clear" w:pos="567"/>
        </w:tabs>
        <w:spacing w:line="240" w:lineRule="auto"/>
        <w:rPr>
          <w:b/>
          <w:szCs w:val="22"/>
        </w:rPr>
      </w:pPr>
    </w:p>
    <w:p w14:paraId="13127914" w14:textId="71E58083" w:rsidR="007F0133" w:rsidRPr="00586AEA" w:rsidRDefault="007F0133" w:rsidP="00586AEA">
      <w:pPr>
        <w:tabs>
          <w:tab w:val="clear" w:pos="567"/>
        </w:tabs>
        <w:spacing w:line="240" w:lineRule="auto"/>
        <w:rPr>
          <w:bCs/>
          <w:szCs w:val="22"/>
        </w:rPr>
      </w:pPr>
      <w:r w:rsidRPr="00586AEA">
        <w:rPr>
          <w:b/>
          <w:szCs w:val="22"/>
        </w:rPr>
        <w:t>4.1</w:t>
      </w:r>
      <w:r w:rsidRPr="00586AEA">
        <w:rPr>
          <w:b/>
          <w:szCs w:val="22"/>
        </w:rPr>
        <w:tab/>
      </w:r>
      <w:proofErr w:type="spellStart"/>
      <w:r w:rsidRPr="00586AEA">
        <w:rPr>
          <w:b/>
          <w:szCs w:val="22"/>
        </w:rPr>
        <w:t>ATCvet</w:t>
      </w:r>
      <w:proofErr w:type="spellEnd"/>
      <w:r w:rsidRPr="00586AEA">
        <w:rPr>
          <w:b/>
          <w:szCs w:val="22"/>
        </w:rPr>
        <w:t xml:space="preserve"> kód:</w:t>
      </w:r>
      <w:r w:rsidR="00586AEA">
        <w:rPr>
          <w:b/>
          <w:szCs w:val="22"/>
        </w:rPr>
        <w:t xml:space="preserve"> </w:t>
      </w:r>
      <w:r w:rsidRPr="00586AEA">
        <w:rPr>
          <w:szCs w:val="22"/>
        </w:rPr>
        <w:t>QJ01FA90</w:t>
      </w:r>
    </w:p>
    <w:p w14:paraId="46BBAD36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8F0CC42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586AEA">
        <w:rPr>
          <w:b/>
          <w:szCs w:val="22"/>
        </w:rPr>
        <w:t>4.2</w:t>
      </w:r>
      <w:r w:rsidRPr="00586AEA">
        <w:rPr>
          <w:b/>
          <w:szCs w:val="22"/>
        </w:rPr>
        <w:tab/>
        <w:t xml:space="preserve">Farmakodynamika </w:t>
      </w:r>
    </w:p>
    <w:p w14:paraId="38D8B913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6D40D11C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Tylosin je makrolidové antibiotikum, které produkuje kmen </w:t>
      </w:r>
      <w:r w:rsidRPr="00586AEA">
        <w:rPr>
          <w:i/>
          <w:szCs w:val="22"/>
        </w:rPr>
        <w:t>Streptomyces fradiae.</w:t>
      </w:r>
      <w:r w:rsidRPr="00586AEA">
        <w:rPr>
          <w:szCs w:val="22"/>
        </w:rPr>
        <w:t xml:space="preserve"> Jeho antimikrobiální účinek spočívá v inhibici proteosyntézy citlivých mikroorganismů. </w:t>
      </w:r>
    </w:p>
    <w:p w14:paraId="6AA31CC0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 xml:space="preserve">Spektrum účinnosti tylosinu zahrnuje grampozitivní bakterie a některé gramnegativní kmeny, jako je </w:t>
      </w:r>
      <w:r w:rsidRPr="00586AEA">
        <w:rPr>
          <w:i/>
          <w:szCs w:val="22"/>
        </w:rPr>
        <w:t>Pasteurella</w:t>
      </w:r>
      <w:r w:rsidRPr="00586AEA">
        <w:rPr>
          <w:szCs w:val="22"/>
        </w:rPr>
        <w:t xml:space="preserve"> a </w:t>
      </w:r>
      <w:r w:rsidRPr="00586AEA">
        <w:rPr>
          <w:i/>
          <w:szCs w:val="22"/>
        </w:rPr>
        <w:t xml:space="preserve">Mycoplasma </w:t>
      </w:r>
      <w:r w:rsidRPr="00586AEA">
        <w:rPr>
          <w:szCs w:val="22"/>
        </w:rPr>
        <w:t>spp.</w:t>
      </w:r>
    </w:p>
    <w:p w14:paraId="0E92DC14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Cs/>
          <w:szCs w:val="22"/>
        </w:rPr>
      </w:pPr>
    </w:p>
    <w:p w14:paraId="33119514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586AEA">
        <w:rPr>
          <w:b/>
          <w:szCs w:val="22"/>
        </w:rPr>
        <w:t>4.3</w:t>
      </w:r>
      <w:r w:rsidRPr="00586AEA">
        <w:rPr>
          <w:b/>
          <w:szCs w:val="22"/>
        </w:rPr>
        <w:tab/>
        <w:t xml:space="preserve">Farmakokinetika </w:t>
      </w:r>
    </w:p>
    <w:p w14:paraId="4490E161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5231A29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U většiny druhů bylo maximální plazmatické koncentrace dosaženo 1 až 2 hodiny po podání tylosinu. Ve srovnání s plazmatickými hladinami byly zjištěny zřetelně vyšší tkáňové koncentrace. Tylosin byl značně metabolizován. </w:t>
      </w:r>
    </w:p>
    <w:p w14:paraId="2EAF5B28" w14:textId="77777777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</w:p>
    <w:p w14:paraId="1848D338" w14:textId="77777777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bookmarkStart w:id="3" w:name="_Hlk147405704"/>
      <w:r w:rsidRPr="00586AEA">
        <w:rPr>
          <w:b/>
          <w:szCs w:val="22"/>
        </w:rPr>
        <w:t>Environmentální vlastnosti</w:t>
      </w:r>
    </w:p>
    <w:p w14:paraId="3CDBBBF9" w14:textId="0C80191B" w:rsidR="007F0133" w:rsidRPr="00586AEA" w:rsidRDefault="007F0133" w:rsidP="00213FD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 xml:space="preserve">Většina reziduí je vylučována výkaly, obsahujícími hlavně </w:t>
      </w:r>
      <w:proofErr w:type="spellStart"/>
      <w:r w:rsidRPr="00586AEA">
        <w:rPr>
          <w:szCs w:val="22"/>
        </w:rPr>
        <w:t>tylosin</w:t>
      </w:r>
      <w:proofErr w:type="spellEnd"/>
      <w:r w:rsidRPr="00586AEA">
        <w:rPr>
          <w:szCs w:val="22"/>
        </w:rPr>
        <w:t xml:space="preserve"> (faktor A), </w:t>
      </w:r>
      <w:proofErr w:type="spellStart"/>
      <w:r w:rsidRPr="00586AEA">
        <w:rPr>
          <w:szCs w:val="22"/>
        </w:rPr>
        <w:t>relomycin</w:t>
      </w:r>
      <w:proofErr w:type="spellEnd"/>
      <w:r w:rsidRPr="00586AEA">
        <w:rPr>
          <w:szCs w:val="22"/>
        </w:rPr>
        <w:t xml:space="preserve"> (faktor D) </w:t>
      </w:r>
      <w:r w:rsidR="004E1B5A" w:rsidRPr="00586AEA">
        <w:rPr>
          <w:szCs w:val="22"/>
        </w:rPr>
        <w:t>a</w:t>
      </w:r>
      <w:r w:rsidR="004E1B5A">
        <w:rPr>
          <w:szCs w:val="22"/>
        </w:rPr>
        <w:t> </w:t>
      </w:r>
      <w:proofErr w:type="spellStart"/>
      <w:r w:rsidRPr="00586AEA">
        <w:rPr>
          <w:szCs w:val="22"/>
        </w:rPr>
        <w:t>dihydrodesmycosin</w:t>
      </w:r>
      <w:proofErr w:type="spellEnd"/>
      <w:r w:rsidRPr="00586AEA">
        <w:rPr>
          <w:szCs w:val="22"/>
        </w:rPr>
        <w:t>.</w:t>
      </w:r>
    </w:p>
    <w:bookmarkEnd w:id="3"/>
    <w:p w14:paraId="54C714E0" w14:textId="77777777" w:rsidR="007F0133" w:rsidRPr="00586AEA" w:rsidRDefault="007F0133" w:rsidP="00586AEA">
      <w:pPr>
        <w:spacing w:line="240" w:lineRule="auto"/>
        <w:rPr>
          <w:szCs w:val="22"/>
        </w:rPr>
      </w:pPr>
    </w:p>
    <w:p w14:paraId="7478B1E9" w14:textId="77777777" w:rsidR="007F0133" w:rsidRPr="00586AEA" w:rsidRDefault="007F0133" w:rsidP="00586AEA">
      <w:pPr>
        <w:spacing w:line="240" w:lineRule="auto"/>
        <w:ind w:firstLine="567"/>
        <w:rPr>
          <w:szCs w:val="22"/>
        </w:rPr>
      </w:pPr>
    </w:p>
    <w:p w14:paraId="554E1DFF" w14:textId="77777777" w:rsidR="007F0133" w:rsidRPr="00586AEA" w:rsidRDefault="007F0133" w:rsidP="00586AEA">
      <w:pPr>
        <w:spacing w:line="240" w:lineRule="auto"/>
        <w:rPr>
          <w:szCs w:val="22"/>
        </w:rPr>
      </w:pPr>
      <w:r w:rsidRPr="00586AEA">
        <w:rPr>
          <w:b/>
          <w:szCs w:val="22"/>
        </w:rPr>
        <w:t>5.</w:t>
      </w:r>
      <w:r w:rsidRPr="00586AEA">
        <w:rPr>
          <w:b/>
          <w:szCs w:val="22"/>
        </w:rPr>
        <w:tab/>
        <w:t>FARMACEUTICKÉ ÚDAJE</w:t>
      </w:r>
    </w:p>
    <w:p w14:paraId="30E19E46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5A81A6B7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5.1</w:t>
      </w:r>
      <w:r w:rsidRPr="00586AEA">
        <w:rPr>
          <w:b/>
          <w:szCs w:val="22"/>
        </w:rPr>
        <w:tab/>
        <w:t>Hlavní inkompatibility</w:t>
      </w:r>
    </w:p>
    <w:p w14:paraId="3AE598AA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151E97F7" w14:textId="77777777" w:rsidR="007F0133" w:rsidRPr="00586AEA" w:rsidRDefault="007F0133" w:rsidP="00586AE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AEA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51B888EA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2F695CF7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t>5.2</w:t>
      </w:r>
      <w:r w:rsidRPr="00586AEA">
        <w:rPr>
          <w:b/>
          <w:szCs w:val="22"/>
        </w:rPr>
        <w:tab/>
        <w:t>Doba použitelnosti</w:t>
      </w:r>
    </w:p>
    <w:p w14:paraId="78202F0B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05B9A57F" w14:textId="77777777" w:rsidR="007F0133" w:rsidRPr="00586AEA" w:rsidRDefault="007F0133" w:rsidP="00213FDE">
      <w:pPr>
        <w:tabs>
          <w:tab w:val="clear" w:pos="567"/>
        </w:tabs>
        <w:spacing w:line="240" w:lineRule="auto"/>
        <w:rPr>
          <w:bCs/>
          <w:szCs w:val="22"/>
        </w:rPr>
      </w:pPr>
      <w:r w:rsidRPr="00586AEA">
        <w:rPr>
          <w:szCs w:val="22"/>
        </w:rPr>
        <w:t>Doba použitelnosti veterinárního léčivého přípravku v neporušeném obalu: 3 roky</w:t>
      </w:r>
    </w:p>
    <w:p w14:paraId="3E0EAD36" w14:textId="77777777" w:rsidR="007F0133" w:rsidRPr="00586AEA" w:rsidRDefault="007F0133" w:rsidP="00213FDE">
      <w:pPr>
        <w:tabs>
          <w:tab w:val="clear" w:pos="567"/>
        </w:tabs>
        <w:spacing w:line="240" w:lineRule="auto"/>
        <w:rPr>
          <w:bCs/>
          <w:szCs w:val="22"/>
        </w:rPr>
      </w:pPr>
      <w:r w:rsidRPr="00586AEA">
        <w:rPr>
          <w:szCs w:val="22"/>
        </w:rPr>
        <w:t xml:space="preserve">Doba použitelnosti po rozpuštění nebo rekonstituci podle návodu: </w:t>
      </w:r>
    </w:p>
    <w:p w14:paraId="5417D3AC" w14:textId="77777777" w:rsidR="007F0133" w:rsidRPr="00586AEA" w:rsidRDefault="007F0133" w:rsidP="00586AEA">
      <w:pPr>
        <w:tabs>
          <w:tab w:val="clear" w:pos="567"/>
        </w:tabs>
        <w:spacing w:line="240" w:lineRule="auto"/>
        <w:ind w:firstLine="612"/>
        <w:rPr>
          <w:szCs w:val="22"/>
        </w:rPr>
      </w:pPr>
      <w:r w:rsidRPr="00586AEA">
        <w:rPr>
          <w:szCs w:val="22"/>
        </w:rPr>
        <w:t>24 hodin v medikované vodě</w:t>
      </w:r>
    </w:p>
    <w:p w14:paraId="31204C45" w14:textId="0BD34BE8" w:rsidR="007F0133" w:rsidRPr="00586AEA" w:rsidRDefault="007F0133" w:rsidP="00586AEA">
      <w:pPr>
        <w:tabs>
          <w:tab w:val="clear" w:pos="567"/>
        </w:tabs>
        <w:spacing w:line="240" w:lineRule="auto"/>
        <w:ind w:firstLine="612"/>
        <w:rPr>
          <w:szCs w:val="22"/>
        </w:rPr>
      </w:pPr>
      <w:r w:rsidRPr="00586AEA">
        <w:rPr>
          <w:szCs w:val="22"/>
        </w:rPr>
        <w:t xml:space="preserve">24 hodin v </w:t>
      </w:r>
      <w:proofErr w:type="spellStart"/>
      <w:r w:rsidRPr="00586AEA">
        <w:rPr>
          <w:szCs w:val="22"/>
        </w:rPr>
        <w:t>medikovaném</w:t>
      </w:r>
      <w:proofErr w:type="spellEnd"/>
      <w:r w:rsidRPr="00586AEA">
        <w:rPr>
          <w:szCs w:val="22"/>
        </w:rPr>
        <w:t xml:space="preserve"> mléku nebo </w:t>
      </w:r>
      <w:r w:rsidR="004C36B8">
        <w:rPr>
          <w:szCs w:val="22"/>
        </w:rPr>
        <w:t xml:space="preserve">mléčné </w:t>
      </w:r>
      <w:r w:rsidRPr="00586AEA">
        <w:rPr>
          <w:szCs w:val="22"/>
        </w:rPr>
        <w:t xml:space="preserve">náhražce </w:t>
      </w:r>
    </w:p>
    <w:p w14:paraId="3F1AC44A" w14:textId="77777777" w:rsidR="007F0133" w:rsidRPr="00586AEA" w:rsidRDefault="007F0133" w:rsidP="00586AEA">
      <w:pPr>
        <w:tabs>
          <w:tab w:val="clear" w:pos="567"/>
        </w:tabs>
        <w:spacing w:line="240" w:lineRule="auto"/>
        <w:ind w:firstLine="612"/>
        <w:rPr>
          <w:szCs w:val="22"/>
        </w:rPr>
      </w:pPr>
    </w:p>
    <w:p w14:paraId="00E920D4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86AEA">
        <w:rPr>
          <w:szCs w:val="22"/>
        </w:rPr>
        <w:t>Doba použitelnosti po prvním otevření vnitřního obalu: 3 měsíce</w:t>
      </w:r>
    </w:p>
    <w:p w14:paraId="0A9D259B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49B874D0" w14:textId="4413B81B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t>5.3</w:t>
      </w:r>
      <w:r w:rsidRPr="00586AEA">
        <w:rPr>
          <w:b/>
          <w:szCs w:val="22"/>
        </w:rPr>
        <w:tab/>
        <w:t>Zvláštní opatření pro uchovávání</w:t>
      </w:r>
    </w:p>
    <w:p w14:paraId="44663C2C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211F35A9" w14:textId="498AD4BE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 xml:space="preserve">Uchovávejte v původním obalu, aby byl přípravek chráněn před světlem. </w:t>
      </w:r>
      <w:r w:rsidR="000E1DD7" w:rsidRPr="00586AEA">
        <w:rPr>
          <w:szCs w:val="22"/>
        </w:rPr>
        <w:br/>
      </w:r>
      <w:r w:rsidRPr="00586AEA">
        <w:rPr>
          <w:szCs w:val="22"/>
        </w:rPr>
        <w:t>Uchovávejte při teplotě do 30 °C.</w:t>
      </w:r>
    </w:p>
    <w:p w14:paraId="455A476C" w14:textId="438ABFD2" w:rsidR="007F0133" w:rsidRPr="00586AEA" w:rsidRDefault="00AE2CD5" w:rsidP="00586AEA">
      <w:pPr>
        <w:tabs>
          <w:tab w:val="clear" w:pos="567"/>
        </w:tabs>
        <w:spacing w:line="240" w:lineRule="auto"/>
        <w:rPr>
          <w:szCs w:val="22"/>
        </w:rPr>
      </w:pPr>
      <w:bookmarkStart w:id="4" w:name="_Hlk140650566"/>
      <w:r w:rsidRPr="00586AEA">
        <w:rPr>
          <w:szCs w:val="22"/>
        </w:rPr>
        <w:t>Uchovávejte v dobře uzavřeném vnitřním obalu.</w:t>
      </w:r>
    </w:p>
    <w:bookmarkEnd w:id="4"/>
    <w:p w14:paraId="3372C876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i/>
          <w:iCs/>
          <w:noProof/>
          <w:szCs w:val="22"/>
        </w:rPr>
      </w:pPr>
    </w:p>
    <w:p w14:paraId="5619F9BD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586AEA">
        <w:rPr>
          <w:b/>
          <w:szCs w:val="22"/>
        </w:rPr>
        <w:t>5.4</w:t>
      </w:r>
      <w:r w:rsidRPr="00586AEA">
        <w:rPr>
          <w:b/>
          <w:szCs w:val="22"/>
        </w:rPr>
        <w:tab/>
        <w:t>Druh a složení vnitřního obalu</w:t>
      </w:r>
    </w:p>
    <w:p w14:paraId="3D8EA88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24E4B104" w14:textId="0383B5BA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 xml:space="preserve">Uzavíratelný vak se zipem s širokým dnem z laminátu </w:t>
      </w:r>
      <w:proofErr w:type="spellStart"/>
      <w:r w:rsidRPr="00586AEA">
        <w:rPr>
          <w:szCs w:val="22"/>
        </w:rPr>
        <w:t>polyet</w:t>
      </w:r>
      <w:r w:rsidR="000E1DD7" w:rsidRPr="00586AEA">
        <w:rPr>
          <w:szCs w:val="22"/>
        </w:rPr>
        <w:t>h</w:t>
      </w:r>
      <w:r w:rsidRPr="00586AEA">
        <w:rPr>
          <w:szCs w:val="22"/>
        </w:rPr>
        <w:t>ylen</w:t>
      </w:r>
      <w:proofErr w:type="spellEnd"/>
      <w:r w:rsidRPr="00586AEA">
        <w:rPr>
          <w:szCs w:val="22"/>
        </w:rPr>
        <w:t>/hliník/</w:t>
      </w:r>
      <w:proofErr w:type="spellStart"/>
      <w:r w:rsidRPr="00586AEA">
        <w:rPr>
          <w:szCs w:val="22"/>
        </w:rPr>
        <w:t>polyet</w:t>
      </w:r>
      <w:r w:rsidR="000E1DD7" w:rsidRPr="00586AEA">
        <w:rPr>
          <w:szCs w:val="22"/>
        </w:rPr>
        <w:t>h</w:t>
      </w:r>
      <w:r w:rsidRPr="00586AEA">
        <w:rPr>
          <w:szCs w:val="22"/>
        </w:rPr>
        <w:t>ylen-tereftalát</w:t>
      </w:r>
      <w:proofErr w:type="spellEnd"/>
      <w:r w:rsidRPr="00586AEA">
        <w:rPr>
          <w:szCs w:val="22"/>
        </w:rPr>
        <w:t xml:space="preserve"> o obsahu 1,1 kg. </w:t>
      </w:r>
    </w:p>
    <w:p w14:paraId="7467BC18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4AA7D629" w14:textId="1645340B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586AEA">
        <w:rPr>
          <w:szCs w:val="22"/>
        </w:rPr>
        <w:t xml:space="preserve">Kelímek z </w:t>
      </w:r>
      <w:proofErr w:type="spellStart"/>
      <w:r w:rsidRPr="00586AEA">
        <w:rPr>
          <w:szCs w:val="22"/>
        </w:rPr>
        <w:t>vysokohustotního</w:t>
      </w:r>
      <w:proofErr w:type="spellEnd"/>
      <w:r w:rsidRPr="00586AEA">
        <w:rPr>
          <w:szCs w:val="22"/>
        </w:rPr>
        <w:t xml:space="preserve"> </w:t>
      </w:r>
      <w:proofErr w:type="spellStart"/>
      <w:r w:rsidRPr="00586AEA">
        <w:rPr>
          <w:szCs w:val="22"/>
        </w:rPr>
        <w:t>polyet</w:t>
      </w:r>
      <w:r w:rsidR="000E1DD7" w:rsidRPr="00586AEA">
        <w:rPr>
          <w:szCs w:val="22"/>
        </w:rPr>
        <w:t>h</w:t>
      </w:r>
      <w:r w:rsidRPr="00586AEA">
        <w:rPr>
          <w:szCs w:val="22"/>
        </w:rPr>
        <w:t>ylenu</w:t>
      </w:r>
      <w:proofErr w:type="spellEnd"/>
      <w:r w:rsidRPr="00586AEA">
        <w:rPr>
          <w:szCs w:val="22"/>
        </w:rPr>
        <w:t xml:space="preserve"> s polypropylenovým víčkem o obsahu 110 g. </w:t>
      </w:r>
    </w:p>
    <w:p w14:paraId="23CFBD09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586AEA">
        <w:rPr>
          <w:szCs w:val="22"/>
        </w:rPr>
        <w:t>Na trhu nemusí být všechny velikosti balení.</w:t>
      </w:r>
    </w:p>
    <w:p w14:paraId="7393C973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40D40C29" w14:textId="77777777" w:rsidR="007F0133" w:rsidRPr="00586AEA" w:rsidRDefault="007F0133" w:rsidP="000E189C">
      <w:pPr>
        <w:keepNext/>
        <w:spacing w:line="240" w:lineRule="auto"/>
        <w:ind w:left="567" w:hanging="567"/>
        <w:jc w:val="both"/>
        <w:rPr>
          <w:szCs w:val="22"/>
        </w:rPr>
      </w:pPr>
      <w:r w:rsidRPr="00586AEA">
        <w:rPr>
          <w:b/>
          <w:szCs w:val="22"/>
        </w:rPr>
        <w:t>5.5</w:t>
      </w:r>
      <w:r w:rsidRPr="00586AEA">
        <w:rPr>
          <w:szCs w:val="22"/>
        </w:rPr>
        <w:tab/>
      </w:r>
      <w:r w:rsidRPr="00586AEA">
        <w:rPr>
          <w:b/>
          <w:szCs w:val="22"/>
        </w:rPr>
        <w:t>Zvláštní opatření pro likvidaci nepoužitých veterinárních léčivých přípravků nebo odpadů, které pochází z těchto přípravků</w:t>
      </w:r>
    </w:p>
    <w:p w14:paraId="21E34588" w14:textId="77777777" w:rsidR="007F0133" w:rsidRPr="00586AEA" w:rsidRDefault="007F0133" w:rsidP="000E189C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F155B9" w14:textId="77777777" w:rsidR="00AE2CD5" w:rsidRPr="00586AEA" w:rsidRDefault="00AE2CD5" w:rsidP="000E189C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Léčivé přípravky se nesmí likvidovat prostřednictvím odpadní vody či domovního odpadu.</w:t>
      </w:r>
    </w:p>
    <w:p w14:paraId="41C0876D" w14:textId="77777777" w:rsidR="007F0133" w:rsidRPr="00586AEA" w:rsidRDefault="007F0133" w:rsidP="000E189C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14:paraId="4F799078" w14:textId="14C6F973" w:rsidR="00AE2CD5" w:rsidRPr="00586AEA" w:rsidRDefault="00AE2CD5" w:rsidP="000E189C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586AEA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624F0C2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bCs/>
          <w:szCs w:val="22"/>
        </w:rPr>
      </w:pPr>
    </w:p>
    <w:p w14:paraId="12350E88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187B38E5" w14:textId="77777777" w:rsidR="007F0133" w:rsidRPr="00586AEA" w:rsidRDefault="007F0133" w:rsidP="00586AEA">
      <w:pPr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6.</w:t>
      </w:r>
      <w:r w:rsidRPr="00586AEA">
        <w:rPr>
          <w:b/>
          <w:szCs w:val="22"/>
        </w:rPr>
        <w:tab/>
        <w:t>JMÉNO DRŽITELE ROZHODNUTÍ O REGISTRACI</w:t>
      </w:r>
    </w:p>
    <w:p w14:paraId="4A427997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3E21FAEF" w14:textId="77777777" w:rsidR="00AE2CD5" w:rsidRPr="00586AEA" w:rsidRDefault="00AE2CD5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szCs w:val="22"/>
        </w:rPr>
        <w:t>Huvepharma NV</w:t>
      </w:r>
    </w:p>
    <w:p w14:paraId="631A37EE" w14:textId="77777777" w:rsidR="007F0133" w:rsidRPr="00586AEA" w:rsidRDefault="007F0133" w:rsidP="00586AEA">
      <w:pPr>
        <w:tabs>
          <w:tab w:val="clear" w:pos="567"/>
        </w:tabs>
        <w:spacing w:line="240" w:lineRule="auto"/>
        <w:ind w:right="-318"/>
        <w:rPr>
          <w:szCs w:val="22"/>
        </w:rPr>
      </w:pPr>
    </w:p>
    <w:p w14:paraId="7FE09147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65325F9B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b/>
          <w:szCs w:val="22"/>
        </w:rPr>
        <w:t>7.</w:t>
      </w:r>
      <w:r w:rsidRPr="00586AEA">
        <w:rPr>
          <w:b/>
          <w:szCs w:val="22"/>
        </w:rPr>
        <w:tab/>
        <w:t>REGISTRAČNÍ ČÍSLO(A)</w:t>
      </w:r>
    </w:p>
    <w:p w14:paraId="588A9F3D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590BD082" w14:textId="1BBDDADF" w:rsidR="007F0133" w:rsidRDefault="00213FDE" w:rsidP="00586AEA">
      <w:pPr>
        <w:tabs>
          <w:tab w:val="clear" w:pos="567"/>
        </w:tabs>
        <w:spacing w:line="240" w:lineRule="auto"/>
        <w:rPr>
          <w:szCs w:val="22"/>
        </w:rPr>
      </w:pPr>
      <w:r w:rsidRPr="00213FDE">
        <w:rPr>
          <w:szCs w:val="22"/>
        </w:rPr>
        <w:t>96/034/</w:t>
      </w:r>
      <w:proofErr w:type="gramStart"/>
      <w:r w:rsidRPr="00213FDE">
        <w:rPr>
          <w:szCs w:val="22"/>
        </w:rPr>
        <w:t>11-C</w:t>
      </w:r>
      <w:proofErr w:type="gramEnd"/>
    </w:p>
    <w:p w14:paraId="5D82604C" w14:textId="77777777" w:rsidR="00213FDE" w:rsidRPr="00586AEA" w:rsidRDefault="00213FDE" w:rsidP="00586AEA">
      <w:pPr>
        <w:tabs>
          <w:tab w:val="clear" w:pos="567"/>
        </w:tabs>
        <w:spacing w:line="240" w:lineRule="auto"/>
        <w:rPr>
          <w:szCs w:val="22"/>
        </w:rPr>
      </w:pPr>
    </w:p>
    <w:p w14:paraId="354AF3E7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  <w:r w:rsidRPr="00586AEA">
        <w:rPr>
          <w:b/>
          <w:szCs w:val="22"/>
        </w:rPr>
        <w:t>8.</w:t>
      </w:r>
      <w:r w:rsidRPr="00586AEA">
        <w:rPr>
          <w:b/>
          <w:szCs w:val="22"/>
        </w:rPr>
        <w:tab/>
        <w:t>DATUM PRVNÍ REGISTRACE</w:t>
      </w:r>
    </w:p>
    <w:p w14:paraId="177BB53E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</w:rPr>
      </w:pPr>
    </w:p>
    <w:p w14:paraId="7FE4DA92" w14:textId="50295A5F" w:rsidR="007F0133" w:rsidRDefault="00213FDE" w:rsidP="00586AE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26. 4. 2011</w:t>
      </w:r>
    </w:p>
    <w:p w14:paraId="5D7CDE61" w14:textId="77777777" w:rsidR="00213FDE" w:rsidRPr="00586AEA" w:rsidRDefault="00213FDE" w:rsidP="00586AEA">
      <w:pPr>
        <w:tabs>
          <w:tab w:val="clear" w:pos="567"/>
        </w:tabs>
        <w:spacing w:line="240" w:lineRule="auto"/>
        <w:rPr>
          <w:szCs w:val="22"/>
        </w:rPr>
      </w:pPr>
      <w:bookmarkStart w:id="5" w:name="_GoBack"/>
      <w:bookmarkEnd w:id="5"/>
    </w:p>
    <w:p w14:paraId="09A20515" w14:textId="77777777" w:rsidR="007F0133" w:rsidRPr="00586AEA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9.</w:t>
      </w:r>
      <w:r w:rsidRPr="00586AEA">
        <w:rPr>
          <w:b/>
          <w:szCs w:val="22"/>
        </w:rPr>
        <w:tab/>
        <w:t>DATUM POSLEDNÍ AKTUALIZACE SOUHRNU ÚDAJŮ O PŘÍPRAVKU</w:t>
      </w:r>
    </w:p>
    <w:p w14:paraId="27A9BBCA" w14:textId="467E167E" w:rsidR="007F0133" w:rsidRDefault="007F0133" w:rsidP="00586AEA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</w:p>
    <w:p w14:paraId="6E31B27E" w14:textId="6EDF52EB" w:rsidR="00586AEA" w:rsidRDefault="00F42416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>
        <w:rPr>
          <w:szCs w:val="22"/>
        </w:rPr>
        <w:t>Prosinec</w:t>
      </w:r>
      <w:r w:rsidR="009105E2" w:rsidRPr="00213FDE">
        <w:rPr>
          <w:szCs w:val="22"/>
        </w:rPr>
        <w:t xml:space="preserve"> 2023</w:t>
      </w:r>
    </w:p>
    <w:p w14:paraId="25D457CC" w14:textId="77777777" w:rsidR="00D95E37" w:rsidRPr="00213FDE" w:rsidRDefault="00D95E37" w:rsidP="00586AEA">
      <w:pPr>
        <w:tabs>
          <w:tab w:val="clear" w:pos="567"/>
        </w:tabs>
        <w:spacing w:line="240" w:lineRule="auto"/>
        <w:ind w:left="567" w:hanging="567"/>
        <w:rPr>
          <w:szCs w:val="22"/>
        </w:rPr>
      </w:pPr>
    </w:p>
    <w:p w14:paraId="359600F6" w14:textId="77777777" w:rsidR="007F0133" w:rsidRPr="00586AEA" w:rsidRDefault="007F0133" w:rsidP="00586AEA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586AEA">
        <w:rPr>
          <w:b/>
          <w:szCs w:val="22"/>
        </w:rPr>
        <w:t>10.</w:t>
      </w:r>
      <w:r w:rsidRPr="00586AEA">
        <w:rPr>
          <w:b/>
          <w:szCs w:val="22"/>
        </w:rPr>
        <w:tab/>
        <w:t>KLASIFIKACE VETERINÁRNÍCH LÉČIVÝCH PŘÍPRAVKŮ</w:t>
      </w:r>
    </w:p>
    <w:p w14:paraId="56AFA945" w14:textId="77777777" w:rsidR="007F0133" w:rsidRPr="00586AEA" w:rsidRDefault="007F0133" w:rsidP="00586AEA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4F2DC328" w14:textId="77777777" w:rsidR="00AE2CD5" w:rsidRPr="00586AEA" w:rsidRDefault="00AE2CD5" w:rsidP="00586AEA">
      <w:pPr>
        <w:numPr>
          <w:ilvl w:val="12"/>
          <w:numId w:val="0"/>
        </w:numPr>
        <w:spacing w:line="240" w:lineRule="auto"/>
        <w:rPr>
          <w:szCs w:val="22"/>
        </w:rPr>
      </w:pPr>
      <w:r w:rsidRPr="00586AEA">
        <w:rPr>
          <w:szCs w:val="22"/>
        </w:rPr>
        <w:t>Veterinární léčivý přípravek je vydáván pouze na předpis.</w:t>
      </w:r>
    </w:p>
    <w:p w14:paraId="31E9E69B" w14:textId="77777777" w:rsidR="00586AEA" w:rsidRDefault="00586AEA" w:rsidP="00586AEA">
      <w:pPr>
        <w:numPr>
          <w:ilvl w:val="12"/>
          <w:numId w:val="0"/>
        </w:numPr>
        <w:spacing w:line="240" w:lineRule="auto"/>
        <w:rPr>
          <w:szCs w:val="22"/>
        </w:rPr>
      </w:pPr>
    </w:p>
    <w:p w14:paraId="7D4C06F8" w14:textId="47E73B9C" w:rsidR="00E407CB" w:rsidRDefault="00AE2CD5" w:rsidP="00586AEA">
      <w:pPr>
        <w:numPr>
          <w:ilvl w:val="12"/>
          <w:numId w:val="0"/>
        </w:numPr>
        <w:spacing w:line="240" w:lineRule="auto"/>
        <w:rPr>
          <w:szCs w:val="22"/>
        </w:rPr>
      </w:pPr>
      <w:r w:rsidRPr="000E189C">
        <w:rPr>
          <w:szCs w:val="22"/>
        </w:rPr>
        <w:t>Podrobné informace o tomto veterinárním léčivém přípravku jsou k dispozici v databázi přípravků Unie (</w:t>
      </w:r>
      <w:hyperlink r:id="rId6" w:history="1">
        <w:r w:rsidRPr="000E189C">
          <w:rPr>
            <w:rStyle w:val="Hypertextovodkaz"/>
            <w:szCs w:val="22"/>
            <w:u w:val="none"/>
          </w:rPr>
          <w:t>https://medicines.health.europa.eu/veterinary</w:t>
        </w:r>
      </w:hyperlink>
      <w:r w:rsidRPr="000E189C">
        <w:rPr>
          <w:szCs w:val="22"/>
        </w:rPr>
        <w:t>).</w:t>
      </w:r>
    </w:p>
    <w:p w14:paraId="0CE6AF0F" w14:textId="08D68EB2" w:rsidR="009105E2" w:rsidRDefault="009105E2" w:rsidP="00586AEA">
      <w:pPr>
        <w:numPr>
          <w:ilvl w:val="12"/>
          <w:numId w:val="0"/>
        </w:numPr>
        <w:spacing w:line="240" w:lineRule="auto"/>
        <w:rPr>
          <w:szCs w:val="22"/>
        </w:rPr>
      </w:pPr>
    </w:p>
    <w:p w14:paraId="2A2CF7A4" w14:textId="35295132" w:rsidR="009105E2" w:rsidRPr="000E189C" w:rsidRDefault="008C1B0E" w:rsidP="008C1B0E">
      <w:pPr>
        <w:numPr>
          <w:ilvl w:val="12"/>
          <w:numId w:val="0"/>
        </w:numPr>
        <w:spacing w:line="240" w:lineRule="auto"/>
        <w:rPr>
          <w:szCs w:val="22"/>
        </w:rPr>
      </w:pPr>
      <w:r w:rsidRPr="00703002">
        <w:rPr>
          <w:szCs w:val="22"/>
        </w:rPr>
        <w:t>Podrobné informace o tomto veterinárním léčivém přípravku naleznete také v národní databázi (</w:t>
      </w:r>
      <w:hyperlink r:id="rId7" w:history="1">
        <w:r w:rsidRPr="00703002">
          <w:rPr>
            <w:rStyle w:val="Hypertextovodkaz"/>
            <w:szCs w:val="22"/>
          </w:rPr>
          <w:t>https://www.uskvbl.cz</w:t>
        </w:r>
      </w:hyperlink>
      <w:r w:rsidRPr="00703002">
        <w:rPr>
          <w:szCs w:val="22"/>
        </w:rPr>
        <w:t>).</w:t>
      </w:r>
    </w:p>
    <w:sectPr w:rsidR="009105E2" w:rsidRPr="000E189C" w:rsidSect="00116E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B1E28" w14:textId="77777777" w:rsidR="004628BC" w:rsidRDefault="004628BC" w:rsidP="003A6E40">
      <w:pPr>
        <w:spacing w:line="240" w:lineRule="auto"/>
      </w:pPr>
      <w:r>
        <w:separator/>
      </w:r>
    </w:p>
  </w:endnote>
  <w:endnote w:type="continuationSeparator" w:id="0">
    <w:p w14:paraId="41E4DD2E" w14:textId="77777777" w:rsidR="004628BC" w:rsidRDefault="004628BC" w:rsidP="003A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3EE86" w14:textId="77777777" w:rsidR="004628BC" w:rsidRDefault="004628BC" w:rsidP="003A6E40">
      <w:pPr>
        <w:spacing w:line="240" w:lineRule="auto"/>
      </w:pPr>
      <w:r>
        <w:separator/>
      </w:r>
    </w:p>
  </w:footnote>
  <w:footnote w:type="continuationSeparator" w:id="0">
    <w:p w14:paraId="1F998636" w14:textId="77777777" w:rsidR="004628BC" w:rsidRDefault="004628BC" w:rsidP="003A6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FE18" w14:textId="754BF8B8" w:rsidR="00324978" w:rsidRPr="00586AEA" w:rsidRDefault="00324978">
    <w:pPr>
      <w:pStyle w:val="Zhlav"/>
      <w:rPr>
        <w:strike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33"/>
    <w:rsid w:val="00005A54"/>
    <w:rsid w:val="00014E63"/>
    <w:rsid w:val="000A298E"/>
    <w:rsid w:val="000E189C"/>
    <w:rsid w:val="000E1DD7"/>
    <w:rsid w:val="000F364C"/>
    <w:rsid w:val="00116E1E"/>
    <w:rsid w:val="00154A4B"/>
    <w:rsid w:val="00174AF8"/>
    <w:rsid w:val="00213FDE"/>
    <w:rsid w:val="00227586"/>
    <w:rsid w:val="00290B93"/>
    <w:rsid w:val="0031669C"/>
    <w:rsid w:val="00324978"/>
    <w:rsid w:val="003456BB"/>
    <w:rsid w:val="00347A30"/>
    <w:rsid w:val="00360BD6"/>
    <w:rsid w:val="003903A0"/>
    <w:rsid w:val="003A6E40"/>
    <w:rsid w:val="003C666F"/>
    <w:rsid w:val="003E77DC"/>
    <w:rsid w:val="00415D61"/>
    <w:rsid w:val="00415F59"/>
    <w:rsid w:val="00422B88"/>
    <w:rsid w:val="004330AA"/>
    <w:rsid w:val="00450A08"/>
    <w:rsid w:val="004628BC"/>
    <w:rsid w:val="004652AE"/>
    <w:rsid w:val="00476BD6"/>
    <w:rsid w:val="004A6695"/>
    <w:rsid w:val="004C36B8"/>
    <w:rsid w:val="004E1B5A"/>
    <w:rsid w:val="004E3233"/>
    <w:rsid w:val="004E4652"/>
    <w:rsid w:val="00525BDA"/>
    <w:rsid w:val="0057660D"/>
    <w:rsid w:val="00586AEA"/>
    <w:rsid w:val="005D7953"/>
    <w:rsid w:val="005E6988"/>
    <w:rsid w:val="005F0739"/>
    <w:rsid w:val="005F4D09"/>
    <w:rsid w:val="006158B2"/>
    <w:rsid w:val="006465E8"/>
    <w:rsid w:val="00670EA3"/>
    <w:rsid w:val="006B13E7"/>
    <w:rsid w:val="006D1363"/>
    <w:rsid w:val="007104F3"/>
    <w:rsid w:val="0071643E"/>
    <w:rsid w:val="007238BC"/>
    <w:rsid w:val="00726F9E"/>
    <w:rsid w:val="00756FA8"/>
    <w:rsid w:val="00763C06"/>
    <w:rsid w:val="007749E3"/>
    <w:rsid w:val="00776309"/>
    <w:rsid w:val="007F0133"/>
    <w:rsid w:val="00821DED"/>
    <w:rsid w:val="0082740D"/>
    <w:rsid w:val="0086151F"/>
    <w:rsid w:val="008656CC"/>
    <w:rsid w:val="00880318"/>
    <w:rsid w:val="008C1B0E"/>
    <w:rsid w:val="009105E2"/>
    <w:rsid w:val="009326FC"/>
    <w:rsid w:val="00941EB1"/>
    <w:rsid w:val="00960E32"/>
    <w:rsid w:val="009B2BD7"/>
    <w:rsid w:val="009F3979"/>
    <w:rsid w:val="00A01EBC"/>
    <w:rsid w:val="00A042F9"/>
    <w:rsid w:val="00A10CE3"/>
    <w:rsid w:val="00AA7C48"/>
    <w:rsid w:val="00AE10EE"/>
    <w:rsid w:val="00AE2CD5"/>
    <w:rsid w:val="00B34114"/>
    <w:rsid w:val="00B430F4"/>
    <w:rsid w:val="00B45FE2"/>
    <w:rsid w:val="00B70211"/>
    <w:rsid w:val="00B73289"/>
    <w:rsid w:val="00BC1DD1"/>
    <w:rsid w:val="00BC7A03"/>
    <w:rsid w:val="00BF00C7"/>
    <w:rsid w:val="00C350E2"/>
    <w:rsid w:val="00D04C35"/>
    <w:rsid w:val="00D630D1"/>
    <w:rsid w:val="00D95E37"/>
    <w:rsid w:val="00E07E73"/>
    <w:rsid w:val="00E1080A"/>
    <w:rsid w:val="00E25C95"/>
    <w:rsid w:val="00E407CB"/>
    <w:rsid w:val="00E47AA0"/>
    <w:rsid w:val="00ED0E64"/>
    <w:rsid w:val="00EE28BE"/>
    <w:rsid w:val="00F017E6"/>
    <w:rsid w:val="00F15AF8"/>
    <w:rsid w:val="00F42416"/>
    <w:rsid w:val="00F43B8D"/>
    <w:rsid w:val="00F57FE1"/>
    <w:rsid w:val="00F60ACA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119B2"/>
  <w15:chartTrackingRefBased/>
  <w15:docId w15:val="{489DFCCB-A77C-415E-89D1-E1CED00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133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F013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rsid w:val="007F0133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0133"/>
    <w:rPr>
      <w:rFonts w:eastAsia="Times New Roman"/>
      <w:b/>
      <w:kern w:val="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A6E40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E40"/>
    <w:rPr>
      <w:rFonts w:eastAsia="Times New Roman"/>
      <w:kern w:val="0"/>
      <w:szCs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A6E40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E40"/>
    <w:rPr>
      <w:rFonts w:eastAsia="Times New Roman"/>
      <w:kern w:val="0"/>
      <w:szCs w:val="20"/>
      <w14:ligatures w14:val="none"/>
    </w:rPr>
  </w:style>
  <w:style w:type="paragraph" w:styleId="Revize">
    <w:name w:val="Revision"/>
    <w:hidden/>
    <w:uiPriority w:val="99"/>
    <w:semiHidden/>
    <w:rsid w:val="003A6E40"/>
    <w:rPr>
      <w:rFonts w:eastAsia="Times New Roman"/>
      <w:kern w:val="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D09"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C7A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A0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A03"/>
    <w:rPr>
      <w:rFonts w:eastAsia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A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A03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1635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48</cp:revision>
  <cp:lastPrinted>2023-12-15T10:05:00Z</cp:lastPrinted>
  <dcterms:created xsi:type="dcterms:W3CDTF">2023-08-22T13:52:00Z</dcterms:created>
  <dcterms:modified xsi:type="dcterms:W3CDTF">2023-12-15T10:05:00Z</dcterms:modified>
</cp:coreProperties>
</file>