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8B42E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4EE53056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497C3519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3D0DE277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8B5B5A9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4E070AB5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7F329452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271146F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729CFE6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7A1981C5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3F944CE4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37569714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0FEEA25A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0D70021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632CDCFC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4B269812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22A4D34A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284A952D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049AA46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351631D9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2F831352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2890130" w14:textId="77777777" w:rsidR="00ED367A" w:rsidRDefault="007A303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PŘÍLOHA I</w:t>
      </w:r>
    </w:p>
    <w:p w14:paraId="6CFF6474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1CBDA410" w14:textId="77777777" w:rsidR="00ED367A" w:rsidRDefault="007A303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SOUHRN ÚDAJŮ O PŘÍPRAVKU</w:t>
      </w:r>
    </w:p>
    <w:p w14:paraId="324BBF46" w14:textId="77777777" w:rsidR="00ED367A" w:rsidRDefault="007A303B">
      <w:pPr>
        <w:pStyle w:val="Style1"/>
      </w:pPr>
      <w:r>
        <w:br w:type="page"/>
      </w:r>
      <w:r>
        <w:lastRenderedPageBreak/>
        <w:t>1.</w:t>
      </w:r>
      <w:r>
        <w:tab/>
        <w:t>NÁZEV VETERINÁRNÍHO LÉČIVÉHO PŘÍPRAVKU</w:t>
      </w:r>
    </w:p>
    <w:p w14:paraId="1EF5A285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06883BC" w14:textId="77777777" w:rsidR="00ED367A" w:rsidRDefault="007A303B">
      <w:pPr>
        <w:rPr>
          <w:szCs w:val="22"/>
        </w:rPr>
      </w:pPr>
      <w:r>
        <w:rPr>
          <w:szCs w:val="22"/>
        </w:rPr>
        <w:t>Alzane 5 mg/ml injekční roztok pro psy a kočky</w:t>
      </w:r>
    </w:p>
    <w:p w14:paraId="54929EB5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17DF76AC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72D8740E" w14:textId="77777777" w:rsidR="00ED367A" w:rsidRDefault="007A303B">
      <w:pPr>
        <w:pStyle w:val="Style1"/>
      </w:pPr>
      <w:r>
        <w:t>2.</w:t>
      </w:r>
      <w:r>
        <w:tab/>
        <w:t>KVALITATIVNÍ A KVANTITATIVNÍ SLOŽENÍ</w:t>
      </w:r>
    </w:p>
    <w:p w14:paraId="74E9398A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32515819" w14:textId="04599D96" w:rsidR="00ED367A" w:rsidRDefault="00E11FAB">
      <w:pPr>
        <w:rPr>
          <w:szCs w:val="22"/>
        </w:rPr>
      </w:pPr>
      <w:r>
        <w:rPr>
          <w:szCs w:val="22"/>
        </w:rPr>
        <w:t>Každý</w:t>
      </w:r>
      <w:r w:rsidR="007A303B">
        <w:rPr>
          <w:szCs w:val="22"/>
        </w:rPr>
        <w:t xml:space="preserve"> ml obsahuje:</w:t>
      </w:r>
    </w:p>
    <w:p w14:paraId="75AD7F63" w14:textId="77777777" w:rsidR="00ED367A" w:rsidRDefault="00ED367A">
      <w:pPr>
        <w:pStyle w:val="Zhlav"/>
        <w:rPr>
          <w:rFonts w:ascii="Times New Roman" w:hAnsi="Times New Roman"/>
          <w:sz w:val="22"/>
          <w:szCs w:val="22"/>
          <w:u w:val="single"/>
        </w:rPr>
      </w:pPr>
    </w:p>
    <w:p w14:paraId="1BFCDDAC" w14:textId="77777777" w:rsidR="00ED367A" w:rsidRDefault="007A303B">
      <w:pPr>
        <w:pStyle w:val="Zhlav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Léčivá látka:</w:t>
      </w:r>
    </w:p>
    <w:p w14:paraId="4ED0C7C1" w14:textId="77777777" w:rsidR="00ED367A" w:rsidRDefault="007A303B">
      <w:pPr>
        <w:pStyle w:val="Textvysvtlivek"/>
        <w:tabs>
          <w:tab w:val="left" w:pos="1701"/>
        </w:tabs>
        <w:rPr>
          <w:szCs w:val="22"/>
        </w:rPr>
      </w:pPr>
      <w:r>
        <w:rPr>
          <w:szCs w:val="22"/>
        </w:rPr>
        <w:t>Atipamezoli hydrochloridum 5,0 mg</w:t>
      </w:r>
    </w:p>
    <w:p w14:paraId="3A8C20C3" w14:textId="77777777" w:rsidR="00ED367A" w:rsidRDefault="007A303B">
      <w:pPr>
        <w:pStyle w:val="Textvysvtlivek"/>
        <w:tabs>
          <w:tab w:val="left" w:pos="1701"/>
        </w:tabs>
        <w:rPr>
          <w:szCs w:val="22"/>
        </w:rPr>
      </w:pPr>
      <w:r>
        <w:rPr>
          <w:szCs w:val="22"/>
        </w:rPr>
        <w:t xml:space="preserve">(odpovídá Atipamezolum 4,27 mg) </w:t>
      </w:r>
    </w:p>
    <w:p w14:paraId="2CD1B707" w14:textId="77777777" w:rsidR="00ED367A" w:rsidRDefault="00ED367A">
      <w:pPr>
        <w:pStyle w:val="Zhlav"/>
        <w:rPr>
          <w:rFonts w:ascii="Times New Roman" w:hAnsi="Times New Roman"/>
          <w:sz w:val="22"/>
          <w:szCs w:val="22"/>
          <w:u w:val="single"/>
        </w:rPr>
      </w:pPr>
    </w:p>
    <w:p w14:paraId="04674763" w14:textId="77777777" w:rsidR="00ED367A" w:rsidRDefault="007A303B">
      <w:pPr>
        <w:pStyle w:val="Zhlav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Pomocné látky:</w:t>
      </w:r>
    </w:p>
    <w:p w14:paraId="092A4B27" w14:textId="77777777" w:rsidR="00ED367A" w:rsidRDefault="00ED367A">
      <w:pPr>
        <w:tabs>
          <w:tab w:val="left" w:pos="5245"/>
          <w:tab w:val="left" w:pos="5670"/>
        </w:tabs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  <w:gridCol w:w="4532"/>
      </w:tblGrid>
      <w:tr w:rsidR="00ED367A" w14:paraId="622550AA" w14:textId="77777777">
        <w:tc>
          <w:tcPr>
            <w:tcW w:w="4529" w:type="dxa"/>
            <w:shd w:val="clear" w:color="auto" w:fill="auto"/>
            <w:vAlign w:val="center"/>
          </w:tcPr>
          <w:p w14:paraId="3691D4C3" w14:textId="77777777" w:rsidR="00ED367A" w:rsidRDefault="007A303B">
            <w:pPr>
              <w:spacing w:before="60" w:after="60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39BFC28" w14:textId="77777777" w:rsidR="00ED367A" w:rsidRDefault="007A303B">
            <w:pPr>
              <w:spacing w:before="60" w:after="60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D367A" w14:paraId="42390421" w14:textId="77777777">
        <w:tc>
          <w:tcPr>
            <w:tcW w:w="4529" w:type="dxa"/>
            <w:shd w:val="clear" w:color="auto" w:fill="auto"/>
            <w:vAlign w:val="center"/>
          </w:tcPr>
          <w:p w14:paraId="4C946432" w14:textId="77777777" w:rsidR="00ED367A" w:rsidRDefault="007A303B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Methylparaben (E218)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73D4B537" w14:textId="77777777" w:rsidR="00ED367A" w:rsidRDefault="007A303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1,0 mg</w:t>
            </w:r>
          </w:p>
        </w:tc>
      </w:tr>
      <w:tr w:rsidR="00ED367A" w14:paraId="785706CA" w14:textId="77777777">
        <w:tc>
          <w:tcPr>
            <w:tcW w:w="4529" w:type="dxa"/>
            <w:shd w:val="clear" w:color="auto" w:fill="auto"/>
            <w:vAlign w:val="center"/>
          </w:tcPr>
          <w:p w14:paraId="2060374A" w14:textId="77777777" w:rsidR="00ED367A" w:rsidRDefault="007A303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Chlorid sodný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635C86F" w14:textId="77777777" w:rsidR="00ED367A" w:rsidRDefault="00ED367A">
            <w:pPr>
              <w:spacing w:before="60" w:after="60"/>
              <w:rPr>
                <w:iCs/>
                <w:szCs w:val="22"/>
              </w:rPr>
            </w:pPr>
          </w:p>
        </w:tc>
      </w:tr>
      <w:tr w:rsidR="00ED367A" w14:paraId="7DEAB0AD" w14:textId="77777777">
        <w:tc>
          <w:tcPr>
            <w:tcW w:w="4529" w:type="dxa"/>
            <w:shd w:val="clear" w:color="auto" w:fill="auto"/>
            <w:vAlign w:val="center"/>
          </w:tcPr>
          <w:p w14:paraId="3DAC63A0" w14:textId="7CFF27FB" w:rsidR="00ED367A" w:rsidRDefault="007A303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Voda </w:t>
            </w:r>
            <w:r w:rsidR="00E11FAB">
              <w:rPr>
                <w:iCs/>
                <w:szCs w:val="22"/>
              </w:rPr>
              <w:t>pro</w:t>
            </w:r>
            <w:r>
              <w:rPr>
                <w:iCs/>
                <w:szCs w:val="22"/>
              </w:rPr>
              <w:t xml:space="preserve"> injekci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976CEDD" w14:textId="77777777" w:rsidR="00ED367A" w:rsidRDefault="00ED367A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2F88C620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11080269" w14:textId="77777777" w:rsidR="00ED367A" w:rsidRDefault="00ED367A">
      <w:pPr>
        <w:rPr>
          <w:szCs w:val="22"/>
        </w:rPr>
      </w:pPr>
      <w:bookmarkStart w:id="0" w:name="OLE_LINK1"/>
    </w:p>
    <w:p w14:paraId="7B5140B2" w14:textId="04EA25A3" w:rsidR="00ED367A" w:rsidRDefault="007A303B">
      <w:pPr>
        <w:rPr>
          <w:szCs w:val="22"/>
        </w:rPr>
      </w:pPr>
      <w:r>
        <w:rPr>
          <w:szCs w:val="22"/>
        </w:rPr>
        <w:t xml:space="preserve">Čirý a bezbarvý vodný roztok. </w:t>
      </w:r>
    </w:p>
    <w:p w14:paraId="772BE299" w14:textId="77777777" w:rsidR="00ED367A" w:rsidRDefault="00ED367A">
      <w:pPr>
        <w:rPr>
          <w:szCs w:val="22"/>
        </w:rPr>
      </w:pPr>
    </w:p>
    <w:bookmarkEnd w:id="0"/>
    <w:p w14:paraId="69A10430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612A81F9" w14:textId="77777777" w:rsidR="00ED367A" w:rsidRDefault="007A303B">
      <w:pPr>
        <w:pStyle w:val="Style1"/>
      </w:pPr>
      <w:r>
        <w:t>3.</w:t>
      </w:r>
      <w:r>
        <w:tab/>
        <w:t>KLINICKÉ INFORMACE</w:t>
      </w:r>
    </w:p>
    <w:p w14:paraId="36C913CF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B09CAAF" w14:textId="77777777" w:rsidR="00ED367A" w:rsidRDefault="007A303B">
      <w:pPr>
        <w:pStyle w:val="Style1"/>
      </w:pPr>
      <w:r>
        <w:t>3.1</w:t>
      </w:r>
      <w:r>
        <w:tab/>
        <w:t>Cílové druhy zvířat</w:t>
      </w:r>
    </w:p>
    <w:p w14:paraId="21B1774A" w14:textId="77777777" w:rsidR="00ED367A" w:rsidRDefault="00ED367A">
      <w:pPr>
        <w:rPr>
          <w:szCs w:val="22"/>
        </w:rPr>
      </w:pPr>
    </w:p>
    <w:p w14:paraId="303A11F3" w14:textId="77777777" w:rsidR="00ED367A" w:rsidRDefault="007A303B">
      <w:pPr>
        <w:rPr>
          <w:b/>
          <w:bCs/>
          <w:szCs w:val="22"/>
        </w:rPr>
      </w:pPr>
      <w:r>
        <w:rPr>
          <w:szCs w:val="22"/>
        </w:rPr>
        <w:t>Psi, kočky.</w:t>
      </w:r>
    </w:p>
    <w:p w14:paraId="3ECF565E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33312BBE" w14:textId="77777777" w:rsidR="00ED367A" w:rsidRDefault="007A303B">
      <w:pPr>
        <w:pStyle w:val="Style1"/>
      </w:pPr>
      <w:r>
        <w:t>3.2</w:t>
      </w:r>
      <w:r>
        <w:tab/>
        <w:t>Indikace pro použití pro každý cílový druh zvířat</w:t>
      </w:r>
    </w:p>
    <w:p w14:paraId="0067D877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2AE808CD" w14:textId="77777777" w:rsidR="00ED367A" w:rsidRDefault="007A303B">
      <w:pPr>
        <w:tabs>
          <w:tab w:val="left" w:pos="4536"/>
          <w:tab w:val="left" w:pos="5103"/>
        </w:tabs>
        <w:rPr>
          <w:szCs w:val="22"/>
        </w:rPr>
      </w:pPr>
      <w:r>
        <w:rPr>
          <w:szCs w:val="22"/>
        </w:rPr>
        <w:t>Atipamezol hydrochlorid je selektivní α2-antagonista indikovaný ke zrušení sedativních účinků medetomidinu nebo dexmedetomidinu u psů a koček.</w:t>
      </w:r>
    </w:p>
    <w:p w14:paraId="22A66376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64427690" w14:textId="77777777" w:rsidR="00ED367A" w:rsidRDefault="007A303B">
      <w:pPr>
        <w:pStyle w:val="Style1"/>
      </w:pPr>
      <w:r>
        <w:t>3.3</w:t>
      </w:r>
      <w:r>
        <w:tab/>
        <w:t>Kontraindikace</w:t>
      </w:r>
    </w:p>
    <w:p w14:paraId="64CB6434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6B90EA26" w14:textId="7D63A4F0" w:rsidR="00FE4B9C" w:rsidRDefault="00FE4B9C" w:rsidP="00FE4B9C">
      <w:pPr>
        <w:rPr>
          <w:szCs w:val="22"/>
          <w:lang w:eastAsia="nl-NL"/>
        </w:rPr>
      </w:pPr>
      <w:r>
        <w:rPr>
          <w:szCs w:val="22"/>
        </w:rPr>
        <w:t>Nepoužívat v případech přecitlivělost</w:t>
      </w:r>
      <w:r w:rsidR="006952BA">
        <w:rPr>
          <w:szCs w:val="22"/>
        </w:rPr>
        <w:t>i</w:t>
      </w:r>
      <w:r>
        <w:rPr>
          <w:szCs w:val="22"/>
        </w:rPr>
        <w:t xml:space="preserve"> na léčivou látku nebo na některou z pomocných látek.</w:t>
      </w:r>
    </w:p>
    <w:p w14:paraId="6B0FE965" w14:textId="7C0321E1" w:rsidR="00ED367A" w:rsidRDefault="007A303B">
      <w:pPr>
        <w:tabs>
          <w:tab w:val="clear" w:pos="567"/>
        </w:tabs>
        <w:spacing w:line="240" w:lineRule="auto"/>
      </w:pPr>
      <w:r>
        <w:t xml:space="preserve">Nepoužívat u chovných zvířat nebo u zvířat </w:t>
      </w:r>
      <w:bookmarkStart w:id="1" w:name="_Hlk199940755"/>
      <w:r w:rsidR="006952BA">
        <w:t xml:space="preserve">s </w:t>
      </w:r>
      <w:r>
        <w:t xml:space="preserve">jaterním, ledvinovým nebo srdečním </w:t>
      </w:r>
      <w:r w:rsidR="006952BA">
        <w:t>onemocněním</w:t>
      </w:r>
      <w:r>
        <w:t xml:space="preserve">. </w:t>
      </w:r>
    </w:p>
    <w:bookmarkEnd w:id="1"/>
    <w:p w14:paraId="59624759" w14:textId="45E70191" w:rsidR="00FE4B9C" w:rsidRDefault="00FE4B9C" w:rsidP="00FE4B9C">
      <w:pPr>
        <w:rPr>
          <w:b/>
          <w:bCs/>
          <w:szCs w:val="22"/>
          <w:lang w:eastAsia="nl-NL"/>
        </w:rPr>
      </w:pPr>
      <w:r>
        <w:rPr>
          <w:szCs w:val="22"/>
        </w:rPr>
        <w:t>Viz též bod 3.7</w:t>
      </w:r>
    </w:p>
    <w:p w14:paraId="45FF390F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6B3CDDF2" w14:textId="77777777" w:rsidR="00ED367A" w:rsidRDefault="007A303B">
      <w:pPr>
        <w:pStyle w:val="Style1"/>
      </w:pPr>
      <w:r>
        <w:t>3.4</w:t>
      </w:r>
      <w:r>
        <w:tab/>
        <w:t>Zvláštní upozornění</w:t>
      </w:r>
    </w:p>
    <w:p w14:paraId="191B8387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4F919A33" w14:textId="77777777" w:rsidR="00ED367A" w:rsidRDefault="007A303B">
      <w:pPr>
        <w:tabs>
          <w:tab w:val="clear" w:pos="567"/>
        </w:tabs>
        <w:spacing w:line="240" w:lineRule="auto"/>
        <w:rPr>
          <w:szCs w:val="22"/>
        </w:rPr>
      </w:pPr>
      <w:r>
        <w:t>Nejsou</w:t>
      </w:r>
    </w:p>
    <w:p w14:paraId="1FD56D4C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9CEBD1F" w14:textId="77777777" w:rsidR="00ED367A" w:rsidRDefault="007A303B">
      <w:pPr>
        <w:pStyle w:val="Style1"/>
      </w:pPr>
      <w:r>
        <w:t>3.5</w:t>
      </w:r>
      <w:r>
        <w:tab/>
        <w:t>Zvláštní opatření pro použití</w:t>
      </w:r>
    </w:p>
    <w:p w14:paraId="6B3A3729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33630520" w14:textId="77777777" w:rsidR="00ED367A" w:rsidRDefault="007A303B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 opatření pro bezpečné použití u cílových druhů zvířat:</w:t>
      </w:r>
    </w:p>
    <w:p w14:paraId="78C85F62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3A002CBC" w14:textId="22242B30" w:rsidR="00ED367A" w:rsidRDefault="007A303B">
      <w:pPr>
        <w:tabs>
          <w:tab w:val="clear" w:pos="567"/>
        </w:tabs>
        <w:spacing w:line="240" w:lineRule="auto"/>
      </w:pPr>
      <w:r>
        <w:t xml:space="preserve">Zvířata by měla být po aplikaci </w:t>
      </w:r>
      <w:r w:rsidR="00FE4B9C">
        <w:t xml:space="preserve">veterinárního léčivého </w:t>
      </w:r>
      <w:r>
        <w:t>přípravku umístěna na klidném místě. Během zotavování nesmí být zvířata ponechána bez dozoru.</w:t>
      </w:r>
    </w:p>
    <w:p w14:paraId="33C10522" w14:textId="77777777" w:rsidR="00ED367A" w:rsidRDefault="00ED367A">
      <w:pPr>
        <w:tabs>
          <w:tab w:val="clear" w:pos="567"/>
        </w:tabs>
        <w:spacing w:line="240" w:lineRule="auto"/>
      </w:pPr>
    </w:p>
    <w:p w14:paraId="0EEEC538" w14:textId="77777777" w:rsidR="00ED367A" w:rsidRDefault="007A303B">
      <w:pPr>
        <w:tabs>
          <w:tab w:val="clear" w:pos="567"/>
        </w:tabs>
        <w:spacing w:line="240" w:lineRule="auto"/>
      </w:pPr>
      <w:r>
        <w:lastRenderedPageBreak/>
        <w:t>Ujistěte se, že se u zvířat obnovil běžný polykací reflex před tím, než jim nabídnete tekutiny nebo potravu.</w:t>
      </w:r>
    </w:p>
    <w:p w14:paraId="79109CFA" w14:textId="77777777" w:rsidR="00ED367A" w:rsidRDefault="00ED367A">
      <w:pPr>
        <w:tabs>
          <w:tab w:val="clear" w:pos="567"/>
        </w:tabs>
        <w:spacing w:line="240" w:lineRule="auto"/>
      </w:pPr>
    </w:p>
    <w:p w14:paraId="0D632666" w14:textId="5BC27E72" w:rsidR="00ED367A" w:rsidRDefault="007A303B">
      <w:pPr>
        <w:tabs>
          <w:tab w:val="clear" w:pos="567"/>
        </w:tabs>
        <w:spacing w:line="240" w:lineRule="auto"/>
      </w:pPr>
      <w:r>
        <w:t>Použití veterinárního léčivého přípravku u zvířat jiných než označených</w:t>
      </w:r>
      <w:r w:rsidR="00D245B3">
        <w:t>,</w:t>
      </w:r>
      <w:r>
        <w:t xml:space="preserve"> jako cílové druhy zvířat by mělo být obezřetné kvůli rozdílným doporučením</w:t>
      </w:r>
      <w:r w:rsidR="006952BA">
        <w:t xml:space="preserve"> pro dávkování</w:t>
      </w:r>
      <w:r>
        <w:t>.</w:t>
      </w:r>
    </w:p>
    <w:p w14:paraId="2FC4C908" w14:textId="77777777" w:rsidR="00ED367A" w:rsidRDefault="007A303B">
      <w:pPr>
        <w:tabs>
          <w:tab w:val="clear" w:pos="567"/>
        </w:tabs>
        <w:spacing w:line="240" w:lineRule="auto"/>
      </w:pPr>
      <w:r>
        <w:t>Pokud jsou podána i jiná sedativa než medetomidin nebo dexmedetomidin, je nutno vzít v úvahu, že účinek těchto látek může přetrvat po vymizení účinku α2-agonisty.</w:t>
      </w:r>
    </w:p>
    <w:p w14:paraId="2B6117AB" w14:textId="77777777" w:rsidR="00ED367A" w:rsidRDefault="007A303B">
      <w:pPr>
        <w:tabs>
          <w:tab w:val="clear" w:pos="567"/>
        </w:tabs>
        <w:spacing w:line="240" w:lineRule="auto"/>
      </w:pPr>
      <w:r>
        <w:t>Atipamezol neruší účinek ketaminu, což může způsobit záchvaty u psů a křeče u koček, pokud je použit samostatně. Nepodávejte atipamezol, pokud byl v předcho</w:t>
      </w:r>
      <w:bookmarkStart w:id="2" w:name="_GoBack"/>
      <w:bookmarkEnd w:id="2"/>
      <w:r>
        <w:t>zích 30-40 minutách podán ketamin.</w:t>
      </w:r>
    </w:p>
    <w:p w14:paraId="46D5B3D7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0F612C34" w14:textId="77777777" w:rsidR="00ED367A" w:rsidRDefault="007A303B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 opatření pro osobu, která podává veterinární léčivý přípravek zvířatům:</w:t>
      </w:r>
    </w:p>
    <w:p w14:paraId="1DE98C5A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23BA1AC9" w14:textId="66385D35" w:rsidR="00ED367A" w:rsidRDefault="007A303B">
      <w:pPr>
        <w:tabs>
          <w:tab w:val="clear" w:pos="567"/>
        </w:tabs>
        <w:spacing w:line="240" w:lineRule="auto"/>
      </w:pPr>
      <w:r>
        <w:t xml:space="preserve">Vzhledem k </w:t>
      </w:r>
      <w:r w:rsidR="00BB6621">
        <w:t>silné</w:t>
      </w:r>
      <w:r>
        <w:t xml:space="preserve"> farmakologické aktivitě </w:t>
      </w:r>
      <w:proofErr w:type="spellStart"/>
      <w:r>
        <w:t>atipamezolu</w:t>
      </w:r>
      <w:proofErr w:type="spellEnd"/>
      <w:r>
        <w:t xml:space="preserve"> zabraňte kontaktu veterinárního léčivého přípravku s pokožkou, očima a sliznicemi. V případě náhodného kontaktu veterinárního léčivého přípravku s kůží nebo očima opláchněte zasažené místo velkým množstvím </w:t>
      </w:r>
      <w:r w:rsidR="00BB6621">
        <w:t xml:space="preserve">čisté </w:t>
      </w:r>
      <w:r>
        <w:t xml:space="preserve">vody. Odstraňte kontaminovaný oděv, který je v přímém kontaktu s pokožkou. </w:t>
      </w:r>
      <w:r>
        <w:t xml:space="preserve">Pokud podráždění přetrvává, vyhledejte lékařskou pomoc. </w:t>
      </w:r>
    </w:p>
    <w:p w14:paraId="2E5B401A" w14:textId="471255EF" w:rsidR="00ED367A" w:rsidRDefault="00BB6621">
      <w:pPr>
        <w:tabs>
          <w:tab w:val="clear" w:pos="567"/>
        </w:tabs>
        <w:spacing w:line="240" w:lineRule="auto"/>
      </w:pPr>
      <w:r>
        <w:t>Zabraňte</w:t>
      </w:r>
      <w:r w:rsidR="007A303B">
        <w:t xml:space="preserve"> náhodnému požití přípravku nebo </w:t>
      </w:r>
      <w:proofErr w:type="spellStart"/>
      <w:r w:rsidR="007A303B">
        <w:t>samopodání</w:t>
      </w:r>
      <w:proofErr w:type="spellEnd"/>
      <w:r w:rsidR="007A303B">
        <w:t xml:space="preserve"> injekce. V případě náhodného požití nebo </w:t>
      </w:r>
      <w:proofErr w:type="spellStart"/>
      <w:r w:rsidR="007A303B">
        <w:t>samopodání</w:t>
      </w:r>
      <w:proofErr w:type="spellEnd"/>
      <w:r w:rsidR="007A303B">
        <w:t xml:space="preserve"> přípravku vyhledejte ihned lékařskou pomoc a ukažte příbalovou informaci nebo etiketu praktickému lékaři. Neřiďte motorové vozidlo. Pacient nesmí zůstat bez dozoru.</w:t>
      </w:r>
    </w:p>
    <w:p w14:paraId="7DB6EFFF" w14:textId="77777777" w:rsidR="00ED367A" w:rsidRDefault="00ED367A">
      <w:pPr>
        <w:tabs>
          <w:tab w:val="clear" w:pos="567"/>
        </w:tabs>
        <w:spacing w:line="240" w:lineRule="auto"/>
      </w:pPr>
    </w:p>
    <w:p w14:paraId="6E21FF92" w14:textId="77777777" w:rsidR="00ED367A" w:rsidRDefault="007A303B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 opatření pro ochranu životního prostředí:</w:t>
      </w:r>
    </w:p>
    <w:p w14:paraId="295680A6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7692167A" w14:textId="77777777" w:rsidR="00ED367A" w:rsidRDefault="007A303B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5D752CAC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733FA11E" w14:textId="77777777" w:rsidR="00ED367A" w:rsidRDefault="007A303B">
      <w:pPr>
        <w:pStyle w:val="Style1"/>
      </w:pPr>
      <w:r>
        <w:t>3.6</w:t>
      </w:r>
      <w:r>
        <w:tab/>
        <w:t>Nežádoucí účinky</w:t>
      </w:r>
    </w:p>
    <w:p w14:paraId="6B14E58C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1BB70A32" w14:textId="77777777" w:rsidR="00ED367A" w:rsidRDefault="007A303B">
      <w:pPr>
        <w:tabs>
          <w:tab w:val="clear" w:pos="567"/>
        </w:tabs>
        <w:spacing w:line="240" w:lineRule="auto"/>
      </w:pPr>
      <w:r>
        <w:t>Kočky:</w:t>
      </w:r>
    </w:p>
    <w:p w14:paraId="580EEE03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E4B9C" w14:paraId="204A332D" w14:textId="77777777" w:rsidTr="00FE4B9C">
        <w:tc>
          <w:tcPr>
            <w:tcW w:w="1957" w:type="pct"/>
          </w:tcPr>
          <w:p w14:paraId="4FCDDEBA" w14:textId="79408164" w:rsidR="00FE4B9C" w:rsidRDefault="00FE4B9C" w:rsidP="00FE4B9C">
            <w:pPr>
              <w:spacing w:line="240" w:lineRule="auto"/>
            </w:pPr>
            <w:r>
              <w:t>Vzácné</w:t>
            </w:r>
          </w:p>
          <w:p w14:paraId="27E66628" w14:textId="076D3D2C" w:rsidR="00FE4B9C" w:rsidRDefault="00FE4B9C" w:rsidP="00FE4B9C">
            <w:pPr>
              <w:spacing w:line="240" w:lineRule="auto"/>
              <w:rPr>
                <w:szCs w:val="22"/>
              </w:rPr>
            </w:pPr>
            <w:r>
              <w:t>(1 až 10 zvířat / 10 000 ošetřených zvířat):</w:t>
            </w:r>
          </w:p>
        </w:tc>
        <w:tc>
          <w:tcPr>
            <w:tcW w:w="3043" w:type="pct"/>
          </w:tcPr>
          <w:p w14:paraId="4B62A87A" w14:textId="77777777" w:rsidR="00FE4B9C" w:rsidRDefault="00FE4B9C" w:rsidP="00FE4B9C">
            <w:pPr>
              <w:spacing w:line="240" w:lineRule="auto"/>
            </w:pPr>
            <w:r>
              <w:t>Hyperaktivita, atypické hlasité projevy</w:t>
            </w:r>
          </w:p>
          <w:p w14:paraId="22E6383F" w14:textId="77777777" w:rsidR="00FE4B9C" w:rsidRDefault="00FE4B9C" w:rsidP="00FE4B9C">
            <w:pPr>
              <w:spacing w:line="240" w:lineRule="auto"/>
            </w:pPr>
            <w:r>
              <w:t>Tachykardie</w:t>
            </w:r>
          </w:p>
          <w:p w14:paraId="7508A040" w14:textId="77777777" w:rsidR="00FE4B9C" w:rsidRDefault="00FE4B9C" w:rsidP="00FE4B9C">
            <w:pPr>
              <w:spacing w:line="240" w:lineRule="auto"/>
            </w:pPr>
            <w:r>
              <w:t>Slinění, zvracení, nekontrolovatelná defekace</w:t>
            </w:r>
          </w:p>
          <w:p w14:paraId="66F8AF82" w14:textId="77777777" w:rsidR="00FE4B9C" w:rsidRDefault="00FE4B9C" w:rsidP="00FE4B9C">
            <w:pPr>
              <w:spacing w:line="240" w:lineRule="auto"/>
            </w:pPr>
            <w:r>
              <w:t>Svalový třes</w:t>
            </w:r>
          </w:p>
          <w:p w14:paraId="6D71FC98" w14:textId="77777777" w:rsidR="00FE4B9C" w:rsidRDefault="00FE4B9C" w:rsidP="00FE4B9C">
            <w:pPr>
              <w:spacing w:line="240" w:lineRule="auto"/>
            </w:pPr>
            <w:r>
              <w:t>Zvýšená dechová frekvence</w:t>
            </w:r>
          </w:p>
          <w:p w14:paraId="41B03767" w14:textId="48F4426A" w:rsidR="00FE4B9C" w:rsidRDefault="00FE4B9C" w:rsidP="00FE4B9C">
            <w:pPr>
              <w:spacing w:line="240" w:lineRule="auto"/>
              <w:rPr>
                <w:iCs/>
                <w:szCs w:val="22"/>
              </w:rPr>
            </w:pPr>
            <w:r>
              <w:t>Nekontrolované močení</w:t>
            </w:r>
          </w:p>
        </w:tc>
      </w:tr>
      <w:tr w:rsidR="00FE4B9C" w14:paraId="4422226D" w14:textId="77777777">
        <w:tc>
          <w:tcPr>
            <w:tcW w:w="1957" w:type="pct"/>
          </w:tcPr>
          <w:p w14:paraId="599A0722" w14:textId="4249A0CD" w:rsidR="00FE4B9C" w:rsidRDefault="00FE4B9C" w:rsidP="00FE4B9C">
            <w:pPr>
              <w:spacing w:line="240" w:lineRule="auto"/>
            </w:pPr>
            <w:r>
              <w:t>Velmi vzácné</w:t>
            </w:r>
          </w:p>
          <w:p w14:paraId="05108FA0" w14:textId="46F4808C" w:rsidR="00FE4B9C" w:rsidRDefault="00FE4B9C" w:rsidP="00FE4B9C">
            <w:pPr>
              <w:spacing w:line="240" w:lineRule="auto"/>
              <w:rPr>
                <w:szCs w:val="22"/>
              </w:rPr>
            </w:pPr>
            <w:r>
              <w:t>(&lt;1 zvíře / 10 000 ošetřených zvířat, včetně ojedinělých hlášení):</w:t>
            </w:r>
          </w:p>
        </w:tc>
        <w:tc>
          <w:tcPr>
            <w:tcW w:w="3043" w:type="pct"/>
          </w:tcPr>
          <w:p w14:paraId="70DF557F" w14:textId="77777777" w:rsidR="00FE4B9C" w:rsidRDefault="00FE4B9C" w:rsidP="00FE4B9C">
            <w:pPr>
              <w:spacing w:line="240" w:lineRule="auto"/>
            </w:pPr>
            <w:r>
              <w:t>Hypotenze</w:t>
            </w:r>
            <w:r>
              <w:rPr>
                <w:vertAlign w:val="superscript"/>
              </w:rPr>
              <w:t>1</w:t>
            </w:r>
          </w:p>
          <w:p w14:paraId="42DFDF73" w14:textId="77777777" w:rsidR="00FE4B9C" w:rsidRDefault="00FE4B9C" w:rsidP="00FE4B9C">
            <w:pPr>
              <w:spacing w:line="240" w:lineRule="auto"/>
            </w:pPr>
            <w:r>
              <w:t>Prodloužená doba sedativních účinků, prodloužená doba zotavení</w:t>
            </w:r>
          </w:p>
          <w:p w14:paraId="1A582F7A" w14:textId="218C116D" w:rsidR="00FE4B9C" w:rsidRDefault="00FE4B9C" w:rsidP="00FE4B9C">
            <w:pPr>
              <w:spacing w:line="240" w:lineRule="auto"/>
              <w:rPr>
                <w:iCs/>
                <w:szCs w:val="22"/>
              </w:rPr>
            </w:pPr>
            <w:r>
              <w:t>Hypotermie</w:t>
            </w:r>
            <w:r>
              <w:rPr>
                <w:vertAlign w:val="superscript"/>
              </w:rPr>
              <w:t>2</w:t>
            </w:r>
          </w:p>
        </w:tc>
      </w:tr>
    </w:tbl>
    <w:p w14:paraId="66402E23" w14:textId="100BB66D" w:rsidR="00FE4B9C" w:rsidRDefault="00FE4B9C" w:rsidP="00FE4B9C">
      <w:pPr>
        <w:tabs>
          <w:tab w:val="clear" w:pos="567"/>
          <w:tab w:val="left" w:pos="993"/>
        </w:tabs>
        <w:ind w:left="567"/>
      </w:pPr>
      <w:bookmarkStart w:id="3" w:name="_Hlk66891708"/>
      <w:r>
        <w:t>(1)</w:t>
      </w:r>
      <w:r>
        <w:tab/>
        <w:t>Během prvních 10 minut po injekci</w:t>
      </w:r>
      <w:r w:rsidR="0058583F">
        <w:t>.</w:t>
      </w:r>
      <w:r>
        <w:br/>
        <w:t>(2)</w:t>
      </w:r>
      <w:r>
        <w:tab/>
        <w:t>Pokud je použita nízká dávka pro částečné zrušení účinku medetomidinu nebo dexmedetomidinu, je třeba mít na paměti možnost podchlazení (i po probuzení ze sedace)</w:t>
      </w:r>
      <w:r w:rsidR="0058583F">
        <w:t>.</w:t>
      </w:r>
    </w:p>
    <w:p w14:paraId="5BC32666" w14:textId="77777777" w:rsidR="00ED367A" w:rsidRDefault="00ED367A">
      <w:pPr>
        <w:rPr>
          <w:b/>
          <w:bCs/>
        </w:rPr>
      </w:pPr>
    </w:p>
    <w:p w14:paraId="68A4FAC8" w14:textId="77777777" w:rsidR="00ED367A" w:rsidRDefault="007A303B">
      <w:pPr>
        <w:keepNext/>
      </w:pPr>
      <w:r>
        <w:t>Psi:</w:t>
      </w:r>
    </w:p>
    <w:p w14:paraId="1C35C1CB" w14:textId="77777777" w:rsidR="00ED367A" w:rsidRDefault="00ED367A">
      <w:pPr>
        <w:keepNext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D367A" w14:paraId="4C1E98C2" w14:textId="77777777">
        <w:tc>
          <w:tcPr>
            <w:tcW w:w="1957" w:type="pct"/>
          </w:tcPr>
          <w:p w14:paraId="55585B3E" w14:textId="69005CB0" w:rsidR="00ED367A" w:rsidRDefault="007A303B">
            <w:pPr>
              <w:keepNext/>
              <w:spacing w:line="240" w:lineRule="auto"/>
            </w:pPr>
            <w:r>
              <w:t>Vzácné</w:t>
            </w:r>
          </w:p>
          <w:p w14:paraId="39B132D7" w14:textId="0577F60D" w:rsidR="00ED367A" w:rsidRDefault="007A303B">
            <w:pPr>
              <w:keepNext/>
              <w:spacing w:line="240" w:lineRule="auto"/>
              <w:rPr>
                <w:szCs w:val="22"/>
              </w:rPr>
            </w:pPr>
            <w:r>
              <w:t>(1 až 10 zvířat / 10 000 ošetřených zvířat):</w:t>
            </w:r>
          </w:p>
        </w:tc>
        <w:tc>
          <w:tcPr>
            <w:tcW w:w="3043" w:type="pct"/>
            <w:hideMark/>
          </w:tcPr>
          <w:p w14:paraId="7C3B9C5E" w14:textId="77777777" w:rsidR="00FE4B9C" w:rsidRDefault="00FE4B9C" w:rsidP="00FE4B9C">
            <w:pPr>
              <w:keepNext/>
              <w:spacing w:line="240" w:lineRule="auto"/>
            </w:pPr>
            <w:r>
              <w:t>Hyperaktivita, atypické hlasité projevy</w:t>
            </w:r>
          </w:p>
          <w:p w14:paraId="15EAC0C8" w14:textId="77777777" w:rsidR="00FE4B9C" w:rsidRDefault="00FE4B9C" w:rsidP="00FE4B9C">
            <w:pPr>
              <w:keepNext/>
              <w:spacing w:line="240" w:lineRule="auto"/>
            </w:pPr>
            <w:r>
              <w:t>Tachykardie</w:t>
            </w:r>
          </w:p>
          <w:p w14:paraId="69F26B3B" w14:textId="77777777" w:rsidR="00FE4B9C" w:rsidRDefault="00FE4B9C" w:rsidP="00FE4B9C">
            <w:pPr>
              <w:keepNext/>
              <w:spacing w:line="240" w:lineRule="auto"/>
            </w:pPr>
            <w:r>
              <w:t>Slinění, zvracení, nekontrolovatelná defekace</w:t>
            </w:r>
          </w:p>
          <w:p w14:paraId="1408A794" w14:textId="77777777" w:rsidR="00FE4B9C" w:rsidRDefault="00FE4B9C" w:rsidP="00FE4B9C">
            <w:pPr>
              <w:keepNext/>
              <w:spacing w:line="240" w:lineRule="auto"/>
            </w:pPr>
            <w:r>
              <w:t>Svalový třes</w:t>
            </w:r>
          </w:p>
          <w:p w14:paraId="2B1196E2" w14:textId="77777777" w:rsidR="00FE4B9C" w:rsidRDefault="00FE4B9C" w:rsidP="00FE4B9C">
            <w:pPr>
              <w:keepNext/>
              <w:spacing w:line="240" w:lineRule="auto"/>
            </w:pPr>
            <w:r>
              <w:t>Zvýšená dechová frekvence</w:t>
            </w:r>
          </w:p>
          <w:p w14:paraId="359C66C0" w14:textId="5CD625D4" w:rsidR="00ED367A" w:rsidRDefault="00FE4B9C" w:rsidP="00FE4B9C">
            <w:pPr>
              <w:keepNext/>
              <w:spacing w:line="240" w:lineRule="auto"/>
            </w:pPr>
            <w:r>
              <w:t>Nekontrolované močení</w:t>
            </w:r>
          </w:p>
        </w:tc>
      </w:tr>
      <w:tr w:rsidR="00ED367A" w14:paraId="0E18DB94" w14:textId="77777777">
        <w:tc>
          <w:tcPr>
            <w:tcW w:w="1957" w:type="pct"/>
          </w:tcPr>
          <w:p w14:paraId="4CD72F7B" w14:textId="74B35444" w:rsidR="00ED367A" w:rsidRDefault="007A303B">
            <w:pPr>
              <w:spacing w:line="240" w:lineRule="auto"/>
            </w:pPr>
            <w:r>
              <w:t>Velmi vzácné</w:t>
            </w:r>
          </w:p>
          <w:p w14:paraId="764555D3" w14:textId="2CF4451D" w:rsidR="00ED367A" w:rsidRDefault="007A303B">
            <w:pPr>
              <w:spacing w:line="240" w:lineRule="auto"/>
              <w:rPr>
                <w:szCs w:val="22"/>
              </w:rPr>
            </w:pPr>
            <w:r>
              <w:t>(&lt;1 zvíře / 10 000 ošetřených zvířat, včetně ojedinělých hlášení):</w:t>
            </w:r>
          </w:p>
        </w:tc>
        <w:tc>
          <w:tcPr>
            <w:tcW w:w="3043" w:type="pct"/>
          </w:tcPr>
          <w:p w14:paraId="7B2DF43E" w14:textId="77777777" w:rsidR="00FE4B9C" w:rsidRDefault="00FE4B9C" w:rsidP="00FE4B9C">
            <w:pPr>
              <w:spacing w:line="240" w:lineRule="auto"/>
            </w:pPr>
            <w:r>
              <w:t>Hypotenze</w:t>
            </w:r>
            <w:r>
              <w:rPr>
                <w:vertAlign w:val="superscript"/>
              </w:rPr>
              <w:t>1</w:t>
            </w:r>
          </w:p>
          <w:p w14:paraId="3F53D4D6" w14:textId="2CFFECC7" w:rsidR="00ED367A" w:rsidRDefault="00FE4B9C" w:rsidP="00FE4B9C">
            <w:pPr>
              <w:spacing w:line="240" w:lineRule="auto"/>
              <w:rPr>
                <w:iCs/>
                <w:szCs w:val="22"/>
              </w:rPr>
            </w:pPr>
            <w:r>
              <w:t>Prodloužená doba sedativních účinků, prodloužená doba zotavení</w:t>
            </w:r>
          </w:p>
        </w:tc>
      </w:tr>
    </w:tbl>
    <w:p w14:paraId="0FC1536A" w14:textId="782CD57F" w:rsidR="00FE4B9C" w:rsidRDefault="00FE4B9C" w:rsidP="00FE4B9C">
      <w:pPr>
        <w:tabs>
          <w:tab w:val="clear" w:pos="567"/>
        </w:tabs>
        <w:ind w:left="1008" w:hanging="441"/>
      </w:pPr>
      <w:r>
        <w:t>(1)</w:t>
      </w:r>
      <w:r>
        <w:tab/>
        <w:t>Během prvních 10 minut po injekci</w:t>
      </w:r>
      <w:r w:rsidR="0058583F">
        <w:t>.</w:t>
      </w:r>
    </w:p>
    <w:p w14:paraId="7604390D" w14:textId="77777777" w:rsidR="00ED367A" w:rsidRDefault="00ED367A"/>
    <w:p w14:paraId="1B0DAB60" w14:textId="77777777" w:rsidR="00ED367A" w:rsidRDefault="007A303B">
      <w:r>
        <w:lastRenderedPageBreak/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Příslušné kontaktní údaje naleznete v příbalové informaci.</w:t>
      </w:r>
    </w:p>
    <w:bookmarkEnd w:id="3"/>
    <w:p w14:paraId="76743AE4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640445CC" w14:textId="77777777" w:rsidR="00ED367A" w:rsidRDefault="007A303B">
      <w:pPr>
        <w:pStyle w:val="Style1"/>
      </w:pPr>
      <w:r>
        <w:t>3.7</w:t>
      </w:r>
      <w:r>
        <w:tab/>
        <w:t>Použití v průběhu březosti, laktace nebo snášky</w:t>
      </w:r>
    </w:p>
    <w:p w14:paraId="12F67E73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4969547B" w14:textId="1EA690EC" w:rsidR="00ED367A" w:rsidRDefault="00FE4B9C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 xml:space="preserve">Březost </w:t>
      </w:r>
      <w:r>
        <w:rPr>
          <w:szCs w:val="22"/>
          <w:u w:val="single"/>
        </w:rPr>
        <w:t>a laktace</w:t>
      </w:r>
      <w:r>
        <w:t>:</w:t>
      </w:r>
    </w:p>
    <w:p w14:paraId="68DAC866" w14:textId="1B55762F" w:rsidR="00ED367A" w:rsidRDefault="007A303B">
      <w:pPr>
        <w:rPr>
          <w:szCs w:val="22"/>
        </w:rPr>
      </w:pPr>
      <w:r>
        <w:rPr>
          <w:szCs w:val="22"/>
        </w:rPr>
        <w:t xml:space="preserve">Bezpečnost </w:t>
      </w:r>
      <w:r>
        <w:t xml:space="preserve">veterinárního léčivého </w:t>
      </w:r>
      <w:r>
        <w:rPr>
          <w:szCs w:val="22"/>
        </w:rPr>
        <w:t xml:space="preserve">přípravku v průběhu březosti a laktace nebyla stanovena. Použití není doporučováno během březosti a laktace. </w:t>
      </w:r>
    </w:p>
    <w:p w14:paraId="2C46E977" w14:textId="77777777" w:rsidR="00ED367A" w:rsidRDefault="00ED367A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7775019" w14:textId="77777777" w:rsidR="00ED367A" w:rsidRDefault="007A303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Plodnost</w:t>
      </w:r>
      <w:r>
        <w:rPr>
          <w:szCs w:val="22"/>
        </w:rPr>
        <w:t>:</w:t>
      </w:r>
    </w:p>
    <w:p w14:paraId="7748AF10" w14:textId="77E79CD2" w:rsidR="00ED367A" w:rsidRDefault="007A303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Nepoužívat u plemenných </w:t>
      </w:r>
      <w:bookmarkStart w:id="4" w:name="_Hlk191976457"/>
      <w:r>
        <w:rPr>
          <w:szCs w:val="22"/>
        </w:rPr>
        <w:t>zvířa</w:t>
      </w:r>
      <w:bookmarkEnd w:id="4"/>
      <w:r>
        <w:rPr>
          <w:szCs w:val="22"/>
        </w:rPr>
        <w:t>t.</w:t>
      </w:r>
    </w:p>
    <w:p w14:paraId="3A70ECCD" w14:textId="77777777" w:rsidR="00ED367A" w:rsidRDefault="00ED367A">
      <w:pPr>
        <w:rPr>
          <w:szCs w:val="22"/>
        </w:rPr>
      </w:pPr>
    </w:p>
    <w:p w14:paraId="19395535" w14:textId="77777777" w:rsidR="00ED367A" w:rsidRDefault="007A303B">
      <w:pPr>
        <w:pStyle w:val="Style1"/>
      </w:pPr>
      <w:r>
        <w:t>3.8</w:t>
      </w:r>
      <w:r>
        <w:tab/>
        <w:t>Interakce s jinými léčivými přípravky a další formy interakce</w:t>
      </w:r>
    </w:p>
    <w:p w14:paraId="478698D6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11A227A1" w14:textId="0B782ED6" w:rsidR="00ED367A" w:rsidRDefault="007A303B">
      <w:pPr>
        <w:pStyle w:val="Standard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Současné podávání atipamezolu s jinými centrálně působícími l</w:t>
      </w:r>
      <w:r w:rsidR="006952BA">
        <w:rPr>
          <w:rFonts w:ascii="Times New Roman" w:hAnsi="Times New Roman"/>
          <w:sz w:val="22"/>
          <w:szCs w:val="22"/>
          <w:lang w:val="cs-CZ"/>
        </w:rPr>
        <w:t>átkami</w:t>
      </w:r>
      <w:r>
        <w:rPr>
          <w:rFonts w:ascii="Times New Roman" w:hAnsi="Times New Roman"/>
          <w:sz w:val="22"/>
          <w:szCs w:val="22"/>
          <w:lang w:val="cs-CZ"/>
        </w:rPr>
        <w:t xml:space="preserve"> jako diazepam, </w:t>
      </w:r>
      <w:proofErr w:type="spellStart"/>
      <w:r>
        <w:rPr>
          <w:rFonts w:ascii="Times New Roman" w:hAnsi="Times New Roman"/>
          <w:sz w:val="22"/>
          <w:szCs w:val="22"/>
          <w:lang w:val="cs-CZ"/>
        </w:rPr>
        <w:t>acepromazin</w:t>
      </w:r>
      <w:proofErr w:type="spellEnd"/>
      <w:r>
        <w:rPr>
          <w:rFonts w:ascii="Times New Roman" w:hAnsi="Times New Roman"/>
          <w:sz w:val="22"/>
          <w:szCs w:val="22"/>
          <w:lang w:val="cs-CZ"/>
        </w:rPr>
        <w:t xml:space="preserve"> nebo opiáty se nedoporučuje.</w:t>
      </w:r>
    </w:p>
    <w:p w14:paraId="14D715D2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1A6CD3F6" w14:textId="77777777" w:rsidR="00ED367A" w:rsidRDefault="007A303B">
      <w:pPr>
        <w:pStyle w:val="Style1"/>
      </w:pPr>
      <w:r>
        <w:t>3.9</w:t>
      </w:r>
      <w:r>
        <w:tab/>
        <w:t>Cesty podání a dávkování</w:t>
      </w:r>
    </w:p>
    <w:p w14:paraId="5C0C4075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72B492AB" w14:textId="1CA975AD" w:rsidR="00FE4B9C" w:rsidRDefault="00FE4B9C" w:rsidP="00FE4B9C">
      <w:pPr>
        <w:pStyle w:val="Zkladntext"/>
        <w:jc w:val="left"/>
        <w:rPr>
          <w:szCs w:val="22"/>
        </w:rPr>
      </w:pPr>
      <w:r>
        <w:rPr>
          <w:szCs w:val="22"/>
        </w:rPr>
        <w:t>Intramuskulární po</w:t>
      </w:r>
      <w:r w:rsidR="006952BA">
        <w:rPr>
          <w:szCs w:val="22"/>
        </w:rPr>
        <w:t>dán</w:t>
      </w:r>
      <w:r>
        <w:rPr>
          <w:szCs w:val="22"/>
        </w:rPr>
        <w:t>í.</w:t>
      </w:r>
    </w:p>
    <w:p w14:paraId="0C706EE6" w14:textId="77777777" w:rsidR="00ED367A" w:rsidRDefault="00ED367A">
      <w:pPr>
        <w:pStyle w:val="Zkladntext"/>
        <w:jc w:val="left"/>
        <w:rPr>
          <w:szCs w:val="22"/>
        </w:rPr>
      </w:pPr>
    </w:p>
    <w:p w14:paraId="505B1A23" w14:textId="2C142E96" w:rsidR="00ED367A" w:rsidRDefault="007A303B">
      <w:pPr>
        <w:pStyle w:val="Zkladntext"/>
        <w:jc w:val="left"/>
        <w:rPr>
          <w:szCs w:val="22"/>
        </w:rPr>
      </w:pPr>
      <w:r>
        <w:rPr>
          <w:szCs w:val="22"/>
        </w:rPr>
        <w:t>Jednorázové intramuskulární po</w:t>
      </w:r>
      <w:r w:rsidR="006952BA">
        <w:rPr>
          <w:szCs w:val="22"/>
        </w:rPr>
        <w:t>dání</w:t>
      </w:r>
      <w:r>
        <w:rPr>
          <w:szCs w:val="22"/>
        </w:rPr>
        <w:t>. Dávka závisí na dříve podané dávce medetomidinu nebo dexmedetomidinu. Doporučuje se použití vhodně kalibrované injekční stříkačky, aby bylo zajištěno přesné dávkování při podávání malých objemů. Atipamezol je obecně podáván 15-60 minut po injekčním podání medetomidinu nebo dexmedetomidinu.</w:t>
      </w:r>
    </w:p>
    <w:p w14:paraId="52068D7A" w14:textId="77777777" w:rsidR="00ED367A" w:rsidRDefault="00ED367A">
      <w:pPr>
        <w:pStyle w:val="Zkladntext"/>
        <w:jc w:val="left"/>
        <w:rPr>
          <w:szCs w:val="22"/>
        </w:rPr>
      </w:pPr>
    </w:p>
    <w:p w14:paraId="606E5636" w14:textId="77777777" w:rsidR="00ED367A" w:rsidRDefault="007A303B">
      <w:pPr>
        <w:pStyle w:val="Zkladntext"/>
        <w:jc w:val="left"/>
        <w:rPr>
          <w:szCs w:val="22"/>
        </w:rPr>
      </w:pPr>
      <w:r>
        <w:t>Pro zajištění správného dávkování je třeba co nejpřesněji stanovit živou hmotnost.</w:t>
      </w:r>
    </w:p>
    <w:p w14:paraId="03EE4E1B" w14:textId="77777777" w:rsidR="00ED367A" w:rsidRDefault="00ED367A">
      <w:pPr>
        <w:rPr>
          <w:szCs w:val="22"/>
        </w:rPr>
      </w:pPr>
    </w:p>
    <w:p w14:paraId="68371848" w14:textId="08D934B1" w:rsidR="00ED367A" w:rsidRDefault="007A303B">
      <w:pPr>
        <w:rPr>
          <w:szCs w:val="22"/>
        </w:rPr>
      </w:pPr>
      <w:r>
        <w:rPr>
          <w:szCs w:val="22"/>
          <w:u w:val="single"/>
        </w:rPr>
        <w:t>Psi:</w:t>
      </w:r>
      <w:r>
        <w:rPr>
          <w:szCs w:val="22"/>
        </w:rPr>
        <w:t xml:space="preserve"> Dávka atipamezol hydrochloridu (v µg na kg živé hmotnosti) je </w:t>
      </w:r>
      <w:r w:rsidR="006952BA">
        <w:rPr>
          <w:szCs w:val="22"/>
        </w:rPr>
        <w:t>5krát</w:t>
      </w:r>
      <w:r>
        <w:rPr>
          <w:szCs w:val="22"/>
        </w:rPr>
        <w:t xml:space="preserve"> vyšší než předchozí dávka </w:t>
      </w:r>
      <w:proofErr w:type="spellStart"/>
      <w:r>
        <w:rPr>
          <w:szCs w:val="22"/>
        </w:rPr>
        <w:t>medetomidin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hydrochloridu</w:t>
      </w:r>
      <w:proofErr w:type="spellEnd"/>
      <w:r>
        <w:rPr>
          <w:szCs w:val="22"/>
        </w:rPr>
        <w:t xml:space="preserve"> nebo </w:t>
      </w:r>
      <w:r w:rsidR="006952BA">
        <w:rPr>
          <w:szCs w:val="22"/>
        </w:rPr>
        <w:t>10krát</w:t>
      </w:r>
      <w:r>
        <w:rPr>
          <w:szCs w:val="22"/>
        </w:rPr>
        <w:t xml:space="preserve"> vyšší než dávka dexmedetomidin hydrochloridu. Vzhledem k pětinásobné koncentraci účinné látky (atipamezol hydrochlorid) v tomto </w:t>
      </w:r>
      <w:r>
        <w:t xml:space="preserve">veterinárním léčivém </w:t>
      </w:r>
      <w:r>
        <w:rPr>
          <w:szCs w:val="22"/>
        </w:rPr>
        <w:t>přípravku ve srovnání s přípravky obsahujícími 1 mg / ml medetomidin hydrochloridu nebo desetinásobné koncentraci ve srovnání s přípravky s obsahem 0,5 mg / ml dexmedetomidin hydrochloridu se podává vždy stejný objem obou přípravků.</w:t>
      </w:r>
    </w:p>
    <w:p w14:paraId="24AB5E05" w14:textId="77777777" w:rsidR="00ED367A" w:rsidRDefault="00ED367A">
      <w:pPr>
        <w:rPr>
          <w:szCs w:val="22"/>
        </w:rPr>
      </w:pPr>
    </w:p>
    <w:p w14:paraId="5D42B3D1" w14:textId="3C960549" w:rsidR="00ED367A" w:rsidRDefault="007A303B">
      <w:pPr>
        <w:rPr>
          <w:szCs w:val="22"/>
        </w:rPr>
      </w:pPr>
      <w:r>
        <w:rPr>
          <w:szCs w:val="22"/>
        </w:rPr>
        <w:t>Vzhledem k </w:t>
      </w:r>
      <w:r w:rsidR="006952BA">
        <w:rPr>
          <w:szCs w:val="22"/>
        </w:rPr>
        <w:t>50krát</w:t>
      </w:r>
      <w:r>
        <w:rPr>
          <w:szCs w:val="22"/>
        </w:rPr>
        <w:t xml:space="preserve"> vyšší koncentraci účinné látky v tomto přípravku ve srovnání s přípravky obsahujícími 0,1 mg /ml </w:t>
      </w:r>
      <w:proofErr w:type="spellStart"/>
      <w:r>
        <w:rPr>
          <w:szCs w:val="22"/>
        </w:rPr>
        <w:t>dexmedetomidin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hydrochloridu</w:t>
      </w:r>
      <w:proofErr w:type="spellEnd"/>
      <w:r>
        <w:rPr>
          <w:szCs w:val="22"/>
        </w:rPr>
        <w:t xml:space="preserve">, je třeba </w:t>
      </w:r>
      <w:r w:rsidR="006952BA">
        <w:rPr>
          <w:szCs w:val="22"/>
        </w:rPr>
        <w:t>5krát</w:t>
      </w:r>
      <w:r>
        <w:rPr>
          <w:szCs w:val="22"/>
        </w:rPr>
        <w:t xml:space="preserve"> menší objem přípravku s atipamezolem. </w:t>
      </w:r>
    </w:p>
    <w:p w14:paraId="62F93623" w14:textId="77777777" w:rsidR="00ED367A" w:rsidRDefault="00ED367A">
      <w:pPr>
        <w:rPr>
          <w:szCs w:val="22"/>
        </w:rPr>
      </w:pPr>
    </w:p>
    <w:p w14:paraId="0D9EB50F" w14:textId="77777777" w:rsidR="00ED367A" w:rsidRDefault="007A303B">
      <w:pPr>
        <w:pStyle w:val="Standard"/>
        <w:keepNext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lastRenderedPageBreak/>
        <w:t>Příklad dávkování u psů:</w:t>
      </w:r>
    </w:p>
    <w:p w14:paraId="1C94B9D9" w14:textId="77777777" w:rsidR="00ED367A" w:rsidRDefault="00ED367A">
      <w:pPr>
        <w:keepNext/>
      </w:pPr>
    </w:p>
    <w:tbl>
      <w:tblPr>
        <w:tblW w:w="0" w:type="auto"/>
        <w:tblInd w:w="180" w:type="dxa"/>
        <w:tblLayout w:type="fixed"/>
        <w:tblLook w:val="0000" w:firstRow="0" w:lastRow="0" w:firstColumn="0" w:lastColumn="0" w:noHBand="0" w:noVBand="0"/>
      </w:tblPr>
      <w:tblGrid>
        <w:gridCol w:w="4464"/>
        <w:gridCol w:w="4253"/>
      </w:tblGrid>
      <w:tr w:rsidR="00ED367A" w14:paraId="56D018F8" w14:textId="77777777">
        <w:trPr>
          <w:trHeight w:val="508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0AA728E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Medetomidin 1,0 mg/ml injekční roztok -</w:t>
            </w:r>
          </w:p>
          <w:p w14:paraId="75F97851" w14:textId="77777777" w:rsidR="00ED367A" w:rsidRDefault="007A303B">
            <w:pPr>
              <w:keepNext/>
              <w:rPr>
                <w:szCs w:val="22"/>
              </w:rPr>
            </w:pPr>
            <w:r>
              <w:rPr>
                <w:b/>
                <w:bCs/>
                <w:szCs w:val="22"/>
              </w:rPr>
              <w:t>dávkování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89A73E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Atipamezol hydrochlorid 5,0 mg/ml injekční roztok -</w:t>
            </w:r>
          </w:p>
          <w:p w14:paraId="01E2046A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dávkování</w:t>
            </w:r>
          </w:p>
        </w:tc>
      </w:tr>
      <w:tr w:rsidR="00ED367A" w14:paraId="4CFAB6D7" w14:textId="77777777">
        <w:trPr>
          <w:trHeight w:val="587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85AC05C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 xml:space="preserve">0,04 ml/kg živé hmotnosti (ž.hm.), </w:t>
            </w:r>
          </w:p>
          <w:p w14:paraId="1C9240DF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 xml:space="preserve">tj. 40 μg/kg ž.hm. 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1CF6E60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0,04 ml/kg živé hmotnosti (ž.hm.),</w:t>
            </w:r>
          </w:p>
          <w:p w14:paraId="7DCA17A9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tj. 200 μg/kg ž.hm.</w:t>
            </w:r>
          </w:p>
        </w:tc>
      </w:tr>
      <w:tr w:rsidR="00ED367A" w14:paraId="2945437A" w14:textId="77777777">
        <w:trPr>
          <w:trHeight w:val="587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945271A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 xml:space="preserve">Dexmedetomidin 0,5 mg/ml injekční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roztok - dávkování</w:t>
            </w:r>
            <w:proofErr w:type="gramEnd"/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CF9F7D8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Atipamezol hydrochlorid 5,0 mg/ml injekční roztok -</w:t>
            </w:r>
          </w:p>
          <w:p w14:paraId="1CA60CC9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dávkování</w:t>
            </w:r>
          </w:p>
        </w:tc>
      </w:tr>
      <w:tr w:rsidR="00ED367A" w14:paraId="69B87261" w14:textId="77777777">
        <w:trPr>
          <w:trHeight w:val="587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13A6B98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0,04 ml/kg živé hmotnosti (ž.hm.),</w:t>
            </w:r>
          </w:p>
          <w:p w14:paraId="193EA2FA" w14:textId="625594B0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 xml:space="preserve">tj. 20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cs-CZ"/>
              </w:rPr>
              <w:t>μg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cs-CZ"/>
              </w:rPr>
              <w:t>/kg ž.hm.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2FF14DC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0,04 ml/kg živé hmotnosti (ž.hm.),</w:t>
            </w:r>
          </w:p>
          <w:p w14:paraId="5ECFECB3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tj. 200 μg/kg ž.hm.</w:t>
            </w:r>
          </w:p>
        </w:tc>
      </w:tr>
      <w:tr w:rsidR="00ED367A" w14:paraId="469E15CD" w14:textId="77777777">
        <w:trPr>
          <w:trHeight w:val="587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408EDE5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 xml:space="preserve">Dexmedetomidin 0,1 mg/ml injekční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roztok - dávkování</w:t>
            </w:r>
            <w:proofErr w:type="gramEnd"/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59B514B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Atipamezol hydrochlorid 5,0 mg/ml injekční roztok -</w:t>
            </w:r>
          </w:p>
          <w:p w14:paraId="728A81AF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dávkování</w:t>
            </w:r>
          </w:p>
        </w:tc>
      </w:tr>
      <w:tr w:rsidR="00ED367A" w14:paraId="38C37831" w14:textId="77777777">
        <w:trPr>
          <w:trHeight w:val="587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9B743CC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0,2 ml/kg živé hmotnosti (ž.hm.),</w:t>
            </w:r>
          </w:p>
          <w:p w14:paraId="46B0B948" w14:textId="0836159C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 xml:space="preserve">tj. 20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cs-CZ"/>
              </w:rPr>
              <w:t>μg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cs-CZ"/>
              </w:rPr>
              <w:t>/kg ž.hm.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4C0E6A3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0,04 ml/kg živé hmotnosti (ž.hm.),</w:t>
            </w:r>
          </w:p>
          <w:p w14:paraId="775CA8C5" w14:textId="1DE7A3D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 xml:space="preserve">tj. 200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cs-CZ"/>
              </w:rPr>
              <w:t>μg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cs-CZ"/>
              </w:rPr>
              <w:t>/kg ž.hm.</w:t>
            </w:r>
          </w:p>
        </w:tc>
      </w:tr>
    </w:tbl>
    <w:p w14:paraId="3DE6B58F" w14:textId="5A854259" w:rsidR="00ED367A" w:rsidRDefault="00ED367A">
      <w:pPr>
        <w:rPr>
          <w:szCs w:val="22"/>
          <w:u w:val="single"/>
        </w:rPr>
      </w:pPr>
    </w:p>
    <w:p w14:paraId="56D00CE9" w14:textId="10FF267D" w:rsidR="00ED367A" w:rsidRDefault="007A303B">
      <w:pPr>
        <w:rPr>
          <w:szCs w:val="22"/>
        </w:rPr>
      </w:pPr>
      <w:r>
        <w:rPr>
          <w:szCs w:val="22"/>
          <w:u w:val="single"/>
        </w:rPr>
        <w:t>Kočky:</w:t>
      </w:r>
      <w:r>
        <w:rPr>
          <w:szCs w:val="22"/>
        </w:rPr>
        <w:t xml:space="preserve"> Dávka atipamezol hydrochloridu (v µg na kg živé hmotnosti) je </w:t>
      </w:r>
      <w:r w:rsidR="006952BA">
        <w:rPr>
          <w:szCs w:val="22"/>
        </w:rPr>
        <w:t>2,5krát</w:t>
      </w:r>
      <w:r>
        <w:rPr>
          <w:szCs w:val="22"/>
        </w:rPr>
        <w:t xml:space="preserve"> vyšší než předchozí dávka </w:t>
      </w:r>
      <w:proofErr w:type="spellStart"/>
      <w:r>
        <w:rPr>
          <w:szCs w:val="22"/>
        </w:rPr>
        <w:t>medetomidin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hydrochloridu</w:t>
      </w:r>
      <w:proofErr w:type="spellEnd"/>
      <w:r>
        <w:rPr>
          <w:szCs w:val="22"/>
        </w:rPr>
        <w:t xml:space="preserve"> nebo </w:t>
      </w:r>
      <w:r w:rsidR="006952BA">
        <w:rPr>
          <w:szCs w:val="22"/>
        </w:rPr>
        <w:t>5krát</w:t>
      </w:r>
      <w:r>
        <w:rPr>
          <w:szCs w:val="22"/>
        </w:rPr>
        <w:t xml:space="preserve"> vyšší než dávka dexmedetomidin hydrochloridu. Vzhledem k pětinásobné koncentraci účinné látky (atipamezol </w:t>
      </w:r>
      <w:proofErr w:type="spellStart"/>
      <w:r>
        <w:rPr>
          <w:szCs w:val="22"/>
        </w:rPr>
        <w:t>hydrochlorid</w:t>
      </w:r>
      <w:proofErr w:type="spellEnd"/>
      <w:r>
        <w:rPr>
          <w:szCs w:val="22"/>
        </w:rPr>
        <w:t xml:space="preserve">) v tomto </w:t>
      </w:r>
      <w:proofErr w:type="spellStart"/>
      <w:r w:rsidR="00B810DA">
        <w:rPr>
          <w:szCs w:val="22"/>
        </w:rPr>
        <w:t>veterinárním</w:t>
      </w:r>
      <w:r>
        <w:rPr>
          <w:szCs w:val="22"/>
        </w:rPr>
        <w:t>léčivém</w:t>
      </w:r>
      <w:proofErr w:type="spellEnd"/>
      <w:r>
        <w:rPr>
          <w:szCs w:val="22"/>
        </w:rPr>
        <w:t xml:space="preserve"> přípravku ve srovnání s přípravky obsahujícími 1 mg / ml medetomidin hydrochloridu nebo desetinásobné koncentraci ve srovnání s přípravky s obsahem 0,5 mg / ml dexmedetomidin hydrochloridu se podává poloviční objem tohoto veterinárního léčivého přípravku oproti objemu medetomidinu nebo dexmedetomidinu.</w:t>
      </w:r>
    </w:p>
    <w:p w14:paraId="068C17F2" w14:textId="77777777" w:rsidR="00ED367A" w:rsidRDefault="00ED367A">
      <w:pPr>
        <w:rPr>
          <w:szCs w:val="22"/>
        </w:rPr>
      </w:pPr>
    </w:p>
    <w:p w14:paraId="477F5576" w14:textId="3CB3BA49" w:rsidR="00ED367A" w:rsidRDefault="007A303B">
      <w:pPr>
        <w:rPr>
          <w:szCs w:val="22"/>
        </w:rPr>
      </w:pPr>
      <w:r>
        <w:rPr>
          <w:szCs w:val="22"/>
        </w:rPr>
        <w:t>Vzhledem k </w:t>
      </w:r>
      <w:r w:rsidR="006952BA">
        <w:rPr>
          <w:szCs w:val="22"/>
        </w:rPr>
        <w:t>50krát</w:t>
      </w:r>
      <w:r>
        <w:rPr>
          <w:szCs w:val="22"/>
        </w:rPr>
        <w:t xml:space="preserve"> vyšší koncentraci účinné látky v tomto veterinárním léčivém přípravku ve srovnání s přípravky obsahujícími 0,1 mg /ml </w:t>
      </w:r>
      <w:proofErr w:type="spellStart"/>
      <w:r>
        <w:rPr>
          <w:szCs w:val="22"/>
        </w:rPr>
        <w:t>dexmedetomidin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hydrochloridu</w:t>
      </w:r>
      <w:proofErr w:type="spellEnd"/>
      <w:r>
        <w:rPr>
          <w:szCs w:val="22"/>
        </w:rPr>
        <w:t xml:space="preserve">, je třeba </w:t>
      </w:r>
      <w:r w:rsidR="006952BA">
        <w:rPr>
          <w:szCs w:val="22"/>
        </w:rPr>
        <w:t>10krát</w:t>
      </w:r>
      <w:r>
        <w:rPr>
          <w:szCs w:val="22"/>
        </w:rPr>
        <w:t xml:space="preserve"> menší objem přípravku s atipamezolem. </w:t>
      </w:r>
    </w:p>
    <w:p w14:paraId="7AFE72B2" w14:textId="77777777" w:rsidR="00ED367A" w:rsidRDefault="00ED367A">
      <w:pPr>
        <w:rPr>
          <w:dstrike/>
          <w:szCs w:val="22"/>
        </w:rPr>
      </w:pPr>
    </w:p>
    <w:p w14:paraId="0E8306E9" w14:textId="77777777" w:rsidR="00ED367A" w:rsidRDefault="007A303B">
      <w:pPr>
        <w:pStyle w:val="Standard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Tabulka dávkování u koček:</w:t>
      </w:r>
    </w:p>
    <w:p w14:paraId="53ACD004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ED367A" w14:paraId="0B1348D8" w14:textId="77777777">
        <w:trPr>
          <w:trHeight w:val="57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7B50C36" w14:textId="77777777" w:rsidR="00ED367A" w:rsidRDefault="007A303B">
            <w:pPr>
              <w:pStyle w:val="Standard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Medetomidin 1,0 mg/ml injekční roztok -</w:t>
            </w:r>
          </w:p>
          <w:p w14:paraId="67A23687" w14:textId="77777777" w:rsidR="00ED367A" w:rsidRDefault="007A303B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dávkování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512BAC0" w14:textId="77777777" w:rsidR="00ED367A" w:rsidRDefault="007A303B">
            <w:pPr>
              <w:pStyle w:val="Standard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Atipamezol hydrochlorid 5,0 mg/ml injekční roztok -</w:t>
            </w:r>
          </w:p>
          <w:p w14:paraId="4A932C32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dávkování</w:t>
            </w:r>
          </w:p>
        </w:tc>
      </w:tr>
      <w:tr w:rsidR="00ED367A" w14:paraId="061A84E0" w14:textId="77777777">
        <w:trPr>
          <w:trHeight w:val="57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DDE2F4D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0,08 ml/kg živé hmotnosti (ž.hm.),</w:t>
            </w:r>
          </w:p>
          <w:p w14:paraId="4FC99CF3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tj. 80 μg/kg ž.hm.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496F969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0,04 ml/kg živé hmotnosti (ž.hm.),</w:t>
            </w:r>
          </w:p>
          <w:p w14:paraId="2EEAF089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tj. 200 μg/kg ž.hm.</w:t>
            </w:r>
          </w:p>
        </w:tc>
      </w:tr>
      <w:tr w:rsidR="00ED367A" w14:paraId="074BEE55" w14:textId="77777777">
        <w:trPr>
          <w:trHeight w:val="57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2683554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 xml:space="preserve">Dexmedetomidine 0,5 mg/ml injekční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roztok - dávkování</w:t>
            </w:r>
            <w:proofErr w:type="gramEnd"/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2D2BAF2" w14:textId="77777777" w:rsidR="00ED367A" w:rsidRDefault="007A303B">
            <w:pPr>
              <w:pStyle w:val="Standard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Atipamezol hydrochlorid 5,0 mg/ml injekční roztok -</w:t>
            </w:r>
          </w:p>
          <w:p w14:paraId="595AB12D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dávkování</w:t>
            </w:r>
          </w:p>
        </w:tc>
      </w:tr>
      <w:tr w:rsidR="00ED367A" w14:paraId="524A451A" w14:textId="77777777">
        <w:trPr>
          <w:trHeight w:val="57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702E456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0,08 ml/kg živé hmotnosti (ž.hm.),</w:t>
            </w:r>
          </w:p>
          <w:p w14:paraId="14FE663A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tj. 40 μg/kg ž.hm.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A46E46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0,04 ml/kg živé hmotnosti (ž.hm.),</w:t>
            </w:r>
          </w:p>
          <w:p w14:paraId="05275DE8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 xml:space="preserve">tj. 200 μg/kg ž.hm. </w:t>
            </w:r>
          </w:p>
        </w:tc>
      </w:tr>
      <w:tr w:rsidR="00ED367A" w14:paraId="58B2067B" w14:textId="77777777">
        <w:trPr>
          <w:trHeight w:val="57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649DCA7" w14:textId="77777777" w:rsidR="00ED367A" w:rsidRDefault="007A303B">
            <w:pPr>
              <w:pStyle w:val="Standard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Dexmedetomidine 0,1 mg/ml injekční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roztok - dávkování</w:t>
            </w:r>
            <w:proofErr w:type="gramEnd"/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AA29CDA" w14:textId="77777777" w:rsidR="00ED367A" w:rsidRDefault="007A303B">
            <w:pPr>
              <w:pStyle w:val="Standard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Atipamezol hydrochlorid 5,0 mg/ml injekční roztok -</w:t>
            </w:r>
          </w:p>
          <w:p w14:paraId="2B683B27" w14:textId="77777777" w:rsidR="00ED367A" w:rsidRDefault="007A303B">
            <w:pPr>
              <w:pStyle w:val="Standard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dávkování</w:t>
            </w:r>
          </w:p>
        </w:tc>
      </w:tr>
      <w:tr w:rsidR="00ED367A" w14:paraId="1E75770E" w14:textId="77777777">
        <w:trPr>
          <w:trHeight w:val="57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0AF892E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0,4 ml/kg živé hmotnosti (ž.hm.),</w:t>
            </w:r>
          </w:p>
          <w:p w14:paraId="292E8427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tj. 40 μg/kg ž.hm.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9088DB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0,04 ml/kg živé hmotnosti (ž.hm.),</w:t>
            </w:r>
          </w:p>
          <w:p w14:paraId="5BDF3EB4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 xml:space="preserve">tj. 200 μg/kg ž.hm. </w:t>
            </w:r>
          </w:p>
        </w:tc>
      </w:tr>
    </w:tbl>
    <w:p w14:paraId="1B650AA3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0E55CBAF" w14:textId="77777777" w:rsidR="00ED367A" w:rsidRDefault="007A303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Doba zotavení u psů a koček je zkrácena na přibližně 5 minut. Zvířata jsou mobilní přibližně po 10 minutách po podání tohoto veterinárního léčivého přípravku.</w:t>
      </w:r>
    </w:p>
    <w:p w14:paraId="0C73C275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4FF7B9BA" w14:textId="77777777" w:rsidR="00ED367A" w:rsidRDefault="007A303B">
      <w:pPr>
        <w:pStyle w:val="Style1"/>
        <w:keepNext/>
      </w:pPr>
      <w:r>
        <w:lastRenderedPageBreak/>
        <w:t>3.10</w:t>
      </w:r>
      <w:r>
        <w:tab/>
        <w:t>Příznaky předávkování (a kde je relevantní, první pomoc a antidota)</w:t>
      </w:r>
    </w:p>
    <w:p w14:paraId="6D9CE963" w14:textId="77777777" w:rsidR="00ED367A" w:rsidRDefault="00ED367A">
      <w:pPr>
        <w:pStyle w:val="Style1"/>
        <w:keepNext/>
      </w:pPr>
    </w:p>
    <w:p w14:paraId="37B26C7B" w14:textId="55FE6606" w:rsidR="00ED367A" w:rsidRDefault="007A303B">
      <w:pPr>
        <w:keepNext/>
        <w:rPr>
          <w:szCs w:val="22"/>
        </w:rPr>
      </w:pPr>
      <w:r>
        <w:rPr>
          <w:szCs w:val="22"/>
        </w:rPr>
        <w:t xml:space="preserve">Předávkování atipamezol hydrochloridem může vést k přechodné tachykardii a zvýšené bdělosti (hyperaktivitě, svalovému třesu). Pokud je to nezbytné, mohou být tyto příznaky eliminovány použitím medetomidin nebo dexmedetomidin hydrochloridu v dávce, která je </w:t>
      </w:r>
      <w:proofErr w:type="gramStart"/>
      <w:r>
        <w:rPr>
          <w:szCs w:val="22"/>
        </w:rPr>
        <w:t>nižší</w:t>
      </w:r>
      <w:proofErr w:type="gramEnd"/>
      <w:r>
        <w:rPr>
          <w:szCs w:val="22"/>
        </w:rPr>
        <w:t xml:space="preserve"> než je obvykle klinicky používaná.</w:t>
      </w:r>
    </w:p>
    <w:p w14:paraId="52F88BB7" w14:textId="77777777" w:rsidR="00ED367A" w:rsidRDefault="007A303B">
      <w:pPr>
        <w:keepNext/>
        <w:rPr>
          <w:szCs w:val="22"/>
        </w:rPr>
      </w:pPr>
      <w:r>
        <w:rPr>
          <w:szCs w:val="22"/>
        </w:rPr>
        <w:t>Pokud je atipamezol hydrochlorid náhodně podán zvířeti, které nebylo předtím léčeno medetomidin nebo dexmedetomidin hydrochloridem, může se vyskytnout hyperaktivita a svalový třes. Tyto účinky mohou přetrvávat po dobu asi 15 minut.</w:t>
      </w:r>
    </w:p>
    <w:p w14:paraId="2414CDF0" w14:textId="77777777" w:rsidR="00ED367A" w:rsidRDefault="007A303B">
      <w:pPr>
        <w:rPr>
          <w:szCs w:val="22"/>
        </w:rPr>
      </w:pPr>
      <w:r>
        <w:rPr>
          <w:szCs w:val="22"/>
        </w:rPr>
        <w:t>Zvýšenou bdělost u koček lze nejlépe zvládnout minimalizací vnějších podnětů.</w:t>
      </w:r>
    </w:p>
    <w:p w14:paraId="4D2D3D97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BA095AE" w14:textId="77777777" w:rsidR="00ED367A" w:rsidRDefault="007A303B">
      <w:pPr>
        <w:pStyle w:val="Style1"/>
      </w:pPr>
      <w:r>
        <w:t>3.11</w:t>
      </w:r>
      <w: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3A9B2D85" w14:textId="0D0BEBF3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0BE78FD6" w14:textId="77777777" w:rsidR="00C33288" w:rsidRDefault="00C33288" w:rsidP="00C33288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1D6781ED" w14:textId="77777777" w:rsidR="00FE4B9C" w:rsidRDefault="00FE4B9C">
      <w:pPr>
        <w:tabs>
          <w:tab w:val="clear" w:pos="567"/>
        </w:tabs>
        <w:spacing w:line="240" w:lineRule="auto"/>
        <w:rPr>
          <w:szCs w:val="22"/>
        </w:rPr>
      </w:pPr>
    </w:p>
    <w:p w14:paraId="38193F17" w14:textId="77777777" w:rsidR="00ED367A" w:rsidRDefault="007A303B">
      <w:pPr>
        <w:pStyle w:val="Style1"/>
      </w:pPr>
      <w:r>
        <w:t>3.12</w:t>
      </w:r>
      <w:r>
        <w:tab/>
        <w:t>Ochranné lhůty</w:t>
      </w:r>
    </w:p>
    <w:p w14:paraId="3B96393C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0D1E9182" w14:textId="06424E3D" w:rsidR="00ED367A" w:rsidRDefault="007A303B">
      <w:pPr>
        <w:tabs>
          <w:tab w:val="clear" w:pos="567"/>
        </w:tabs>
        <w:spacing w:line="240" w:lineRule="auto"/>
        <w:rPr>
          <w:szCs w:val="22"/>
        </w:rPr>
      </w:pPr>
      <w:r>
        <w:t>Neuplatňuje se</w:t>
      </w:r>
      <w:r w:rsidR="00FE4B9C">
        <w:t>.</w:t>
      </w:r>
    </w:p>
    <w:p w14:paraId="68C0F27A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4D2332BF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A5EAFF6" w14:textId="77777777" w:rsidR="00ED367A" w:rsidRPr="009B01E0" w:rsidRDefault="007A303B" w:rsidP="009B01E0">
      <w:pPr>
        <w:pStyle w:val="NormalAgency"/>
        <w:rPr>
          <w:rFonts w:ascii="Times New Roman" w:hAnsi="Times New Roman" w:cs="Times New Roman"/>
          <w:b/>
          <w:sz w:val="22"/>
          <w:szCs w:val="22"/>
        </w:rPr>
      </w:pPr>
      <w:r w:rsidRPr="009B01E0">
        <w:rPr>
          <w:rFonts w:ascii="Times New Roman" w:hAnsi="Times New Roman" w:cs="Times New Roman"/>
          <w:b/>
          <w:sz w:val="22"/>
          <w:szCs w:val="22"/>
        </w:rPr>
        <w:t>4.</w:t>
      </w:r>
      <w:r w:rsidRPr="009B01E0">
        <w:rPr>
          <w:rFonts w:ascii="Times New Roman" w:hAnsi="Times New Roman" w:cs="Times New Roman"/>
          <w:b/>
          <w:sz w:val="22"/>
          <w:szCs w:val="22"/>
        </w:rPr>
        <w:tab/>
        <w:t>FARMAKOLOGICKÉ INFORMACE</w:t>
      </w:r>
    </w:p>
    <w:p w14:paraId="7D9163C1" w14:textId="77777777" w:rsidR="00ED367A" w:rsidRPr="009B01E0" w:rsidRDefault="00ED367A" w:rsidP="009B01E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14:paraId="7B06FE46" w14:textId="6ADA5900" w:rsidR="00ED367A" w:rsidRPr="009B01E0" w:rsidRDefault="007A303B" w:rsidP="00BC7721">
      <w:pPr>
        <w:pStyle w:val="NormalAgency"/>
        <w:rPr>
          <w:rFonts w:ascii="Times New Roman" w:hAnsi="Times New Roman" w:cs="Times New Roman"/>
          <w:sz w:val="22"/>
          <w:szCs w:val="22"/>
        </w:rPr>
      </w:pPr>
      <w:r w:rsidRPr="009B01E0">
        <w:rPr>
          <w:rFonts w:ascii="Times New Roman" w:hAnsi="Times New Roman" w:cs="Times New Roman"/>
          <w:b/>
          <w:sz w:val="22"/>
          <w:szCs w:val="22"/>
        </w:rPr>
        <w:t>4.1</w:t>
      </w:r>
      <w:r w:rsidRPr="009B01E0">
        <w:rPr>
          <w:rFonts w:ascii="Times New Roman" w:hAnsi="Times New Roman" w:cs="Times New Roman"/>
          <w:b/>
          <w:sz w:val="22"/>
          <w:szCs w:val="22"/>
        </w:rPr>
        <w:tab/>
      </w:r>
      <w:proofErr w:type="spellStart"/>
      <w:r w:rsidRPr="009B01E0">
        <w:rPr>
          <w:rFonts w:ascii="Times New Roman" w:hAnsi="Times New Roman" w:cs="Times New Roman"/>
          <w:b/>
          <w:sz w:val="22"/>
          <w:szCs w:val="22"/>
        </w:rPr>
        <w:t>ATCvet</w:t>
      </w:r>
      <w:proofErr w:type="spellEnd"/>
      <w:r w:rsidRPr="009B01E0">
        <w:rPr>
          <w:rFonts w:ascii="Times New Roman" w:hAnsi="Times New Roman" w:cs="Times New Roman"/>
          <w:b/>
          <w:sz w:val="22"/>
          <w:szCs w:val="22"/>
        </w:rPr>
        <w:t xml:space="preserve"> kód:</w:t>
      </w:r>
      <w:r w:rsidR="00FA08A4" w:rsidRPr="009B01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B01E0">
        <w:rPr>
          <w:rFonts w:ascii="Times New Roman" w:hAnsi="Times New Roman" w:cs="Times New Roman"/>
          <w:sz w:val="22"/>
          <w:szCs w:val="22"/>
        </w:rPr>
        <w:t>QV03AB90</w:t>
      </w:r>
    </w:p>
    <w:p w14:paraId="5655CBA6" w14:textId="77777777" w:rsidR="00ED367A" w:rsidRPr="009B01E0" w:rsidRDefault="00ED367A" w:rsidP="009B01E0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14:paraId="347281D6" w14:textId="77777777" w:rsidR="00ED367A" w:rsidRPr="009B01E0" w:rsidRDefault="007A303B" w:rsidP="009B01E0">
      <w:pPr>
        <w:pStyle w:val="NormalAgency"/>
        <w:rPr>
          <w:rFonts w:ascii="Times New Roman" w:hAnsi="Times New Roman" w:cs="Times New Roman"/>
          <w:b/>
          <w:sz w:val="22"/>
          <w:szCs w:val="22"/>
        </w:rPr>
      </w:pPr>
      <w:r w:rsidRPr="009B01E0">
        <w:rPr>
          <w:rFonts w:ascii="Times New Roman" w:hAnsi="Times New Roman" w:cs="Times New Roman"/>
          <w:b/>
          <w:sz w:val="22"/>
          <w:szCs w:val="22"/>
        </w:rPr>
        <w:t>4.2</w:t>
      </w:r>
      <w:r w:rsidRPr="009B01E0">
        <w:rPr>
          <w:rFonts w:ascii="Times New Roman" w:hAnsi="Times New Roman" w:cs="Times New Roman"/>
          <w:b/>
          <w:sz w:val="22"/>
          <w:szCs w:val="22"/>
        </w:rPr>
        <w:tab/>
        <w:t>Farmakodynamika</w:t>
      </w:r>
    </w:p>
    <w:p w14:paraId="27EBC31D" w14:textId="77777777" w:rsidR="00ED367A" w:rsidRDefault="00ED367A">
      <w:pPr>
        <w:pStyle w:val="Style1"/>
      </w:pPr>
    </w:p>
    <w:p w14:paraId="1AA8F73E" w14:textId="77777777" w:rsidR="00ED367A" w:rsidRDefault="007A303B">
      <w:pPr>
        <w:rPr>
          <w:szCs w:val="22"/>
        </w:rPr>
      </w:pPr>
      <w:r>
        <w:rPr>
          <w:szCs w:val="22"/>
        </w:rPr>
        <w:t>Atipamezol je účinný a selektivní blokátor α2-receptorů (α2-antagonista), který podporuje uvolňování neurotransmiteru noradrenalinu v centrálním, stejně jako v periferním nervovém systému. To vede k aktivaci centrálního nervového systému v důsledku aktivace sympatiku. Jiné farmakodynamické účinky, jako je vliv na kardiovaskulární systém, jsou mírné, je však třeba počítat s možností přechodného poklesu krevního tlaku během prvních 10 minut po podání atipamezol hydrochlodridu. Jako α2-antagonista je atipamezol schopen eliminovat (nebo inhibovat) účinky agonisty α2-receptorů, medetomidinu nebo dexmedetomidinu. Atipamezol tak ruší sedativní účinky medetomidin a dexmedetomidin hydrochloridu u psů a koček a může vést k přechodnému zvýšení srdeční frekvence.</w:t>
      </w:r>
    </w:p>
    <w:p w14:paraId="5F21D8D8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3088AFB6" w14:textId="77777777" w:rsidR="00ED367A" w:rsidRDefault="007A303B">
      <w:pPr>
        <w:pStyle w:val="Style1"/>
      </w:pPr>
      <w:r>
        <w:t>4.3</w:t>
      </w:r>
      <w:r>
        <w:tab/>
        <w:t>Farmakokinetika</w:t>
      </w:r>
    </w:p>
    <w:p w14:paraId="06C99969" w14:textId="77777777" w:rsidR="00ED367A" w:rsidRDefault="00ED367A">
      <w:pPr>
        <w:rPr>
          <w:szCs w:val="22"/>
        </w:rPr>
      </w:pPr>
    </w:p>
    <w:p w14:paraId="7F0EFEC6" w14:textId="63BD9CFA" w:rsidR="00ED367A" w:rsidRDefault="007A303B">
      <w:pPr>
        <w:rPr>
          <w:szCs w:val="22"/>
        </w:rPr>
      </w:pPr>
      <w:r>
        <w:rPr>
          <w:szCs w:val="22"/>
        </w:rPr>
        <w:t xml:space="preserve">Atipamezol hydrochlorid se po intramuskulárním podání rychle vstřebá. Maximální koncentrace v centrálním nervovém systému je dosaženo za 10-15 minut. Distribuční objem (Vd) je asi 1-2,5 l / kg. </w:t>
      </w:r>
      <w:r w:rsidR="00C33288">
        <w:rPr>
          <w:szCs w:val="22"/>
        </w:rPr>
        <w:t>Biologický p</w:t>
      </w:r>
      <w:r>
        <w:rPr>
          <w:szCs w:val="22"/>
        </w:rPr>
        <w:t xml:space="preserve">oločas eliminace (t ½) atipamezol hydrochloridu nastává přibližně za 1 hodinu. Atipamezol hydrochlorid je rychle a úplně metabolizován. Metabolity jsou vylučovány převážně močí, v malém množství </w:t>
      </w:r>
      <w:r w:rsidR="00C33288">
        <w:rPr>
          <w:szCs w:val="22"/>
        </w:rPr>
        <w:t>trusem</w:t>
      </w:r>
      <w:r>
        <w:rPr>
          <w:szCs w:val="22"/>
        </w:rPr>
        <w:t>.</w:t>
      </w:r>
    </w:p>
    <w:p w14:paraId="7D50E384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23354D3E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4EE11AF7" w14:textId="77777777" w:rsidR="00ED367A" w:rsidRDefault="007A303B">
      <w:pPr>
        <w:pStyle w:val="Style1"/>
      </w:pPr>
      <w:r>
        <w:t>5.</w:t>
      </w:r>
      <w:r>
        <w:tab/>
        <w:t>FARMACEUTICKÉ ÚDAJE</w:t>
      </w:r>
    </w:p>
    <w:p w14:paraId="2CD44E99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67D80764" w14:textId="77777777" w:rsidR="00ED367A" w:rsidRDefault="007A303B">
      <w:pPr>
        <w:pStyle w:val="Style1"/>
      </w:pPr>
      <w:r>
        <w:t>5.1</w:t>
      </w:r>
      <w:r>
        <w:tab/>
        <w:t>Hlavní inkompatibility</w:t>
      </w:r>
    </w:p>
    <w:p w14:paraId="65A06FED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6F2C6D1" w14:textId="54F0139A" w:rsidR="00ED367A" w:rsidRDefault="007A303B">
      <w:pPr>
        <w:rPr>
          <w:szCs w:val="22"/>
        </w:rPr>
      </w:pPr>
      <w:r>
        <w:rPr>
          <w:szCs w:val="22"/>
        </w:rPr>
        <w:t>Studie kompatibility nejsou k dispozici, a proto tento veterinární léčivý přípravek nesmí být mísen s žádnými dalšími veterinárními léčivými přípravky.</w:t>
      </w:r>
    </w:p>
    <w:p w14:paraId="3AC21319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42637163" w14:textId="77777777" w:rsidR="00ED367A" w:rsidRDefault="007A303B">
      <w:pPr>
        <w:pStyle w:val="Style1"/>
      </w:pPr>
      <w:r>
        <w:t>5.2</w:t>
      </w:r>
      <w:r>
        <w:tab/>
        <w:t>Doba použitelnosti</w:t>
      </w:r>
    </w:p>
    <w:p w14:paraId="7C01AB7E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671CFA61" w14:textId="77777777" w:rsidR="00ED367A" w:rsidRDefault="007A303B">
      <w:pPr>
        <w:tabs>
          <w:tab w:val="left" w:pos="6663"/>
        </w:tabs>
        <w:rPr>
          <w:szCs w:val="22"/>
        </w:rPr>
      </w:pPr>
      <w:r>
        <w:rPr>
          <w:szCs w:val="22"/>
        </w:rPr>
        <w:t>Doba použitelnosti veterinárního léčivého přípravku v neporušeném obalu: 2 roky.</w:t>
      </w:r>
    </w:p>
    <w:p w14:paraId="5DBE53F2" w14:textId="77777777" w:rsidR="00ED367A" w:rsidRDefault="007A303B">
      <w:pPr>
        <w:pStyle w:val="Zhlav"/>
        <w:tabs>
          <w:tab w:val="left" w:pos="666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Doba použitelnosti po prvním otevření vnitřního obalu: 28 dní.</w:t>
      </w:r>
    </w:p>
    <w:p w14:paraId="69A75CA7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49A6887" w14:textId="77777777" w:rsidR="00ED367A" w:rsidRDefault="007A303B">
      <w:pPr>
        <w:pStyle w:val="Style1"/>
      </w:pPr>
      <w:r>
        <w:t>5.3</w:t>
      </w:r>
      <w:r>
        <w:tab/>
        <w:t>Zvláštní opatření pro uchovávání</w:t>
      </w:r>
    </w:p>
    <w:p w14:paraId="42A8F888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67534C0D" w14:textId="77777777" w:rsidR="00ED367A" w:rsidRDefault="007A303B">
      <w:pPr>
        <w:tabs>
          <w:tab w:val="left" w:pos="840"/>
        </w:tabs>
        <w:rPr>
          <w:szCs w:val="22"/>
        </w:rPr>
      </w:pPr>
      <w:r>
        <w:rPr>
          <w:szCs w:val="22"/>
        </w:rPr>
        <w:t>Tento veterinární léčivý přípravek nevyžaduje žádné zvláštní podmínky uchovávání.</w:t>
      </w:r>
    </w:p>
    <w:p w14:paraId="019975FA" w14:textId="77777777" w:rsidR="00ED367A" w:rsidRDefault="00ED367A">
      <w:pPr>
        <w:pStyle w:val="Style5"/>
      </w:pPr>
    </w:p>
    <w:p w14:paraId="774FB6D5" w14:textId="77777777" w:rsidR="00ED367A" w:rsidRDefault="007A303B">
      <w:pPr>
        <w:pStyle w:val="Style1"/>
      </w:pPr>
      <w:r>
        <w:t>5.4</w:t>
      </w:r>
      <w:r>
        <w:tab/>
        <w:t>Druh a složení vnitřního obalu</w:t>
      </w:r>
    </w:p>
    <w:p w14:paraId="4826005E" w14:textId="77777777" w:rsidR="00ED367A" w:rsidRDefault="00ED367A">
      <w:pPr>
        <w:pStyle w:val="Style1"/>
      </w:pPr>
    </w:p>
    <w:p w14:paraId="74E8E63E" w14:textId="77777777" w:rsidR="00ED367A" w:rsidRDefault="007A303B">
      <w:pPr>
        <w:rPr>
          <w:szCs w:val="22"/>
        </w:rPr>
      </w:pPr>
      <w:r>
        <w:rPr>
          <w:szCs w:val="22"/>
        </w:rPr>
        <w:t xml:space="preserve">Bezbarvá čirá injekční lahvička ze skla typu II o objemu 10 ml </w:t>
      </w:r>
      <w:bookmarkStart w:id="5" w:name="_Hlk190676251"/>
      <w:r>
        <w:rPr>
          <w:szCs w:val="22"/>
        </w:rPr>
        <w:t>uzavřená brombutylovou zátkou typu I a hliníkovou pertlí.</w:t>
      </w:r>
    </w:p>
    <w:bookmarkEnd w:id="5"/>
    <w:p w14:paraId="25D5DF65" w14:textId="77777777" w:rsidR="00ED367A" w:rsidRDefault="00ED367A">
      <w:pPr>
        <w:rPr>
          <w:szCs w:val="22"/>
        </w:rPr>
      </w:pPr>
    </w:p>
    <w:p w14:paraId="18E7FDBC" w14:textId="77777777" w:rsidR="00ED367A" w:rsidRDefault="007A303B">
      <w:pPr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Velikosti balení:</w:t>
      </w:r>
    </w:p>
    <w:p w14:paraId="16FDD92F" w14:textId="77777777" w:rsidR="00ED367A" w:rsidRDefault="007A303B">
      <w:pPr>
        <w:rPr>
          <w:szCs w:val="22"/>
        </w:rPr>
      </w:pPr>
      <w:r>
        <w:rPr>
          <w:szCs w:val="22"/>
        </w:rPr>
        <w:t>Papírová krabička s 1 lahvičkou o objemu 10 ml.</w:t>
      </w:r>
    </w:p>
    <w:p w14:paraId="2381A948" w14:textId="77777777" w:rsidR="00ED367A" w:rsidRDefault="007A303B">
      <w:pPr>
        <w:rPr>
          <w:szCs w:val="22"/>
        </w:rPr>
      </w:pPr>
      <w:r>
        <w:rPr>
          <w:szCs w:val="22"/>
        </w:rPr>
        <w:t>Papírová krabička s 5 lahvičkami o objemu 10 ml.</w:t>
      </w:r>
    </w:p>
    <w:p w14:paraId="4047F464" w14:textId="77777777" w:rsidR="00ED367A" w:rsidRDefault="007A303B">
      <w:pPr>
        <w:rPr>
          <w:szCs w:val="22"/>
        </w:rPr>
      </w:pPr>
      <w:r>
        <w:rPr>
          <w:szCs w:val="22"/>
        </w:rPr>
        <w:t>Papírová krabička s 10 lahvičkami o objemu 10 ml.</w:t>
      </w:r>
    </w:p>
    <w:p w14:paraId="237773E0" w14:textId="77777777" w:rsidR="00ED367A" w:rsidRDefault="00ED367A">
      <w:pPr>
        <w:rPr>
          <w:szCs w:val="22"/>
        </w:rPr>
      </w:pPr>
    </w:p>
    <w:p w14:paraId="38A52028" w14:textId="77777777" w:rsidR="00ED367A" w:rsidRDefault="007A303B">
      <w:pPr>
        <w:rPr>
          <w:szCs w:val="22"/>
        </w:rPr>
      </w:pPr>
      <w:r>
        <w:rPr>
          <w:szCs w:val="22"/>
        </w:rPr>
        <w:t>Na trhu nemusí být všechny velikosti balení.</w:t>
      </w:r>
    </w:p>
    <w:p w14:paraId="31CF78D2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7F5AE567" w14:textId="77777777" w:rsidR="00ED367A" w:rsidRDefault="007A303B" w:rsidP="00BC7721">
      <w:pPr>
        <w:pStyle w:val="Style1"/>
        <w:keepNext/>
      </w:pPr>
      <w:r>
        <w:t>5.5</w:t>
      </w:r>
      <w:r>
        <w:tab/>
        <w:t>Zvláštní opatření pro likvidaci nepoužitých veterinárních léčivých přípravků nebo odpadů, které pochází z těchto přípravků</w:t>
      </w:r>
    </w:p>
    <w:p w14:paraId="5D1FADCE" w14:textId="77777777" w:rsidR="00ED367A" w:rsidRDefault="00ED367A" w:rsidP="00BC772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4F22A0E" w14:textId="77777777" w:rsidR="0010423D" w:rsidRDefault="0010423D" w:rsidP="00BC7721">
      <w:pPr>
        <w:spacing w:line="240" w:lineRule="auto"/>
      </w:pPr>
      <w:r>
        <w:t>Léčivé přípravky se nesmí likvidovat prostřednictvím odpadní vody či domovního odpadu.</w:t>
      </w:r>
    </w:p>
    <w:p w14:paraId="0F4BB958" w14:textId="77777777" w:rsidR="00ED367A" w:rsidRDefault="00ED367A" w:rsidP="00BC7721">
      <w:pPr>
        <w:spacing w:line="240" w:lineRule="auto"/>
        <w:rPr>
          <w:szCs w:val="22"/>
        </w:rPr>
      </w:pPr>
    </w:p>
    <w:p w14:paraId="3E06CAA7" w14:textId="454A1993" w:rsidR="00ED367A" w:rsidRDefault="0010423D">
      <w:pPr>
        <w:tabs>
          <w:tab w:val="clear" w:pos="567"/>
        </w:tabs>
        <w:spacing w:line="240" w:lineRule="auto"/>
        <w:rPr>
          <w:szCs w:val="22"/>
        </w:rPr>
      </w:pPr>
      <w: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599431C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03B045DE" w14:textId="77777777" w:rsidR="00ED367A" w:rsidRDefault="007A303B">
      <w:pPr>
        <w:pStyle w:val="Style1"/>
      </w:pPr>
      <w:r>
        <w:t>6.</w:t>
      </w:r>
      <w:r>
        <w:tab/>
        <w:t>JMÉNO DRŽITELE ROZHODNUTÍ O REGISTRACI</w:t>
      </w:r>
    </w:p>
    <w:p w14:paraId="1C750E12" w14:textId="77777777" w:rsidR="00ED367A" w:rsidRDefault="00ED367A">
      <w:pPr>
        <w:pStyle w:val="Zkladntext"/>
        <w:jc w:val="left"/>
        <w:rPr>
          <w:szCs w:val="22"/>
        </w:rPr>
      </w:pPr>
    </w:p>
    <w:p w14:paraId="727CA3C8" w14:textId="1982E8B8" w:rsidR="00ED367A" w:rsidRDefault="007A303B">
      <w:pPr>
        <w:pStyle w:val="Zkladntext"/>
        <w:jc w:val="left"/>
        <w:rPr>
          <w:szCs w:val="22"/>
        </w:rPr>
      </w:pPr>
      <w:proofErr w:type="spellStart"/>
      <w:r>
        <w:rPr>
          <w:szCs w:val="22"/>
        </w:rPr>
        <w:t>Laboratorios</w:t>
      </w:r>
      <w:proofErr w:type="spellEnd"/>
      <w:r>
        <w:rPr>
          <w:szCs w:val="22"/>
        </w:rPr>
        <w:t xml:space="preserve"> SYVA S.A.</w:t>
      </w:r>
    </w:p>
    <w:p w14:paraId="32A4169C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C042853" w14:textId="77777777" w:rsidR="00ED367A" w:rsidRDefault="007A303B">
      <w:pPr>
        <w:pStyle w:val="Style1"/>
      </w:pPr>
      <w:r>
        <w:t>7.</w:t>
      </w:r>
      <w:r>
        <w:tab/>
        <w:t>REGISTRAČNÍ ČÍSLO(A)</w:t>
      </w:r>
    </w:p>
    <w:p w14:paraId="268BE733" w14:textId="77777777" w:rsidR="00ED367A" w:rsidRDefault="00ED367A">
      <w:pPr>
        <w:rPr>
          <w:szCs w:val="22"/>
        </w:rPr>
      </w:pPr>
    </w:p>
    <w:p w14:paraId="5DFE025C" w14:textId="4E26AAB7" w:rsidR="00ED367A" w:rsidRDefault="007A303B">
      <w:pPr>
        <w:rPr>
          <w:szCs w:val="22"/>
        </w:rPr>
      </w:pPr>
      <w:r>
        <w:rPr>
          <w:szCs w:val="22"/>
        </w:rPr>
        <w:t>96/087/</w:t>
      </w:r>
      <w:proofErr w:type="gramStart"/>
      <w:r>
        <w:rPr>
          <w:szCs w:val="22"/>
        </w:rPr>
        <w:t>11-C</w:t>
      </w:r>
      <w:proofErr w:type="gramEnd"/>
    </w:p>
    <w:p w14:paraId="74AD6EF1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3C86067E" w14:textId="77777777" w:rsidR="00ED367A" w:rsidRDefault="007A303B">
      <w:pPr>
        <w:pStyle w:val="Style1"/>
      </w:pPr>
      <w:r>
        <w:t>8.</w:t>
      </w:r>
      <w:r>
        <w:tab/>
        <w:t>DATUM PRVNÍ REGISTRACE</w:t>
      </w:r>
    </w:p>
    <w:p w14:paraId="7CB3DBD3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2D16C66A" w14:textId="3C702072" w:rsidR="00ED367A" w:rsidRDefault="007A303B">
      <w:pPr>
        <w:tabs>
          <w:tab w:val="clear" w:pos="567"/>
        </w:tabs>
        <w:spacing w:line="240" w:lineRule="auto"/>
        <w:rPr>
          <w:szCs w:val="22"/>
        </w:rPr>
      </w:pPr>
      <w:r>
        <w:t xml:space="preserve">Datum první registrace: </w:t>
      </w:r>
      <w:r>
        <w:rPr>
          <w:szCs w:val="22"/>
        </w:rPr>
        <w:t>17. 10. 2011</w:t>
      </w:r>
    </w:p>
    <w:p w14:paraId="5DC68E19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25463AC3" w14:textId="77777777" w:rsidR="00ED367A" w:rsidRDefault="007A303B">
      <w:pPr>
        <w:pStyle w:val="Style1"/>
      </w:pPr>
      <w:r>
        <w:t>9.</w:t>
      </w:r>
      <w:r>
        <w:tab/>
        <w:t>DATUM POSLEDNÍ AKTUALIZACE SOUHRNU ÚDAJŮ O PŘÍPRAVKU</w:t>
      </w:r>
    </w:p>
    <w:p w14:paraId="124910FA" w14:textId="77777777" w:rsidR="00ED367A" w:rsidRDefault="00ED367A">
      <w:pPr>
        <w:tabs>
          <w:tab w:val="clear" w:pos="567"/>
        </w:tabs>
        <w:spacing w:line="240" w:lineRule="auto"/>
      </w:pPr>
    </w:p>
    <w:p w14:paraId="7E75ED2C" w14:textId="03AED00E" w:rsidR="00D245B3" w:rsidRDefault="00C33288">
      <w:pPr>
        <w:ind w:right="-318"/>
        <w:rPr>
          <w:bCs/>
          <w:szCs w:val="22"/>
        </w:rPr>
      </w:pPr>
      <w:r>
        <w:rPr>
          <w:bCs/>
          <w:szCs w:val="22"/>
        </w:rPr>
        <w:t>06/2025</w:t>
      </w:r>
    </w:p>
    <w:p w14:paraId="56467DAC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695000B4" w14:textId="77777777" w:rsidR="00ED367A" w:rsidRDefault="007A303B">
      <w:pPr>
        <w:pStyle w:val="Style1"/>
      </w:pPr>
      <w:r>
        <w:t>10.</w:t>
      </w:r>
      <w:r>
        <w:tab/>
        <w:t>KLASIFIKACE VETERINÁRNÍCH LÉČIVÝCH PŘÍPRAVKŮ</w:t>
      </w:r>
    </w:p>
    <w:p w14:paraId="3D37F5B2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26D9949E" w14:textId="77777777" w:rsidR="00ED367A" w:rsidRDefault="007A303B">
      <w:pPr>
        <w:ind w:right="-318"/>
      </w:pPr>
      <w:r>
        <w:t>Veterinární léčivý přípravek je vydáván pouze na předpis.</w:t>
      </w:r>
    </w:p>
    <w:p w14:paraId="04273AE8" w14:textId="77777777" w:rsidR="00ED367A" w:rsidRDefault="00ED367A">
      <w:pPr>
        <w:ind w:right="-318"/>
        <w:rPr>
          <w:szCs w:val="22"/>
        </w:rPr>
      </w:pPr>
    </w:p>
    <w:p w14:paraId="700B9106" w14:textId="6EFD38FC" w:rsidR="00ED367A" w:rsidRDefault="007A303B">
      <w:pPr>
        <w:ind w:right="-318"/>
        <w:rPr>
          <w:i/>
          <w:szCs w:val="22"/>
        </w:rPr>
      </w:pPr>
      <w:bookmarkStart w:id="6" w:name="_Hlk73467306"/>
      <w:r>
        <w:t xml:space="preserve">Podrobné informace o tomto veterinárním léčivém přípravku jsou k dispozici v databázi přípravků Unie </w:t>
      </w:r>
      <w:r>
        <w:rPr>
          <w:szCs w:val="22"/>
        </w:rPr>
        <w:t>(</w:t>
      </w:r>
      <w:hyperlink r:id="rId8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>
        <w:rPr>
          <w:i/>
          <w:szCs w:val="22"/>
        </w:rPr>
        <w:t>.</w:t>
      </w:r>
    </w:p>
    <w:p w14:paraId="03801935" w14:textId="1302EAA4" w:rsidR="007A303B" w:rsidRDefault="007A303B">
      <w:pPr>
        <w:ind w:right="-318"/>
        <w:rPr>
          <w:i/>
          <w:szCs w:val="22"/>
        </w:rPr>
      </w:pPr>
    </w:p>
    <w:p w14:paraId="12BF77A4" w14:textId="77777777" w:rsidR="007A303B" w:rsidRPr="006012A4" w:rsidRDefault="007A303B" w:rsidP="007A303B">
      <w:pPr>
        <w:tabs>
          <w:tab w:val="left" w:pos="0"/>
        </w:tabs>
        <w:jc w:val="both"/>
      </w:pPr>
      <w:r w:rsidRPr="006012A4">
        <w:t>Podrobné informace o tomto veterinárním léčivém přípravku naleznete také v národní databázi (</w:t>
      </w:r>
      <w:hyperlink r:id="rId9" w:history="1">
        <w:r w:rsidRPr="006012A4">
          <w:rPr>
            <w:rStyle w:val="Hypertextovodkaz"/>
          </w:rPr>
          <w:t>https://www.uskvbl.cz</w:t>
        </w:r>
      </w:hyperlink>
      <w:r w:rsidRPr="006012A4">
        <w:t>).</w:t>
      </w:r>
    </w:p>
    <w:bookmarkEnd w:id="6"/>
    <w:p w14:paraId="5D3FFE2C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sectPr w:rsidR="00ED367A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A0C27" w14:textId="77777777" w:rsidR="002C0188" w:rsidRDefault="002C0188">
      <w:pPr>
        <w:spacing w:line="240" w:lineRule="auto"/>
      </w:pPr>
      <w:r>
        <w:separator/>
      </w:r>
    </w:p>
  </w:endnote>
  <w:endnote w:type="continuationSeparator" w:id="0">
    <w:p w14:paraId="15BCBE1E" w14:textId="77777777" w:rsidR="002C0188" w:rsidRDefault="002C0188">
      <w:pPr>
        <w:spacing w:line="240" w:lineRule="auto"/>
      </w:pPr>
      <w:r>
        <w:continuationSeparator/>
      </w:r>
    </w:p>
  </w:endnote>
  <w:endnote w:type="continuationNotice" w:id="1">
    <w:p w14:paraId="2A7F7E10" w14:textId="77777777" w:rsidR="002C0188" w:rsidRDefault="002C01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4C2B6" w14:textId="77777777" w:rsidR="00ED367A" w:rsidRDefault="007A303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321C1" w14:textId="77777777" w:rsidR="00ED367A" w:rsidRDefault="007A303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902BA" w14:textId="77777777" w:rsidR="002C0188" w:rsidRDefault="002C0188">
      <w:pPr>
        <w:spacing w:line="240" w:lineRule="auto"/>
      </w:pPr>
      <w:r>
        <w:separator/>
      </w:r>
    </w:p>
  </w:footnote>
  <w:footnote w:type="continuationSeparator" w:id="0">
    <w:p w14:paraId="04F3F8A7" w14:textId="77777777" w:rsidR="002C0188" w:rsidRDefault="002C0188">
      <w:pPr>
        <w:spacing w:line="240" w:lineRule="auto"/>
      </w:pPr>
      <w:r>
        <w:continuationSeparator/>
      </w:r>
    </w:p>
  </w:footnote>
  <w:footnote w:type="continuationNotice" w:id="1">
    <w:p w14:paraId="1D9249E3" w14:textId="77777777" w:rsidR="002C0188" w:rsidRDefault="002C01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FD242" w14:textId="2B4045CC" w:rsidR="00955089" w:rsidRDefault="00955089" w:rsidP="00955089"/>
  <w:p w14:paraId="3855CAC3" w14:textId="77777777" w:rsidR="00955089" w:rsidRDefault="009550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02CC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EEB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0CE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3ED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27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E871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A0F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864F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D89F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9CA743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36A52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E90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747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6C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92C3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67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AA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12F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31AE6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87C74E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7A078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AE25C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BBC446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85A4BC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9C020E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41C94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0B005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96EA82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B0604A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2EAB61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A8006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E6A18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68EC8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EFAD8E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132EBB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782C5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BF34C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ECDE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02C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FC8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87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CA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CA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86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223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DB074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508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4E0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42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8B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F69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07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32F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6B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401021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FF8CB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50BF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3463A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D03F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F696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ECF9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8ED2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88F7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3C464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F706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6C5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EA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2B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E4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C3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C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04F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C80411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1E80BF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C38EC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47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63C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1EC3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38E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2FE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AEA6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BA61F9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D0E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208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2C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0C64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26A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4A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27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AA8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43880F7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8EF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B4B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EC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0D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A226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D03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643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9A8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58E816E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87E5A5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0D8B36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732E69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1CACC1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2FA940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202ECA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A686E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F44474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D5EA34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32D4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C69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EC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2B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3238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E1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001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7EB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D984C8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1C8C11C" w:tentative="1">
      <w:start w:val="1"/>
      <w:numFmt w:val="lowerLetter"/>
      <w:lvlText w:val="%2."/>
      <w:lvlJc w:val="left"/>
      <w:pPr>
        <w:ind w:left="1440" w:hanging="360"/>
      </w:pPr>
    </w:lvl>
    <w:lvl w:ilvl="2" w:tplc="C1A68A28" w:tentative="1">
      <w:start w:val="1"/>
      <w:numFmt w:val="lowerRoman"/>
      <w:lvlText w:val="%3."/>
      <w:lvlJc w:val="right"/>
      <w:pPr>
        <w:ind w:left="2160" w:hanging="180"/>
      </w:pPr>
    </w:lvl>
    <w:lvl w:ilvl="3" w:tplc="89FE6218" w:tentative="1">
      <w:start w:val="1"/>
      <w:numFmt w:val="decimal"/>
      <w:lvlText w:val="%4."/>
      <w:lvlJc w:val="left"/>
      <w:pPr>
        <w:ind w:left="2880" w:hanging="360"/>
      </w:pPr>
    </w:lvl>
    <w:lvl w:ilvl="4" w:tplc="C652AE0E" w:tentative="1">
      <w:start w:val="1"/>
      <w:numFmt w:val="lowerLetter"/>
      <w:lvlText w:val="%5."/>
      <w:lvlJc w:val="left"/>
      <w:pPr>
        <w:ind w:left="3600" w:hanging="360"/>
      </w:pPr>
    </w:lvl>
    <w:lvl w:ilvl="5" w:tplc="F4FE408A" w:tentative="1">
      <w:start w:val="1"/>
      <w:numFmt w:val="lowerRoman"/>
      <w:lvlText w:val="%6."/>
      <w:lvlJc w:val="right"/>
      <w:pPr>
        <w:ind w:left="4320" w:hanging="180"/>
      </w:pPr>
    </w:lvl>
    <w:lvl w:ilvl="6" w:tplc="5A5CEC6E" w:tentative="1">
      <w:start w:val="1"/>
      <w:numFmt w:val="decimal"/>
      <w:lvlText w:val="%7."/>
      <w:lvlJc w:val="left"/>
      <w:pPr>
        <w:ind w:left="5040" w:hanging="360"/>
      </w:pPr>
    </w:lvl>
    <w:lvl w:ilvl="7" w:tplc="C1D8F2A6" w:tentative="1">
      <w:start w:val="1"/>
      <w:numFmt w:val="lowerLetter"/>
      <w:lvlText w:val="%8."/>
      <w:lvlJc w:val="left"/>
      <w:pPr>
        <w:ind w:left="5760" w:hanging="360"/>
      </w:pPr>
    </w:lvl>
    <w:lvl w:ilvl="8" w:tplc="8C700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D674BE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8A5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83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341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C7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508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8B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41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B63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76D2E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4F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064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A43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21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368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7C8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49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08C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843EDE6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C620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88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9A8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C0D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38BB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2B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64D0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7A1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886EEA8">
      <w:start w:val="1"/>
      <w:numFmt w:val="decimal"/>
      <w:lvlText w:val="%1."/>
      <w:lvlJc w:val="left"/>
      <w:pPr>
        <w:ind w:left="720" w:hanging="360"/>
      </w:pPr>
    </w:lvl>
    <w:lvl w:ilvl="1" w:tplc="59EE8172" w:tentative="1">
      <w:start w:val="1"/>
      <w:numFmt w:val="lowerLetter"/>
      <w:lvlText w:val="%2."/>
      <w:lvlJc w:val="left"/>
      <w:pPr>
        <w:ind w:left="1440" w:hanging="360"/>
      </w:pPr>
    </w:lvl>
    <w:lvl w:ilvl="2" w:tplc="6D5A832A" w:tentative="1">
      <w:start w:val="1"/>
      <w:numFmt w:val="lowerRoman"/>
      <w:lvlText w:val="%3."/>
      <w:lvlJc w:val="right"/>
      <w:pPr>
        <w:ind w:left="2160" w:hanging="180"/>
      </w:pPr>
    </w:lvl>
    <w:lvl w:ilvl="3" w:tplc="8B3E44A4" w:tentative="1">
      <w:start w:val="1"/>
      <w:numFmt w:val="decimal"/>
      <w:lvlText w:val="%4."/>
      <w:lvlJc w:val="left"/>
      <w:pPr>
        <w:ind w:left="2880" w:hanging="360"/>
      </w:pPr>
    </w:lvl>
    <w:lvl w:ilvl="4" w:tplc="C492B0D2" w:tentative="1">
      <w:start w:val="1"/>
      <w:numFmt w:val="lowerLetter"/>
      <w:lvlText w:val="%5."/>
      <w:lvlJc w:val="left"/>
      <w:pPr>
        <w:ind w:left="3600" w:hanging="360"/>
      </w:pPr>
    </w:lvl>
    <w:lvl w:ilvl="5" w:tplc="EC8EAEB4" w:tentative="1">
      <w:start w:val="1"/>
      <w:numFmt w:val="lowerRoman"/>
      <w:lvlText w:val="%6."/>
      <w:lvlJc w:val="right"/>
      <w:pPr>
        <w:ind w:left="4320" w:hanging="180"/>
      </w:pPr>
    </w:lvl>
    <w:lvl w:ilvl="6" w:tplc="DA464796" w:tentative="1">
      <w:start w:val="1"/>
      <w:numFmt w:val="decimal"/>
      <w:lvlText w:val="%7."/>
      <w:lvlJc w:val="left"/>
      <w:pPr>
        <w:ind w:left="5040" w:hanging="360"/>
      </w:pPr>
    </w:lvl>
    <w:lvl w:ilvl="7" w:tplc="C6B236E2" w:tentative="1">
      <w:start w:val="1"/>
      <w:numFmt w:val="lowerLetter"/>
      <w:lvlText w:val="%8."/>
      <w:lvlJc w:val="left"/>
      <w:pPr>
        <w:ind w:left="5760" w:hanging="360"/>
      </w:pPr>
    </w:lvl>
    <w:lvl w:ilvl="8" w:tplc="F14E0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B46C492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B861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66A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4A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8B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90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63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64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BC0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ED367A"/>
    <w:rsid w:val="0010423D"/>
    <w:rsid w:val="00273469"/>
    <w:rsid w:val="002C0188"/>
    <w:rsid w:val="003B62B7"/>
    <w:rsid w:val="003F03FA"/>
    <w:rsid w:val="0058583F"/>
    <w:rsid w:val="006952BA"/>
    <w:rsid w:val="007A303B"/>
    <w:rsid w:val="007D3115"/>
    <w:rsid w:val="008266FA"/>
    <w:rsid w:val="00905140"/>
    <w:rsid w:val="009522AA"/>
    <w:rsid w:val="00955089"/>
    <w:rsid w:val="00960B39"/>
    <w:rsid w:val="009B01E0"/>
    <w:rsid w:val="00AC26FB"/>
    <w:rsid w:val="00B47EF5"/>
    <w:rsid w:val="00B75440"/>
    <w:rsid w:val="00B810DA"/>
    <w:rsid w:val="00BB6621"/>
    <w:rsid w:val="00BC1556"/>
    <w:rsid w:val="00BC7721"/>
    <w:rsid w:val="00BF47A1"/>
    <w:rsid w:val="00C07B41"/>
    <w:rsid w:val="00C33288"/>
    <w:rsid w:val="00CE65E0"/>
    <w:rsid w:val="00D245B3"/>
    <w:rsid w:val="00DC7D1B"/>
    <w:rsid w:val="00E11FAB"/>
    <w:rsid w:val="00E93064"/>
    <w:rsid w:val="00ED367A"/>
    <w:rsid w:val="00F30318"/>
    <w:rsid w:val="00FA08A4"/>
    <w:rsid w:val="00F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76380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uiPriority w:val="99"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uiPriority w:val="99"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Helvetica" w:hAnsi="Helvetica"/>
      <w:lang w:eastAsia="en-US"/>
    </w:rPr>
  </w:style>
  <w:style w:type="paragraph" w:customStyle="1" w:styleId="Standard">
    <w:name w:val="Standard"/>
    <w:basedOn w:val="Normln"/>
    <w:next w:val="Normln"/>
    <w:link w:val="StandardChar"/>
    <w:uiPriority w:val="99"/>
    <w:pPr>
      <w:tabs>
        <w:tab w:val="clear" w:pos="567"/>
      </w:tabs>
      <w:autoSpaceDE w:val="0"/>
      <w:autoSpaceDN w:val="0"/>
      <w:adjustRightInd w:val="0"/>
      <w:spacing w:line="240" w:lineRule="auto"/>
    </w:pPr>
    <w:rPr>
      <w:rFonts w:ascii="Arial" w:hAnsi="Arial"/>
      <w:sz w:val="24"/>
      <w:szCs w:val="24"/>
      <w:lang w:val="nl-NL" w:eastAsia="nl-NL"/>
    </w:rPr>
  </w:style>
  <w:style w:type="character" w:customStyle="1" w:styleId="StandardChar">
    <w:name w:val="Standard Char"/>
    <w:basedOn w:val="Standardnpsmoodstavce"/>
    <w:link w:val="Standard"/>
    <w:uiPriority w:val="99"/>
    <w:rPr>
      <w:rFonts w:ascii="Arial" w:hAnsi="Arial"/>
      <w:sz w:val="24"/>
      <w:szCs w:val="24"/>
      <w:lang w:val="nl-NL" w:eastAsia="nl-NL"/>
    </w:rPr>
  </w:style>
  <w:style w:type="paragraph" w:styleId="Normlnweb">
    <w:name w:val="Normal (Web)"/>
    <w:basedOn w:val="Normln"/>
    <w:uiPriority w:val="99"/>
    <w:semiHidden/>
    <w:unhideWhenUsed/>
    <w:rPr>
      <w:sz w:val="24"/>
      <w:szCs w:val="24"/>
    </w:rPr>
  </w:style>
  <w:style w:type="character" w:styleId="slodku">
    <w:name w:val="line number"/>
    <w:basedOn w:val="Standardnpsmoodstavce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4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5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35530-A031-4BD3-A464-9FE718C4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1809</Words>
  <Characters>10674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Alzane, INN-Atipamezole hydrochloride</vt:lpstr>
      <vt:lpstr>Alzane, INN-Atipamezole hydrochloride</vt:lpstr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Alzane, INN-Atipamezole hydrochloride</dc:title>
  <dc:subject>EPAR</dc:subject>
  <dc:creator>CVMP</dc:creator>
  <cp:keywords>Alzane, INN-Atipamezole hydrochloride</cp:keywords>
  <cp:lastModifiedBy>Neugebauerová Kateřina</cp:lastModifiedBy>
  <cp:revision>24</cp:revision>
  <cp:lastPrinted>2025-06-17T09:21:00Z</cp:lastPrinted>
  <dcterms:created xsi:type="dcterms:W3CDTF">2025-02-28T09:14:00Z</dcterms:created>
  <dcterms:modified xsi:type="dcterms:W3CDTF">2025-06-17T09:21:00Z</dcterms:modified>
</cp:coreProperties>
</file>