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BA" w:rsidRDefault="00D267BA">
      <w:pPr>
        <w:ind w:right="113"/>
      </w:pPr>
    </w:p>
    <w:p w:rsidR="00D267BA" w:rsidRDefault="00D267BA">
      <w:pPr>
        <w:ind w:right="113"/>
        <w:jc w:val="center"/>
      </w:pPr>
      <w:r>
        <w:rPr>
          <w:b/>
          <w:bCs/>
        </w:rPr>
        <w:t>PŘÍBALOVÁ INFORMACE = ETIKETA</w:t>
      </w:r>
    </w:p>
    <w:p w:rsidR="00D267BA" w:rsidRDefault="00D267BA">
      <w:pPr>
        <w:jc w:val="center"/>
      </w:pPr>
    </w:p>
    <w:p w:rsidR="00D267BA" w:rsidRDefault="00D267BA">
      <w:pPr>
        <w:jc w:val="center"/>
      </w:pPr>
    </w:p>
    <w:p w:rsidR="00D267BA" w:rsidRDefault="00D267BA">
      <w:r>
        <w:rPr>
          <w:b/>
          <w:bCs/>
        </w:rPr>
        <w:t>1.</w:t>
      </w:r>
      <w:r>
        <w:rPr>
          <w:b/>
          <w:bCs/>
        </w:rPr>
        <w:tab/>
        <w:t>NÁZEV VETERINÁRNÍHO LÉČIVÉHO PŘÍPRAVKU</w:t>
      </w:r>
    </w:p>
    <w:p w:rsidR="00D267BA" w:rsidRDefault="00D267BA"/>
    <w:p w:rsidR="00D267BA" w:rsidRDefault="00D267BA">
      <w:pPr>
        <w:ind w:right="-318"/>
      </w:pPr>
      <w:r>
        <w:t>Amix vet T 100 mg/g premix pro medikaci krmiva</w:t>
      </w:r>
    </w:p>
    <w:p w:rsidR="00D267BA" w:rsidRDefault="00D267BA"/>
    <w:p w:rsidR="00D267BA" w:rsidRDefault="00D267BA">
      <w:pPr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OBSAH LÉČIVÝCH A OSTATNÍCH LÁTEK</w:t>
      </w:r>
    </w:p>
    <w:p w:rsidR="00D267BA" w:rsidRDefault="00D267BA"/>
    <w:p w:rsidR="00D267BA" w:rsidRDefault="00D267BA">
      <w:pPr>
        <w:rPr>
          <w:b/>
          <w:bCs/>
          <w:i/>
          <w:iCs/>
        </w:rPr>
      </w:pPr>
      <w:r>
        <w:t>Tiamulini hydrogenofumaras          100 g  v 1 kg</w:t>
      </w:r>
    </w:p>
    <w:p w:rsidR="00D267BA" w:rsidRDefault="00D267BA">
      <w:r>
        <w:t>Farina (ON 560775)</w:t>
      </w:r>
    </w:p>
    <w:p w:rsidR="00D267BA" w:rsidRDefault="00D267BA"/>
    <w:p w:rsidR="00D267BA" w:rsidRDefault="00D267BA">
      <w:pPr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>JMÉNO A ADRESA DRŽITELE ROZHODNUTÍ O REGISTRACI A DRŽITELE POVOLENÍ K VÝROBĚ, POKUD SE NESHODUJE</w:t>
      </w:r>
    </w:p>
    <w:p w:rsidR="00D267BA" w:rsidRDefault="00D267BA">
      <w:pPr>
        <w:rPr>
          <w:b/>
          <w:bCs/>
        </w:rPr>
      </w:pPr>
    </w:p>
    <w:p w:rsidR="00D267BA" w:rsidRDefault="00D267BA">
      <w:r>
        <w:rPr>
          <w:u w:val="single"/>
        </w:rPr>
        <w:t>Držitel registračního rozhodnutí a výrobce odpovědný za uvolnění šarže</w:t>
      </w:r>
      <w:r>
        <w:t>:</w:t>
      </w:r>
    </w:p>
    <w:p w:rsidR="00D267BA" w:rsidRDefault="00D267BA"/>
    <w:p w:rsidR="00D267BA" w:rsidRDefault="00D267BA">
      <w:pPr>
        <w:pStyle w:val="Heading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CYMEDICA spol. s r.o. </w:t>
      </w:r>
    </w:p>
    <w:p w:rsidR="00D267BA" w:rsidRDefault="00D267BA">
      <w:pPr>
        <w:pStyle w:val="Heading1"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Pod nádražím 853, CZ - 268 01 Hořovice</w:t>
      </w:r>
    </w:p>
    <w:p w:rsidR="00D267BA" w:rsidRDefault="00D267BA"/>
    <w:p w:rsidR="00D267BA" w:rsidRDefault="00D267BA"/>
    <w:p w:rsidR="00D267BA" w:rsidRDefault="00D267BA">
      <w:r>
        <w:rPr>
          <w:b/>
          <w:bCs/>
        </w:rPr>
        <w:t>4.</w:t>
      </w:r>
      <w:r>
        <w:rPr>
          <w:b/>
          <w:bCs/>
        </w:rPr>
        <w:tab/>
        <w:t>CÍLOVÝ DRUH ZVÍŘAT</w:t>
      </w:r>
    </w:p>
    <w:p w:rsidR="00D267BA" w:rsidRDefault="00D267BA"/>
    <w:p w:rsidR="00D267BA" w:rsidRDefault="00D267BA">
      <w:r>
        <w:t>Prasata</w:t>
      </w:r>
    </w:p>
    <w:p w:rsidR="00D267BA" w:rsidRDefault="00D267BA"/>
    <w:p w:rsidR="00D267BA" w:rsidRDefault="00D267BA">
      <w:pPr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INDIKACE</w:t>
      </w:r>
    </w:p>
    <w:p w:rsidR="00D267BA" w:rsidRDefault="00D267BA"/>
    <w:p w:rsidR="00D267BA" w:rsidRDefault="00D267BA">
      <w:pPr>
        <w:pStyle w:val="BodyTextIndent2"/>
        <w:ind w:firstLine="0"/>
      </w:pPr>
      <w:r>
        <w:t xml:space="preserve">Přípravek je určen k léčbě infekčních onemocnění prasat, především respiračního aparátu a zažívacího traktu, vyvolaných původci citlivými na tiamulin. </w:t>
      </w:r>
    </w:p>
    <w:p w:rsidR="00D267BA" w:rsidRDefault="00D267BA">
      <w:pPr>
        <w:pStyle w:val="BodyTextIndent2"/>
        <w:ind w:firstLine="0"/>
      </w:pPr>
      <w:r>
        <w:t>Jde zejména o léčbu enzootické pneumonie prasat (</w:t>
      </w:r>
      <w:r>
        <w:rPr>
          <w:i/>
          <w:iCs/>
        </w:rPr>
        <w:t>mykoplazmata</w:t>
      </w:r>
      <w:r>
        <w:t>) a dyzentérie prasat (</w:t>
      </w:r>
      <w:r>
        <w:rPr>
          <w:i/>
          <w:iCs/>
        </w:rPr>
        <w:t>brachyspiry</w:t>
      </w:r>
      <w:r>
        <w:t>).</w:t>
      </w:r>
    </w:p>
    <w:p w:rsidR="00D267BA" w:rsidRDefault="00D267BA"/>
    <w:p w:rsidR="00D267BA" w:rsidRDefault="00D267BA"/>
    <w:p w:rsidR="00D267BA" w:rsidRDefault="00D267BA">
      <w:r>
        <w:rPr>
          <w:b/>
          <w:bCs/>
        </w:rPr>
        <w:t>6.</w:t>
      </w:r>
      <w:r>
        <w:rPr>
          <w:b/>
          <w:bCs/>
        </w:rPr>
        <w:tab/>
        <w:t>DÁVKOVÁNÍ PRO KAŽDÝ DRUH</w:t>
      </w:r>
    </w:p>
    <w:p w:rsidR="00D267BA" w:rsidRDefault="00D267BA"/>
    <w:p w:rsidR="00D267BA" w:rsidRDefault="00D267BA">
      <w:pPr>
        <w:rPr>
          <w:b/>
          <w:bCs/>
        </w:rPr>
      </w:pPr>
      <w:r>
        <w:rPr>
          <w:i/>
          <w:iCs/>
          <w:u w:val="single"/>
        </w:rPr>
        <w:t>Léčba dyzentérie prasat:</w:t>
      </w:r>
      <w:r>
        <w:rPr>
          <w:i/>
          <w:iCs/>
        </w:rPr>
        <w:t xml:space="preserve">   </w:t>
      </w:r>
      <w:r>
        <w:t xml:space="preserve">1,0 – 1,5 kg přípravku / tunu  kompletní krmné směsi. </w:t>
      </w:r>
    </w:p>
    <w:p w:rsidR="00D267BA" w:rsidRDefault="00D267BA">
      <w:pPr>
        <w:rPr>
          <w:i/>
          <w:iCs/>
        </w:rPr>
      </w:pPr>
      <w:r>
        <w:rPr>
          <w:i/>
          <w:iCs/>
          <w:u w:val="single"/>
        </w:rPr>
        <w:t>Léčba enzootické pneumonie prasat:</w:t>
      </w:r>
      <w:r>
        <w:rPr>
          <w:i/>
          <w:iCs/>
        </w:rPr>
        <w:t xml:space="preserve"> </w:t>
      </w:r>
      <w:r>
        <w:t>2,0 kg přípravku / tunu kompletní krmné směsi</w:t>
      </w:r>
    </w:p>
    <w:p w:rsidR="00D267BA" w:rsidRDefault="00D267BA"/>
    <w:p w:rsidR="00D267BA" w:rsidRDefault="00D267BA"/>
    <w:p w:rsidR="00D267BA" w:rsidRDefault="00D267BA">
      <w:r>
        <w:rPr>
          <w:b/>
          <w:bCs/>
        </w:rPr>
        <w:t>7.</w:t>
      </w:r>
      <w:r>
        <w:rPr>
          <w:b/>
          <w:bCs/>
        </w:rPr>
        <w:tab/>
        <w:t>ZPŮSOB A CESTA PODÁNÍ</w:t>
      </w:r>
    </w:p>
    <w:p w:rsidR="00D267BA" w:rsidRDefault="00D267BA">
      <w:pPr>
        <w:pStyle w:val="BodyTextIndent3"/>
        <w:ind w:left="0"/>
      </w:pPr>
    </w:p>
    <w:p w:rsidR="00D267BA" w:rsidRDefault="00D267BA">
      <w:pPr>
        <w:pStyle w:val="BodyTextIndent3"/>
        <w:ind w:left="0"/>
      </w:pPr>
      <w:r>
        <w:t xml:space="preserve">Přípravek Amix vet T 100 mg/g premix pro medikaci krmiva. se podává prasatům zamíchaný  v kompletní krmné směsi. </w:t>
      </w:r>
    </w:p>
    <w:p w:rsidR="00D267BA" w:rsidRDefault="00D267BA"/>
    <w:p w:rsidR="00D267BA" w:rsidRDefault="00D267BA">
      <w:r>
        <w:rPr>
          <w:b/>
          <w:bCs/>
        </w:rPr>
        <w:t>8.</w:t>
      </w:r>
      <w:r>
        <w:rPr>
          <w:b/>
          <w:bCs/>
        </w:rPr>
        <w:tab/>
        <w:t>POKYN PRO SPRÁVNÉ PODÁNÍ</w:t>
      </w:r>
    </w:p>
    <w:p w:rsidR="00D267BA" w:rsidRDefault="00D267BA"/>
    <w:p w:rsidR="00D267BA" w:rsidRDefault="00D267BA">
      <w:pPr>
        <w:rPr>
          <w:i/>
          <w:iCs/>
          <w:u w:val="single"/>
        </w:rPr>
      </w:pPr>
      <w:r>
        <w:rPr>
          <w:i/>
          <w:iCs/>
          <w:u w:val="single"/>
        </w:rPr>
        <w:t>Léčba dyzentérie prasat:</w:t>
      </w:r>
    </w:p>
    <w:p w:rsidR="00D267BA" w:rsidRDefault="00D267BA">
      <w:pPr>
        <w:tabs>
          <w:tab w:val="left" w:pos="4678"/>
        </w:tabs>
      </w:pPr>
      <w:r>
        <w:t>Přípravek se důkladně zamíchá v množství 1,0 – 1,5 kg  premixu na 1  tunu kompletní krmné směsi (ekvivalent 100-150 g tiamulin hydrogenfumarátu/tunu) tj. 100 - 150 ppm, což přibližně odpovídá dávce 5 -  7,5 mg/kg ž.hm.</w:t>
      </w:r>
    </w:p>
    <w:p w:rsidR="00D267BA" w:rsidRDefault="00D267BA">
      <w:r>
        <w:t>Medikovaná krmná směs se krmí po dobu 7–10 dní.</w:t>
      </w:r>
    </w:p>
    <w:p w:rsidR="00D267BA" w:rsidRDefault="00D267BA">
      <w:pPr>
        <w:ind w:firstLine="567"/>
        <w:rPr>
          <w:i/>
          <w:iCs/>
          <w:u w:val="single"/>
        </w:rPr>
      </w:pPr>
    </w:p>
    <w:p w:rsidR="00D267BA" w:rsidRDefault="00D267BA">
      <w:pPr>
        <w:tabs>
          <w:tab w:val="left" w:pos="4678"/>
        </w:tabs>
      </w:pPr>
    </w:p>
    <w:p w:rsidR="00D267BA" w:rsidRDefault="00D267BA">
      <w:pPr>
        <w:rPr>
          <w:i/>
          <w:iCs/>
          <w:u w:val="single"/>
        </w:rPr>
      </w:pPr>
      <w:r>
        <w:rPr>
          <w:i/>
          <w:iCs/>
          <w:u w:val="single"/>
        </w:rPr>
        <w:t>Léčba enzootické pneumonie prasat:</w:t>
      </w:r>
    </w:p>
    <w:p w:rsidR="00D267BA" w:rsidRDefault="00D267BA">
      <w:pPr>
        <w:tabs>
          <w:tab w:val="left" w:pos="4678"/>
        </w:tabs>
      </w:pPr>
      <w:r>
        <w:t>Přípravek se důkladně zamíchá v množství 2,0 kg  premixu na 1  tunu kompletní krmné směsi (ekvivalent 200 g tiamulin hydrogenfumarátu /tunu) tj. 200 ppm, což přibližně odpovídá dávce 10 mg/kg ž.hm.</w:t>
      </w:r>
    </w:p>
    <w:p w:rsidR="00D267BA" w:rsidRDefault="00D267BA">
      <w:pPr>
        <w:rPr>
          <w:i/>
          <w:iCs/>
        </w:rPr>
      </w:pPr>
      <w:r>
        <w:t>Medikovaná krmná směs se krmí po dobu 7–10 dní.</w:t>
      </w:r>
    </w:p>
    <w:p w:rsidR="00D267BA" w:rsidRDefault="00D267BA"/>
    <w:p w:rsidR="00D267BA" w:rsidRDefault="00D267BA">
      <w:r>
        <w:t>Přípravek je vhodný i pro aplikaci gravidním nebo laktujícím zvířatům.</w:t>
      </w:r>
    </w:p>
    <w:p w:rsidR="00D267BA" w:rsidRDefault="00D267BA"/>
    <w:p w:rsidR="00D267BA" w:rsidRDefault="00D267BA">
      <w:pPr>
        <w:pStyle w:val="BodyTextIndent2"/>
        <w:ind w:firstLine="0"/>
      </w:pPr>
      <w:r>
        <w:t xml:space="preserve">Nedojde-li v průběhu pětidenní léčby přípravkem k projevům zlepšení klinického stavu, je nutno léčbu přerušit a přehodnotit diagnózu a terapii. </w:t>
      </w:r>
    </w:p>
    <w:p w:rsidR="00D267BA" w:rsidRDefault="00D267BA"/>
    <w:p w:rsidR="00D267BA" w:rsidRDefault="00D267BA">
      <w:r>
        <w:rPr>
          <w:b/>
          <w:bCs/>
        </w:rPr>
        <w:t>9.</w:t>
      </w:r>
      <w:r>
        <w:rPr>
          <w:b/>
          <w:bCs/>
        </w:rPr>
        <w:tab/>
        <w:t>KONTRAINDIKACE</w:t>
      </w:r>
    </w:p>
    <w:p w:rsidR="00D267BA" w:rsidRDefault="00D267BA"/>
    <w:p w:rsidR="00D267BA" w:rsidRDefault="00D267BA">
      <w:pPr>
        <w:rPr>
          <w:b/>
          <w:bCs/>
          <w:u w:val="single"/>
        </w:rPr>
      </w:pPr>
      <w:r>
        <w:t xml:space="preserve">Zvířatům se nesmí 7 dní před a 7 dní po aplikaci přípravku podávat monensin, narasin a salinomycin. </w:t>
      </w:r>
    </w:p>
    <w:p w:rsidR="00D267BA" w:rsidRDefault="00D267BA"/>
    <w:p w:rsidR="00D267BA" w:rsidRDefault="00D267BA"/>
    <w:p w:rsidR="00D267BA" w:rsidRDefault="00D267BA">
      <w:r>
        <w:rPr>
          <w:b/>
          <w:bCs/>
        </w:rPr>
        <w:t>10.</w:t>
      </w:r>
      <w:r>
        <w:rPr>
          <w:b/>
          <w:bCs/>
        </w:rPr>
        <w:tab/>
        <w:t>NEŽÁDOUCÍ ÚČINKY</w:t>
      </w:r>
    </w:p>
    <w:p w:rsidR="00D267BA" w:rsidRDefault="00D267BA"/>
    <w:p w:rsidR="00D267BA" w:rsidRDefault="00D267BA">
      <w:pPr>
        <w:tabs>
          <w:tab w:val="left" w:pos="3544"/>
        </w:tabs>
        <w:ind w:left="1134" w:hanging="1134"/>
      </w:pPr>
      <w:r>
        <w:t>Nejsou známy.</w:t>
      </w:r>
    </w:p>
    <w:p w:rsidR="00D267BA" w:rsidRDefault="00D267BA"/>
    <w:p w:rsidR="00D267BA" w:rsidRDefault="00D267BA"/>
    <w:p w:rsidR="00D267BA" w:rsidRDefault="00D267BA">
      <w:r>
        <w:rPr>
          <w:b/>
          <w:bCs/>
        </w:rPr>
        <w:t>11.</w:t>
      </w:r>
      <w:r>
        <w:rPr>
          <w:b/>
          <w:bCs/>
        </w:rPr>
        <w:tab/>
        <w:t xml:space="preserve">OCHRANNÁ LHŮTA </w:t>
      </w:r>
    </w:p>
    <w:p w:rsidR="00D267BA" w:rsidRDefault="00D267BA"/>
    <w:p w:rsidR="00D267BA" w:rsidRDefault="00D267BA">
      <w:pPr>
        <w:rPr>
          <w:b/>
          <w:bCs/>
        </w:rPr>
      </w:pPr>
      <w:r>
        <w:t>Maso prasat:   7 dnů</w:t>
      </w:r>
      <w:r>
        <w:tab/>
      </w:r>
    </w:p>
    <w:p w:rsidR="00D267BA" w:rsidRDefault="00D267BA"/>
    <w:p w:rsidR="00D267BA" w:rsidRDefault="00D267BA">
      <w:pPr>
        <w:rPr>
          <w:b/>
          <w:bCs/>
        </w:rPr>
      </w:pPr>
    </w:p>
    <w:p w:rsidR="00D267BA" w:rsidRDefault="00D267BA">
      <w:r>
        <w:rPr>
          <w:b/>
          <w:bCs/>
        </w:rPr>
        <w:t>12.</w:t>
      </w:r>
      <w:r>
        <w:rPr>
          <w:b/>
          <w:bCs/>
        </w:rPr>
        <w:tab/>
        <w:t>ZVLÁŠTNÍ PODMÍNKY PRO UCHOVÁVÁNÍ</w:t>
      </w:r>
    </w:p>
    <w:p w:rsidR="00D267BA" w:rsidRDefault="00D267BA"/>
    <w:p w:rsidR="00D267BA" w:rsidRDefault="00D267BA">
      <w:pPr>
        <w:ind w:left="420"/>
      </w:pPr>
      <w:r>
        <w:tab/>
        <w:t>Přípravek se skladuje v suchu při teplotě do 25</w:t>
      </w:r>
      <w:r>
        <w:sym w:font="Symbol" w:char="F0B0"/>
      </w:r>
      <w:r>
        <w:t>C, mimo dosah dětí.</w:t>
      </w:r>
    </w:p>
    <w:p w:rsidR="00D267BA" w:rsidRDefault="00D267BA"/>
    <w:p w:rsidR="00D267BA" w:rsidRDefault="00D267BA">
      <w:pPr>
        <w:ind w:right="-318"/>
        <w:rPr>
          <w:b/>
          <w:bCs/>
        </w:rPr>
      </w:pPr>
      <w:r>
        <w:rPr>
          <w:b/>
          <w:bCs/>
        </w:rPr>
        <w:t>13.</w:t>
      </w:r>
      <w:r>
        <w:rPr>
          <w:b/>
          <w:bCs/>
        </w:rPr>
        <w:tab/>
        <w:t>EXSPIRACE</w:t>
      </w:r>
    </w:p>
    <w:p w:rsidR="00D267BA" w:rsidRDefault="00D267BA">
      <w:pPr>
        <w:ind w:right="-318"/>
      </w:pPr>
      <w:r>
        <w:t>Doba použitelnosti veterinárního léčivého přípravku v neporušeném obalu:    2 roky</w:t>
      </w:r>
    </w:p>
    <w:p w:rsidR="00D267BA" w:rsidRDefault="00D267BA">
      <w:pPr>
        <w:ind w:right="-318"/>
      </w:pPr>
      <w:r>
        <w:t>Doba použitelnosti po prvním otevření balení:</w:t>
      </w:r>
      <w:r>
        <w:tab/>
        <w:t xml:space="preserve"> 30 dní</w:t>
      </w:r>
    </w:p>
    <w:p w:rsidR="00D267BA" w:rsidRDefault="00D267BA">
      <w:pPr>
        <w:ind w:right="-318"/>
      </w:pPr>
      <w:r>
        <w:t xml:space="preserve">Doba použitelnosti po zamíchání do krmiva : </w:t>
      </w:r>
      <w:r>
        <w:tab/>
        <w:t>3 měsíce</w:t>
      </w:r>
    </w:p>
    <w:p w:rsidR="00D267BA" w:rsidRDefault="00D267BA"/>
    <w:p w:rsidR="00D267BA" w:rsidRDefault="00D267BA">
      <w:pPr>
        <w:rPr>
          <w:b/>
          <w:bCs/>
        </w:rPr>
      </w:pPr>
      <w:r>
        <w:rPr>
          <w:b/>
          <w:bCs/>
        </w:rPr>
        <w:t>14.</w:t>
      </w:r>
      <w:r>
        <w:rPr>
          <w:b/>
          <w:bCs/>
        </w:rPr>
        <w:tab/>
        <w:t>ZVLÁŠTNÍ UPOZORNĚNÍ</w:t>
      </w:r>
    </w:p>
    <w:p w:rsidR="00D267BA" w:rsidRDefault="00D267BA"/>
    <w:p w:rsidR="00D267BA" w:rsidRDefault="00D267BA">
      <w:r>
        <w:t>Aktivní složka přípravku je v koncentrovaném stavu dráždivá. Při přípravě medikovaného krmiva by se měly používat osobní ochranné prostředky, chránit si oči a používat ochrannou masku, chránit si kůži a sliznice. Je nutno zabránit víření prachových komponent. Po manipulaci s přípravkem je nutno si umýt ruce.</w:t>
      </w:r>
    </w:p>
    <w:p w:rsidR="00D267BA" w:rsidRDefault="00D267BA"/>
    <w:p w:rsidR="00D267BA" w:rsidRDefault="00D267BA">
      <w:pPr>
        <w:rPr>
          <w:b/>
          <w:bCs/>
        </w:rPr>
      </w:pPr>
      <w:r>
        <w:rPr>
          <w:b/>
          <w:bCs/>
        </w:rPr>
        <w:t>15.</w:t>
      </w:r>
      <w:r>
        <w:rPr>
          <w:b/>
          <w:bCs/>
        </w:rPr>
        <w:tab/>
        <w:t>ZVLÁŠTNÍ OPATŘENÍ PRO ZNEŠKODŇOVÁNÍ NEPOUŽITÉHO PŘÍPRAVKU NEBO ODPADU, POKUD JE JICH TŘEBA</w:t>
      </w:r>
    </w:p>
    <w:p w:rsidR="00D267BA" w:rsidRDefault="00D267BA">
      <w:pPr>
        <w:ind w:right="-318"/>
      </w:pPr>
    </w:p>
    <w:p w:rsidR="00D267BA" w:rsidRDefault="00D267BA">
      <w:pPr>
        <w:ind w:right="-318"/>
        <w:rPr>
          <w:i/>
          <w:iCs/>
        </w:rPr>
      </w:pPr>
      <w:r>
        <w:t xml:space="preserve">Všechen nepoužitý veterinární léčivý přípravek nebo odpad, který pochází z tohoto přípravku, musí být likvidován podle místních právních předpisů. </w:t>
      </w:r>
    </w:p>
    <w:p w:rsidR="00D267BA" w:rsidRDefault="00D267BA"/>
    <w:p w:rsidR="00D267BA" w:rsidRDefault="00D267BA">
      <w:pPr>
        <w:ind w:right="-318"/>
      </w:pPr>
    </w:p>
    <w:p w:rsidR="00D267BA" w:rsidRDefault="00D267BA">
      <w:r>
        <w:rPr>
          <w:b/>
          <w:bCs/>
        </w:rPr>
        <w:t>15.</w:t>
      </w:r>
      <w:r>
        <w:rPr>
          <w:b/>
          <w:bCs/>
        </w:rPr>
        <w:tab/>
        <w:t>DATUM POSLEDNÍ REVIZE PŘÍBALOVÉ INFORMACE</w:t>
      </w:r>
    </w:p>
    <w:p w:rsidR="00D267BA" w:rsidRDefault="00D267BA">
      <w:pPr>
        <w:ind w:right="-318"/>
      </w:pPr>
    </w:p>
    <w:p w:rsidR="00D267BA" w:rsidRDefault="00D267BA" w:rsidP="007E3AEF">
      <w:pPr>
        <w:ind w:firstLine="2"/>
      </w:pPr>
      <w:r>
        <w:rPr>
          <w:b/>
          <w:bCs/>
        </w:rPr>
        <w:t>Leden  2011</w:t>
      </w:r>
    </w:p>
    <w:p w:rsidR="00D267BA" w:rsidRDefault="00D267BA">
      <w:pPr>
        <w:ind w:right="-318"/>
      </w:pPr>
    </w:p>
    <w:p w:rsidR="00D267BA" w:rsidRDefault="00D267BA">
      <w:pPr>
        <w:rPr>
          <w:b/>
          <w:bCs/>
        </w:rPr>
      </w:pPr>
      <w:r>
        <w:rPr>
          <w:b/>
          <w:bCs/>
        </w:rPr>
        <w:t>16.</w:t>
      </w:r>
      <w:r>
        <w:rPr>
          <w:b/>
          <w:bCs/>
        </w:rPr>
        <w:tab/>
        <w:t>DALŠÍ INFORMACE</w:t>
      </w:r>
    </w:p>
    <w:p w:rsidR="00D267BA" w:rsidRDefault="00D267BA">
      <w:pPr>
        <w:rPr>
          <w:b/>
          <w:bCs/>
        </w:rPr>
      </w:pPr>
    </w:p>
    <w:p w:rsidR="00D267BA" w:rsidRDefault="00D267BA">
      <w:r>
        <w:t>Nepodávat současně s přípravky monensin, narasin a salinomycin</w:t>
      </w:r>
    </w:p>
    <w:p w:rsidR="00D267BA" w:rsidRDefault="00D267BA">
      <w:pPr>
        <w:rPr>
          <w:b/>
          <w:bCs/>
        </w:rPr>
      </w:pPr>
    </w:p>
    <w:p w:rsidR="00D267BA" w:rsidRDefault="00D267BA">
      <w:r>
        <w:t>Pouze pro zvířata.</w:t>
      </w:r>
    </w:p>
    <w:p w:rsidR="00D267BA" w:rsidRDefault="00D267BA"/>
    <w:p w:rsidR="00D267BA" w:rsidRDefault="00D267BA">
      <w:pPr>
        <w:ind w:right="566"/>
      </w:pPr>
      <w:r>
        <w:t>Veterinární léčivý přípravek je vydáván pouze na předpis.</w:t>
      </w:r>
    </w:p>
    <w:p w:rsidR="00D267BA" w:rsidRDefault="00D267BA">
      <w:pPr>
        <w:ind w:right="566"/>
      </w:pPr>
    </w:p>
    <w:p w:rsidR="00D267BA" w:rsidRDefault="00D267BA">
      <w:pPr>
        <w:ind w:right="566"/>
      </w:pPr>
      <w:r>
        <w:t>Musí být respektována úřední pravidla pro míchání medikovaných premixů do konečných krmiv.</w:t>
      </w:r>
    </w:p>
    <w:p w:rsidR="00D267BA" w:rsidRDefault="00D267BA">
      <w:pPr>
        <w:ind w:right="566"/>
      </w:pPr>
    </w:p>
    <w:p w:rsidR="00D267BA" w:rsidRDefault="00D267BA">
      <w:pPr>
        <w:rPr>
          <w:b/>
          <w:bCs/>
        </w:rPr>
      </w:pPr>
      <w:r>
        <w:t>Balení po 10 kg ( 20 kg a 25 kg )</w:t>
      </w:r>
    </w:p>
    <w:p w:rsidR="00D267BA" w:rsidRDefault="00D267BA"/>
    <w:p w:rsidR="00D267BA" w:rsidRDefault="00D267BA">
      <w:pPr>
        <w:ind w:right="-2"/>
      </w:pPr>
      <w:r>
        <w:t>Pokud chcete získat informace o tomto veterinárním léčivém přípravku, prosím, kontaktujte příslušného reprezentanta držitele rozhodnutí o registraci.</w:t>
      </w:r>
    </w:p>
    <w:p w:rsidR="00D267BA" w:rsidRDefault="00D267BA">
      <w:pPr>
        <w:tabs>
          <w:tab w:val="left" w:pos="-720"/>
        </w:tabs>
        <w:suppressAutoHyphens/>
        <w:rPr>
          <w:b/>
          <w:bCs/>
        </w:rPr>
      </w:pPr>
    </w:p>
    <w:p w:rsidR="00D267BA" w:rsidRDefault="00D267BA">
      <w:pPr>
        <w:tabs>
          <w:tab w:val="left" w:pos="-720"/>
        </w:tabs>
        <w:suppressAutoHyphens/>
        <w:rPr>
          <w:b/>
          <w:bCs/>
        </w:rPr>
      </w:pPr>
    </w:p>
    <w:p w:rsidR="00D267BA" w:rsidRDefault="00D267BA">
      <w:pPr>
        <w:tabs>
          <w:tab w:val="left" w:pos="-720"/>
        </w:tabs>
        <w:suppressAutoHyphens/>
        <w:rPr>
          <w:b/>
          <w:bCs/>
        </w:rPr>
      </w:pPr>
      <w:r>
        <w:rPr>
          <w:b/>
          <w:bCs/>
        </w:rPr>
        <w:t>Požitelnost do:</w:t>
      </w:r>
    </w:p>
    <w:p w:rsidR="00D267BA" w:rsidRDefault="00D267BA">
      <w:pPr>
        <w:tabs>
          <w:tab w:val="left" w:pos="-720"/>
        </w:tabs>
        <w:suppressAutoHyphens/>
        <w:rPr>
          <w:b/>
          <w:bCs/>
        </w:rPr>
      </w:pPr>
    </w:p>
    <w:p w:rsidR="00D267BA" w:rsidRDefault="00D267BA">
      <w:pPr>
        <w:tabs>
          <w:tab w:val="left" w:pos="-720"/>
        </w:tabs>
        <w:suppressAutoHyphens/>
        <w:rPr>
          <w:b/>
          <w:bCs/>
        </w:rPr>
      </w:pPr>
      <w:r>
        <w:rPr>
          <w:b/>
          <w:bCs/>
        </w:rPr>
        <w:t>Reg.číslo: 98/164/98-C</w:t>
      </w:r>
    </w:p>
    <w:p w:rsidR="00D267BA" w:rsidRDefault="00D267BA">
      <w:pPr>
        <w:tabs>
          <w:tab w:val="left" w:pos="-720"/>
        </w:tabs>
        <w:suppressAutoHyphens/>
        <w:rPr>
          <w:b/>
          <w:bCs/>
        </w:rPr>
      </w:pPr>
    </w:p>
    <w:p w:rsidR="00D267BA" w:rsidRDefault="00D267BA">
      <w:pPr>
        <w:tabs>
          <w:tab w:val="left" w:pos="-720"/>
        </w:tabs>
        <w:suppressAutoHyphens/>
        <w:rPr>
          <w:b/>
          <w:bCs/>
        </w:rPr>
      </w:pPr>
      <w:r>
        <w:rPr>
          <w:b/>
          <w:bCs/>
        </w:rPr>
        <w:t>Číslo šarže:</w:t>
      </w:r>
    </w:p>
    <w:p w:rsidR="00D267BA" w:rsidRDefault="00D267BA"/>
    <w:sectPr w:rsidR="00D267BA" w:rsidSect="0030053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multilevel"/>
    <w:tmpl w:val="AE14A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6">
    <w:nsid w:val="1FBF0E2B"/>
    <w:multiLevelType w:val="multilevel"/>
    <w:tmpl w:val="8E0A8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0C013F"/>
    <w:multiLevelType w:val="multilevel"/>
    <w:tmpl w:val="D870C0DC"/>
    <w:lvl w:ilvl="0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0">
    <w:nsid w:val="3558352E"/>
    <w:multiLevelType w:val="multilevel"/>
    <w:tmpl w:val="C38EB98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1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6D96073"/>
    <w:multiLevelType w:val="multilevel"/>
    <w:tmpl w:val="CA663C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67373A9"/>
    <w:multiLevelType w:val="multilevel"/>
    <w:tmpl w:val="E3BA04E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5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6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bCs/>
      </w:rPr>
    </w:lvl>
  </w:abstractNum>
  <w:abstractNum w:abstractNumId="17">
    <w:nsid w:val="5B591D47"/>
    <w:multiLevelType w:val="multilevel"/>
    <w:tmpl w:val="E8ACA836"/>
    <w:lvl w:ilvl="0">
      <w:start w:val="1"/>
      <w:numFmt w:val="bullet"/>
      <w:pStyle w:val="Normal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9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22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23">
    <w:nsid w:val="71FB76EB"/>
    <w:multiLevelType w:val="multilevel"/>
    <w:tmpl w:val="CC66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C77C2D"/>
    <w:multiLevelType w:val="multilevel"/>
    <w:tmpl w:val="37E4A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7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4">
    <w:abstractNumId w:val="22"/>
  </w:num>
  <w:num w:numId="5">
    <w:abstractNumId w:val="21"/>
  </w:num>
  <w:num w:numId="6">
    <w:abstractNumId w:val="8"/>
  </w:num>
  <w:num w:numId="7">
    <w:abstractNumId w:val="15"/>
  </w:num>
  <w:num w:numId="8">
    <w:abstractNumId w:val="14"/>
  </w:num>
  <w:num w:numId="9">
    <w:abstractNumId w:val="5"/>
  </w:num>
  <w:num w:numId="10">
    <w:abstractNumId w:val="19"/>
  </w:num>
  <w:num w:numId="11">
    <w:abstractNumId w:val="20"/>
  </w:num>
  <w:num w:numId="12">
    <w:abstractNumId w:val="11"/>
  </w:num>
  <w:num w:numId="13">
    <w:abstractNumId w:val="9"/>
  </w:num>
  <w:num w:numId="14">
    <w:abstractNumId w:val="2"/>
  </w:num>
  <w:num w:numId="15">
    <w:abstractNumId w:val="18"/>
  </w:num>
  <w:num w:numId="16">
    <w:abstractNumId w:val="13"/>
  </w:num>
  <w:num w:numId="17">
    <w:abstractNumId w:val="23"/>
  </w:num>
  <w:num w:numId="18">
    <w:abstractNumId w:val="6"/>
  </w:num>
  <w:num w:numId="19">
    <w:abstractNumId w:val="1"/>
  </w:num>
  <w:num w:numId="20">
    <w:abstractNumId w:val="12"/>
  </w:num>
  <w:num w:numId="21">
    <w:abstractNumId w:val="3"/>
  </w:num>
  <w:num w:numId="22">
    <w:abstractNumId w:val="4"/>
  </w:num>
  <w:num w:numId="23">
    <w:abstractNumId w:val="16"/>
  </w:num>
  <w:num w:numId="24">
    <w:abstractNumId w:val="7"/>
  </w:num>
  <w:num w:numId="25">
    <w:abstractNumId w:val="24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05E"/>
    <w:rsid w:val="001736DA"/>
    <w:rsid w:val="00190818"/>
    <w:rsid w:val="0030053D"/>
    <w:rsid w:val="004E4193"/>
    <w:rsid w:val="00567FF6"/>
    <w:rsid w:val="007E3AEF"/>
    <w:rsid w:val="00AC0151"/>
    <w:rsid w:val="00B509F6"/>
    <w:rsid w:val="00D1305E"/>
    <w:rsid w:val="00D267BA"/>
    <w:rsid w:val="00D91F73"/>
    <w:rsid w:val="00EA0100"/>
    <w:rsid w:val="00EE25F6"/>
    <w:rsid w:val="00F6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1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4193"/>
    <w:pPr>
      <w:keepNext/>
      <w:ind w:firstLine="70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14B4"/>
    <w:rPr>
      <w:rFonts w:ascii="Cambria" w:hAnsi="Cambria" w:cs="Cambria"/>
      <w:b/>
      <w:bCs/>
      <w:kern w:val="32"/>
      <w:sz w:val="32"/>
      <w:szCs w:val="32"/>
    </w:rPr>
  </w:style>
  <w:style w:type="paragraph" w:customStyle="1" w:styleId="Bullet">
    <w:name w:val="Bullet"/>
    <w:basedOn w:val="Normal"/>
    <w:uiPriority w:val="99"/>
    <w:rsid w:val="004E4193"/>
    <w:pPr>
      <w:numPr>
        <w:numId w:val="2"/>
      </w:numPr>
    </w:pPr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4E4193"/>
    <w:pPr>
      <w:ind w:firstLine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614B4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E4193"/>
    <w:pPr>
      <w:ind w:left="567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614B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519</Words>
  <Characters>3064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subject/>
  <dc:creator>MVDr. Eduard Jiran, DrSc.</dc:creator>
  <cp:keywords/>
  <dc:description/>
  <cp:lastModifiedBy>neugebauerova</cp:lastModifiedBy>
  <cp:revision>10</cp:revision>
  <dcterms:created xsi:type="dcterms:W3CDTF">2004-11-24T11:01:00Z</dcterms:created>
  <dcterms:modified xsi:type="dcterms:W3CDTF">2011-01-17T12:02:00Z</dcterms:modified>
</cp:coreProperties>
</file>