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center"/>
        <w:rPr>
          <w:b/>
        </w:rPr>
      </w:pPr>
      <w:r>
        <w:rPr>
          <w:b/>
        </w:rPr>
        <w:t>PŘÍLOHA I</w:t>
      </w:r>
    </w:p>
    <w:p w:rsidR="001B221C" w:rsidRDefault="001B221C" w:rsidP="001B221C">
      <w:pPr>
        <w:jc w:val="center"/>
        <w:rPr>
          <w:b/>
        </w:rPr>
      </w:pPr>
    </w:p>
    <w:p w:rsidR="001B221C" w:rsidRDefault="001B221C" w:rsidP="001B221C">
      <w:pPr>
        <w:jc w:val="center"/>
        <w:rPr>
          <w:b/>
        </w:rPr>
      </w:pPr>
      <w:r>
        <w:rPr>
          <w:b/>
        </w:rPr>
        <w:t>SOUHRN ÚDAJŮ O PŘÍPRAVKU</w:t>
      </w:r>
    </w:p>
    <w:p w:rsidR="001B221C" w:rsidRDefault="001B221C" w:rsidP="001B221C">
      <w:pPr>
        <w:jc w:val="center"/>
      </w:pPr>
    </w:p>
    <w:p w:rsidR="001B221C" w:rsidRDefault="001B221C" w:rsidP="001B221C">
      <w:pPr>
        <w:jc w:val="both"/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:rsidR="001B221C" w:rsidRDefault="001B221C" w:rsidP="001B221C">
      <w:pPr>
        <w:jc w:val="both"/>
      </w:pPr>
    </w:p>
    <w:p w:rsidR="001B221C" w:rsidRDefault="001B221C" w:rsidP="001B221C">
      <w:pPr>
        <w:ind w:left="0" w:firstLine="0"/>
        <w:jc w:val="both"/>
      </w:pPr>
      <w:proofErr w:type="spellStart"/>
      <w:r>
        <w:t>Bexepril</w:t>
      </w:r>
      <w:proofErr w:type="spellEnd"/>
      <w:r>
        <w:t xml:space="preserve"> 20 mg </w:t>
      </w:r>
      <w:r w:rsidRPr="00277A4B">
        <w:t>potahované tablety pro psy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  <w:rPr>
          <w:b/>
        </w:rPr>
      </w:pPr>
      <w:r>
        <w:rPr>
          <w:b/>
        </w:rPr>
        <w:t>Léčivá látka:</w:t>
      </w:r>
    </w:p>
    <w:p w:rsidR="001B221C" w:rsidRDefault="001B221C" w:rsidP="001B221C">
      <w:pPr>
        <w:tabs>
          <w:tab w:val="left" w:pos="1701"/>
        </w:tabs>
        <w:jc w:val="both"/>
        <w:rPr>
          <w:iCs/>
        </w:rPr>
      </w:pPr>
      <w:r>
        <w:rPr>
          <w:iCs/>
        </w:rPr>
        <w:t>Každá tableta obsahuje:</w:t>
      </w:r>
    </w:p>
    <w:p w:rsidR="001B221C" w:rsidRDefault="001B221C" w:rsidP="001B221C">
      <w:pPr>
        <w:tabs>
          <w:tab w:val="left" w:pos="1701"/>
        </w:tabs>
        <w:jc w:val="both"/>
        <w:rPr>
          <w:iCs/>
        </w:rPr>
      </w:pPr>
      <w:proofErr w:type="spellStart"/>
      <w:r>
        <w:rPr>
          <w:iCs/>
        </w:rPr>
        <w:t>Benazeprilum</w:t>
      </w:r>
      <w:proofErr w:type="spellEnd"/>
      <w:r>
        <w:rPr>
          <w:iCs/>
        </w:rPr>
        <w:t xml:space="preserve"> 18,42 mg</w:t>
      </w:r>
    </w:p>
    <w:p w:rsidR="001B221C" w:rsidRDefault="001B221C" w:rsidP="001B221C">
      <w:pPr>
        <w:tabs>
          <w:tab w:val="left" w:pos="1701"/>
        </w:tabs>
        <w:jc w:val="both"/>
        <w:rPr>
          <w:iCs/>
        </w:rPr>
      </w:pPr>
      <w:r>
        <w:rPr>
          <w:iCs/>
        </w:rPr>
        <w:t>(</w:t>
      </w:r>
      <w:r w:rsidR="000F46FC">
        <w:rPr>
          <w:iCs/>
        </w:rPr>
        <w:t xml:space="preserve">což odpovídá </w:t>
      </w:r>
      <w:proofErr w:type="spellStart"/>
      <w:r w:rsidR="000F46FC">
        <w:rPr>
          <w:iCs/>
        </w:rPr>
        <w:t>b</w:t>
      </w:r>
      <w:r>
        <w:rPr>
          <w:iCs/>
        </w:rPr>
        <w:t>enazeprili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hydrochloridum</w:t>
      </w:r>
      <w:proofErr w:type="spellEnd"/>
      <w:r>
        <w:rPr>
          <w:iCs/>
        </w:rPr>
        <w:t xml:space="preserve"> 20 mg)</w:t>
      </w:r>
    </w:p>
    <w:p w:rsidR="001B221C" w:rsidRDefault="001B221C" w:rsidP="001B221C">
      <w:pPr>
        <w:tabs>
          <w:tab w:val="left" w:pos="1701"/>
        </w:tabs>
        <w:jc w:val="both"/>
        <w:rPr>
          <w:iCs/>
        </w:rPr>
      </w:pPr>
    </w:p>
    <w:p w:rsidR="001B221C" w:rsidRDefault="001B221C" w:rsidP="001B221C">
      <w:pPr>
        <w:ind w:left="0" w:firstLine="0"/>
        <w:jc w:val="both"/>
        <w:rPr>
          <w:b/>
        </w:rPr>
      </w:pPr>
      <w:r>
        <w:rPr>
          <w:b/>
        </w:rPr>
        <w:t>Pomocné látky:</w:t>
      </w:r>
    </w:p>
    <w:p w:rsidR="001B221C" w:rsidRDefault="001B221C" w:rsidP="001B221C">
      <w:pPr>
        <w:ind w:left="0" w:firstLine="0"/>
        <w:jc w:val="both"/>
      </w:pPr>
      <w:r w:rsidRPr="009C7D9B">
        <w:t>Oxid titaničitý (E171)</w:t>
      </w:r>
      <w:r w:rsidRPr="00E6565D">
        <w:rPr>
          <w:rFonts w:ascii="Arial" w:hAnsi="Arial" w:cs="Arial"/>
          <w:bCs/>
          <w:sz w:val="20"/>
          <w:lang w:val="es-ES"/>
        </w:rPr>
        <w:t xml:space="preserve"> </w:t>
      </w:r>
      <w:r w:rsidRPr="00E6565D">
        <w:rPr>
          <w:bCs/>
          <w:lang w:val="es-ES"/>
        </w:rPr>
        <w:t>3</w:t>
      </w:r>
      <w:r>
        <w:rPr>
          <w:bCs/>
          <w:lang w:val="es-ES"/>
        </w:rPr>
        <w:t>,</w:t>
      </w:r>
      <w:r w:rsidRPr="00E6565D">
        <w:rPr>
          <w:bCs/>
          <w:lang w:val="es-ES"/>
        </w:rPr>
        <w:t>4176</w:t>
      </w:r>
      <w:r>
        <w:rPr>
          <w:bCs/>
          <w:lang w:val="es-ES"/>
        </w:rPr>
        <w:t xml:space="preserve"> </w:t>
      </w:r>
      <w:r w:rsidRPr="00E6565D">
        <w:rPr>
          <w:bCs/>
          <w:lang w:val="es-ES"/>
        </w:rPr>
        <w:t>mg</w:t>
      </w:r>
    </w:p>
    <w:p w:rsidR="001B221C" w:rsidRDefault="001B221C" w:rsidP="001B221C">
      <w:pPr>
        <w:ind w:left="0" w:firstLine="0"/>
        <w:jc w:val="both"/>
      </w:pPr>
      <w:r w:rsidRPr="00952F9E">
        <w:rPr>
          <w:caps/>
        </w:rPr>
        <w:t>ž</w:t>
      </w:r>
      <w:r>
        <w:t>lutý oxid železitý (E172)</w:t>
      </w:r>
      <w:r w:rsidRPr="00E6565D">
        <w:rPr>
          <w:rFonts w:ascii="Arial" w:hAnsi="Arial" w:cs="Arial"/>
          <w:sz w:val="20"/>
          <w:lang w:val="es-ES"/>
        </w:rPr>
        <w:t xml:space="preserve"> </w:t>
      </w:r>
      <w:r w:rsidRPr="00E6565D">
        <w:rPr>
          <w:lang w:val="es-ES"/>
        </w:rPr>
        <w:t>0</w:t>
      </w:r>
      <w:r>
        <w:rPr>
          <w:lang w:val="es-ES"/>
        </w:rPr>
        <w:t>,</w:t>
      </w:r>
      <w:r w:rsidRPr="00E6565D">
        <w:rPr>
          <w:lang w:val="es-ES"/>
        </w:rPr>
        <w:t>3424</w:t>
      </w:r>
      <w:r>
        <w:rPr>
          <w:lang w:val="es-ES"/>
        </w:rPr>
        <w:t xml:space="preserve"> </w:t>
      </w:r>
      <w:r w:rsidRPr="00E6565D">
        <w:rPr>
          <w:lang w:val="es-ES"/>
        </w:rPr>
        <w:t>mg</w:t>
      </w:r>
    </w:p>
    <w:p w:rsidR="001B221C" w:rsidRPr="009C7D9B" w:rsidRDefault="001B221C" w:rsidP="001B221C">
      <w:pPr>
        <w:ind w:left="0" w:firstLine="0"/>
        <w:jc w:val="both"/>
      </w:pPr>
      <w:r>
        <w:t>Červený oxid železitý (E172)</w:t>
      </w:r>
      <w:r w:rsidRPr="00E6565D">
        <w:rPr>
          <w:rFonts w:ascii="Arial" w:hAnsi="Arial" w:cs="Arial"/>
          <w:sz w:val="20"/>
          <w:lang w:val="es-ES"/>
        </w:rPr>
        <w:t xml:space="preserve"> </w:t>
      </w:r>
      <w:r w:rsidRPr="00E6565D">
        <w:rPr>
          <w:lang w:val="es-ES"/>
        </w:rPr>
        <w:t>0</w:t>
      </w:r>
      <w:r>
        <w:rPr>
          <w:lang w:val="es-ES"/>
        </w:rPr>
        <w:t>,</w:t>
      </w:r>
      <w:r w:rsidRPr="00E6565D">
        <w:rPr>
          <w:lang w:val="es-ES"/>
        </w:rPr>
        <w:t>24</w:t>
      </w:r>
      <w:r>
        <w:rPr>
          <w:lang w:val="es-ES"/>
        </w:rPr>
        <w:t xml:space="preserve"> </w:t>
      </w:r>
      <w:r w:rsidRPr="00E6565D">
        <w:rPr>
          <w:lang w:val="es-ES"/>
        </w:rPr>
        <w:t>mg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t>Úplný seznam pomocných látek viz bod 6.1.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3.</w:t>
      </w:r>
      <w:r>
        <w:rPr>
          <w:b/>
        </w:rPr>
        <w:tab/>
        <w:t>LÉKOVÁ FORMA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t>Potahované tablety.</w:t>
      </w:r>
    </w:p>
    <w:p w:rsidR="001B221C" w:rsidRDefault="001B221C" w:rsidP="001B221C">
      <w:pPr>
        <w:ind w:left="0" w:firstLine="0"/>
        <w:jc w:val="both"/>
      </w:pPr>
      <w:r>
        <w:t>Červenooranžové, kulaté, bikonvexní tablety s </w:t>
      </w:r>
      <w:r w:rsidR="000F46FC">
        <w:t xml:space="preserve">křížovou dělící </w:t>
      </w:r>
      <w:r>
        <w:t xml:space="preserve">rýhou na jedné straně. </w:t>
      </w:r>
    </w:p>
    <w:p w:rsidR="001B221C" w:rsidRDefault="001B221C" w:rsidP="001B221C">
      <w:pPr>
        <w:ind w:left="0" w:firstLine="0"/>
        <w:jc w:val="both"/>
      </w:pPr>
      <w:bookmarkStart w:id="0" w:name="_Hlk153891090"/>
      <w:r>
        <w:t>Tablety lze dělit na stejné poloviny</w:t>
      </w:r>
      <w:r w:rsidR="000F46FC">
        <w:t xml:space="preserve"> nebo čtvrtiny</w:t>
      </w:r>
      <w:r>
        <w:t>.</w:t>
      </w:r>
      <w:bookmarkEnd w:id="0"/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4.</w:t>
      </w:r>
      <w:r>
        <w:rPr>
          <w:b/>
        </w:rPr>
        <w:tab/>
        <w:t>KLINICKÉ ÚDAJE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4.1</w:t>
      </w:r>
      <w:r>
        <w:rPr>
          <w:b/>
        </w:rPr>
        <w:tab/>
        <w:t>Cílové druhy zvířat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t>Psi.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4.2</w:t>
      </w:r>
      <w:r>
        <w:rPr>
          <w:b/>
        </w:rPr>
        <w:tab/>
        <w:t xml:space="preserve">Indikace s upřesněním pro cílový druh zvířat 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t>Pro psy vážící více než 40 kg:</w:t>
      </w:r>
    </w:p>
    <w:p w:rsidR="001B221C" w:rsidRDefault="001B221C" w:rsidP="001B221C">
      <w:pPr>
        <w:ind w:left="0" w:firstLine="0"/>
        <w:jc w:val="both"/>
      </w:pPr>
      <w:r>
        <w:t>Léčba městnavého srdečního selhání souvisejícího zejména s dilatační kardiomyopatií anebo mitrální insuficiencí.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4.3</w:t>
      </w:r>
      <w:r>
        <w:rPr>
          <w:b/>
        </w:rPr>
        <w:tab/>
        <w:t>Kontraindikace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t>Nepoužívat u psů s poruchami srdečního výdeje, například v důsledku aortální stenózy.</w:t>
      </w:r>
    </w:p>
    <w:p w:rsidR="001B221C" w:rsidRDefault="001B221C" w:rsidP="001B221C">
      <w:pPr>
        <w:ind w:left="0" w:firstLine="0"/>
        <w:jc w:val="both"/>
      </w:pPr>
      <w:r>
        <w:t>Nepoužívat v případě přecitlivělosti na léčivou látku nebo na některou z pomocných látek.</w:t>
      </w:r>
    </w:p>
    <w:p w:rsidR="001B221C" w:rsidRDefault="001B221C" w:rsidP="001B221C">
      <w:pPr>
        <w:ind w:left="0" w:firstLine="0"/>
        <w:jc w:val="both"/>
      </w:pPr>
      <w:r>
        <w:t>Viz bod 4.7.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  <w:rPr>
          <w:b/>
        </w:rPr>
      </w:pPr>
      <w:r>
        <w:rPr>
          <w:b/>
        </w:rPr>
        <w:t>4.4</w:t>
      </w:r>
      <w:r>
        <w:rPr>
          <w:b/>
        </w:rPr>
        <w:tab/>
        <w:t>Zvláštní upozornění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t>Nejsou.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4.5</w:t>
      </w:r>
      <w:r>
        <w:rPr>
          <w:b/>
        </w:rPr>
        <w:tab/>
        <w:t>Zvláštní opatření pro použití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  <w:rPr>
          <w:b/>
        </w:rPr>
      </w:pPr>
      <w:r>
        <w:rPr>
          <w:b/>
        </w:rPr>
        <w:t>Zvláštní opatření pro použití u zvířat</w:t>
      </w:r>
    </w:p>
    <w:p w:rsidR="001B221C" w:rsidRDefault="001B221C" w:rsidP="001B221C">
      <w:pPr>
        <w:jc w:val="both"/>
      </w:pPr>
    </w:p>
    <w:p w:rsidR="001B221C" w:rsidRDefault="001B221C" w:rsidP="001B221C">
      <w:pPr>
        <w:spacing w:before="96" w:after="96"/>
        <w:ind w:left="0" w:firstLine="0"/>
        <w:jc w:val="both"/>
      </w:pPr>
      <w:r>
        <w:t>U psů nebyly b</w:t>
      </w:r>
      <w:r w:rsidRPr="00E72C09">
        <w:t xml:space="preserve">ěhem klinických </w:t>
      </w:r>
      <w:r>
        <w:t>hodnocení pozorovány žádné přípravky renální toxicity přípravku.</w:t>
      </w:r>
    </w:p>
    <w:p w:rsidR="001B221C" w:rsidRPr="00E72C09" w:rsidRDefault="001B221C" w:rsidP="001B221C">
      <w:pPr>
        <w:spacing w:before="96" w:after="96"/>
        <w:ind w:left="0" w:firstLine="0"/>
        <w:jc w:val="both"/>
      </w:pPr>
      <w:r>
        <w:t>Nicméně v případech nedostatečné činnosti ledvin se jako obvykle doporučuje během léčby sledovat hladinu močoviny a kreatininu v krevní plazmě.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Zvláštní opatření určené osobám, které podávají veterinární léčivý přípravek zvířatům</w:t>
      </w:r>
    </w:p>
    <w:p w:rsidR="001B221C" w:rsidRDefault="001B221C" w:rsidP="001B221C">
      <w:pPr>
        <w:jc w:val="both"/>
      </w:pPr>
    </w:p>
    <w:p w:rsidR="001B221C" w:rsidRDefault="001B221C" w:rsidP="001B221C">
      <w:pPr>
        <w:autoSpaceDE w:val="0"/>
        <w:autoSpaceDN w:val="0"/>
        <w:adjustRightInd w:val="0"/>
        <w:ind w:left="0" w:firstLine="0"/>
        <w:jc w:val="both"/>
      </w:pPr>
      <w:r>
        <w:t>Po použití si umyjte ruce.</w:t>
      </w:r>
    </w:p>
    <w:p w:rsidR="001B221C" w:rsidRPr="00E72C09" w:rsidRDefault="001B221C" w:rsidP="001B221C">
      <w:pPr>
        <w:autoSpaceDE w:val="0"/>
        <w:autoSpaceDN w:val="0"/>
        <w:adjustRightInd w:val="0"/>
        <w:ind w:left="0" w:firstLine="0"/>
        <w:jc w:val="both"/>
      </w:pPr>
      <w:r>
        <w:t xml:space="preserve">V případě náhodného pozření </w:t>
      </w:r>
      <w:r>
        <w:rPr>
          <w:rFonts w:ascii="TimesNewRoman,Italic" w:hAnsi="TimesNewRoman,Italic"/>
          <w:szCs w:val="22"/>
        </w:rPr>
        <w:t>vyhledejte ihned lékařskou pomoc a ukažte příbalovou informaci nebo etiketu praktickému lékaři</w:t>
      </w:r>
      <w:r>
        <w:t>.</w:t>
      </w:r>
    </w:p>
    <w:p w:rsidR="001B221C" w:rsidRDefault="001B221C" w:rsidP="001B221C">
      <w:pPr>
        <w:ind w:left="0" w:firstLine="0"/>
        <w:jc w:val="both"/>
        <w:rPr>
          <w:b/>
        </w:rPr>
      </w:pPr>
      <w:r w:rsidRPr="00E72C09">
        <w:t xml:space="preserve">Těhotné ženy by měly dbát zvýšené opatrnosti, aby </w:t>
      </w:r>
      <w:r>
        <w:t xml:space="preserve">nedošlo k náhodnému pozření přípravku, </w:t>
      </w:r>
      <w:r w:rsidRPr="00E72C09">
        <w:t>protože bylo zjišt</w:t>
      </w:r>
      <w:r>
        <w:t>ěno, že inhibitory ACE poškozují</w:t>
      </w:r>
      <w:r w:rsidRPr="00E72C09">
        <w:t xml:space="preserve"> lidský plod během těhotenství.</w:t>
      </w:r>
    </w:p>
    <w:p w:rsidR="001B221C" w:rsidRDefault="001B221C" w:rsidP="001B221C">
      <w:pPr>
        <w:ind w:left="0" w:firstLine="0"/>
        <w:jc w:val="both"/>
        <w:rPr>
          <w:b/>
        </w:rPr>
      </w:pPr>
    </w:p>
    <w:p w:rsidR="001B221C" w:rsidRDefault="001B221C" w:rsidP="001B221C">
      <w:pPr>
        <w:jc w:val="both"/>
      </w:pPr>
      <w:r>
        <w:rPr>
          <w:b/>
        </w:rPr>
        <w:t>4.6</w:t>
      </w:r>
      <w:r>
        <w:rPr>
          <w:b/>
        </w:rPr>
        <w:tab/>
        <w:t>Nežádoucí účinky (frekvence a závažnost)</w:t>
      </w:r>
    </w:p>
    <w:p w:rsidR="001B221C" w:rsidRDefault="001B221C" w:rsidP="001B221C">
      <w:pPr>
        <w:jc w:val="both"/>
        <w:rPr>
          <w:b/>
        </w:rPr>
      </w:pPr>
    </w:p>
    <w:p w:rsidR="001B221C" w:rsidRPr="009E3D35" w:rsidRDefault="001B221C" w:rsidP="001B221C">
      <w:pPr>
        <w:ind w:left="0" w:firstLine="0"/>
        <w:jc w:val="both"/>
      </w:pPr>
      <w:r w:rsidRPr="009E3D35">
        <w:t>Ve vzácných případech se mohou vyskytnout přechodné příznaky hypotenze, jako je letargie a ataxie.</w:t>
      </w: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</w:pPr>
      <w:r>
        <w:rPr>
          <w:b/>
        </w:rPr>
        <w:t>4.7</w:t>
      </w:r>
      <w:r>
        <w:rPr>
          <w:b/>
        </w:rPr>
        <w:tab/>
        <w:t>Použití v průběhu březosti, laktace nebo snášky</w:t>
      </w:r>
    </w:p>
    <w:p w:rsidR="001B221C" w:rsidRDefault="001B221C" w:rsidP="001B221C">
      <w:pPr>
        <w:ind w:left="0" w:firstLine="0"/>
        <w:jc w:val="both"/>
      </w:pPr>
    </w:p>
    <w:p w:rsidR="001B221C" w:rsidRDefault="001B221C" w:rsidP="001B221C">
      <w:pPr>
        <w:ind w:left="0" w:firstLine="0"/>
        <w:jc w:val="both"/>
      </w:pPr>
      <w:r>
        <w:t>Nepoužívat u fen během březosti nebo laktace nebo u fen určených k chovu.</w:t>
      </w:r>
    </w:p>
    <w:p w:rsidR="001B221C" w:rsidRDefault="001B221C" w:rsidP="001B221C">
      <w:pPr>
        <w:ind w:left="0" w:firstLine="0"/>
        <w:jc w:val="both"/>
      </w:pPr>
      <w:r>
        <w:t xml:space="preserve">Laboratorní studie u zvířat prokázaly embryotoxické účinky </w:t>
      </w:r>
      <w:proofErr w:type="spellStart"/>
      <w:r>
        <w:t>benazeprilu</w:t>
      </w:r>
      <w:proofErr w:type="spellEnd"/>
      <w:r>
        <w:t xml:space="preserve"> v dávkách netoxických pro matku (abnormality močových cest u plodu). Nebyla stanovena bezpečnost veterinárního léčivého přípravku pro použití během březosti a laktace</w:t>
      </w:r>
      <w:r w:rsidR="00DF6EF5">
        <w:t xml:space="preserve"> u psů</w:t>
      </w:r>
      <w:r>
        <w:t>.</w:t>
      </w:r>
    </w:p>
    <w:p w:rsidR="001B221C" w:rsidRDefault="001B221C" w:rsidP="001B221C">
      <w:pPr>
        <w:ind w:left="0" w:firstLine="0"/>
        <w:jc w:val="both"/>
      </w:pPr>
      <w:r>
        <w:t>Laboratorní studie u potkanů a pozorování u lidí prokázaly teratogenní účinky.</w:t>
      </w:r>
    </w:p>
    <w:p w:rsidR="001B221C" w:rsidRDefault="001B221C" w:rsidP="001B221C">
      <w:pPr>
        <w:ind w:left="0" w:firstLine="0"/>
        <w:jc w:val="both"/>
      </w:pPr>
    </w:p>
    <w:p w:rsidR="001B221C" w:rsidRDefault="001B221C" w:rsidP="001B221C">
      <w:pPr>
        <w:jc w:val="both"/>
      </w:pPr>
      <w:r>
        <w:rPr>
          <w:b/>
        </w:rPr>
        <w:t>4.8</w:t>
      </w:r>
      <w:r>
        <w:rPr>
          <w:b/>
        </w:rPr>
        <w:tab/>
        <w:t>Interakce s dalšími léčivými přípravky a další formy interakce</w:t>
      </w:r>
    </w:p>
    <w:p w:rsidR="001B221C" w:rsidRDefault="001B221C" w:rsidP="001B221C">
      <w:pPr>
        <w:jc w:val="both"/>
      </w:pPr>
    </w:p>
    <w:p w:rsidR="001B221C" w:rsidRDefault="001B221C" w:rsidP="001B221C">
      <w:pPr>
        <w:ind w:left="0" w:firstLine="0"/>
        <w:jc w:val="both"/>
      </w:pPr>
      <w:r w:rsidRPr="001147C2">
        <w:t xml:space="preserve">U psů se srdečním selháním byl </w:t>
      </w:r>
      <w:proofErr w:type="spellStart"/>
      <w:r w:rsidRPr="001147C2">
        <w:t>benazepril</w:t>
      </w:r>
      <w:proofErr w:type="spellEnd"/>
      <w:r w:rsidRPr="001147C2">
        <w:t xml:space="preserve"> podáván v kombinaci s digoxinem, diuretiky a </w:t>
      </w:r>
      <w:proofErr w:type="spellStart"/>
      <w:r w:rsidRPr="001147C2">
        <w:t>antiarytmiky</w:t>
      </w:r>
      <w:proofErr w:type="spellEnd"/>
      <w:r w:rsidRPr="001147C2">
        <w:t xml:space="preserve"> bez zjevných nežádoucích účinků. </w:t>
      </w:r>
    </w:p>
    <w:p w:rsidR="001B221C" w:rsidRDefault="001B221C" w:rsidP="001B221C">
      <w:pPr>
        <w:ind w:left="0" w:firstLine="0"/>
        <w:jc w:val="both"/>
      </w:pPr>
      <w:r w:rsidRPr="001147C2">
        <w:t xml:space="preserve">U lidí může kombinace inhibitorů ACE a </w:t>
      </w:r>
      <w:proofErr w:type="spellStart"/>
      <w:r w:rsidRPr="001147C2">
        <w:t>NSAIDs</w:t>
      </w:r>
      <w:proofErr w:type="spellEnd"/>
      <w:r w:rsidRPr="001147C2">
        <w:t xml:space="preserve"> vést ke snížení antihypertenzivní účinnosti nebo narušené funkci ledvin. Ko</w:t>
      </w:r>
      <w:r>
        <w:t xml:space="preserve">mbinace </w:t>
      </w:r>
      <w:proofErr w:type="spellStart"/>
      <w:r>
        <w:t>benazeprilu</w:t>
      </w:r>
      <w:proofErr w:type="spellEnd"/>
      <w:r w:rsidRPr="001147C2">
        <w:t xml:space="preserve"> a jiných antihypertenzních látek (např. b</w:t>
      </w:r>
      <w:r>
        <w:t>lokátor</w:t>
      </w:r>
      <w:r w:rsidRPr="001147C2">
        <w:t>ů</w:t>
      </w:r>
      <w:r>
        <w:t xml:space="preserve"> kalciových kanálů, beta</w:t>
      </w:r>
      <w:r w:rsidRPr="001147C2">
        <w:t xml:space="preserve">-blokátorů nebo diuretik), anestetik nebo sedativ může vést k dalším hypotenzním účinkům. </w:t>
      </w:r>
      <w:r>
        <w:t>S</w:t>
      </w:r>
      <w:r w:rsidRPr="001147C2">
        <w:t>oučasné použití NSAID nebo jiných léčiv s hypotenzním účinkem</w:t>
      </w:r>
      <w:r>
        <w:t xml:space="preserve"> by se proto mělo</w:t>
      </w:r>
      <w:r w:rsidRPr="001147C2">
        <w:t xml:space="preserve"> pečlivě zvážit. </w:t>
      </w:r>
    </w:p>
    <w:p w:rsidR="001B221C" w:rsidRPr="001147C2" w:rsidRDefault="001B221C" w:rsidP="001B221C">
      <w:pPr>
        <w:ind w:left="0" w:firstLine="0"/>
        <w:jc w:val="both"/>
      </w:pPr>
      <w:r w:rsidRPr="001147C2">
        <w:t xml:space="preserve">Renální funkce a příznaky hypotenze (letargie, </w:t>
      </w:r>
      <w:r w:rsidR="00DF6EF5" w:rsidRPr="001147C2">
        <w:t>slabost</w:t>
      </w:r>
      <w:r w:rsidRPr="001147C2">
        <w:t xml:space="preserve"> atd.) by měly být pozorně monitorovány a podle potřeby léčeny.</w:t>
      </w:r>
    </w:p>
    <w:p w:rsidR="001B221C" w:rsidRPr="001147C2" w:rsidRDefault="001B221C" w:rsidP="001B221C">
      <w:pPr>
        <w:ind w:left="0" w:firstLine="0"/>
        <w:jc w:val="both"/>
      </w:pPr>
      <w:r w:rsidRPr="001147C2">
        <w:t>Nelze vyloučit interakce s diuretiky šetřícími</w:t>
      </w:r>
      <w:r>
        <w:t xml:space="preserve"> draslík</w:t>
      </w:r>
      <w:r w:rsidRPr="001147C2">
        <w:t xml:space="preserve">, jako je </w:t>
      </w:r>
      <w:proofErr w:type="spellStart"/>
      <w:r w:rsidRPr="001147C2">
        <w:t>spironolakton</w:t>
      </w:r>
      <w:proofErr w:type="spellEnd"/>
      <w:r w:rsidRPr="001147C2">
        <w:t xml:space="preserve">, </w:t>
      </w:r>
      <w:proofErr w:type="spellStart"/>
      <w:r w:rsidRPr="001147C2">
        <w:t>triamteren</w:t>
      </w:r>
      <w:proofErr w:type="spellEnd"/>
      <w:r w:rsidRPr="001147C2">
        <w:t xml:space="preserve"> nebo </w:t>
      </w:r>
      <w:proofErr w:type="spellStart"/>
      <w:r w:rsidRPr="001147C2">
        <w:t>amilorid</w:t>
      </w:r>
      <w:proofErr w:type="spellEnd"/>
      <w:r w:rsidRPr="001147C2">
        <w:t xml:space="preserve">. Doporučuje se monitorovat hladiny </w:t>
      </w:r>
      <w:r>
        <w:t>draslíku</w:t>
      </w:r>
      <w:r w:rsidRPr="001147C2">
        <w:t xml:space="preserve"> v plazmě při použití </w:t>
      </w:r>
      <w:proofErr w:type="spellStart"/>
      <w:r w:rsidRPr="001147C2">
        <w:t>benazeprilu</w:t>
      </w:r>
      <w:proofErr w:type="spellEnd"/>
      <w:r w:rsidRPr="001147C2">
        <w:t xml:space="preserve"> v kombinaci s diuretikem</w:t>
      </w:r>
      <w:r w:rsidRPr="001147C2" w:rsidDel="00F24EF5">
        <w:t xml:space="preserve"> </w:t>
      </w:r>
      <w:r w:rsidRPr="001147C2">
        <w:t>šetřícím</w:t>
      </w:r>
      <w:r>
        <w:t xml:space="preserve"> draslík</w:t>
      </w:r>
      <w:r w:rsidRPr="001147C2">
        <w:t>, protože mohou nastat život ohrožující reakce.</w:t>
      </w:r>
      <w:r>
        <w:t xml:space="preserve"> Stejně jako u jiných ACE inhibitorů, použití léčivých přípravků snižujících krevní tlak nebo anestetik s hypotenzních účinkem m</w:t>
      </w:r>
      <w:r w:rsidRPr="001147C2">
        <w:t>ů</w:t>
      </w:r>
      <w:r>
        <w:t xml:space="preserve">že přispět k antihypertenznímu účinku </w:t>
      </w:r>
      <w:proofErr w:type="spellStart"/>
      <w:r>
        <w:t>benazeprilu</w:t>
      </w:r>
      <w:proofErr w:type="spellEnd"/>
      <w:r>
        <w:t>.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  <w:rPr>
          <w:b/>
        </w:rPr>
      </w:pPr>
      <w:r>
        <w:rPr>
          <w:b/>
        </w:rPr>
        <w:t>4.9</w:t>
      </w:r>
      <w:r>
        <w:rPr>
          <w:b/>
        </w:rPr>
        <w:tab/>
        <w:t>Podávané množství a způsob podání</w:t>
      </w:r>
    </w:p>
    <w:p w:rsidR="001B221C" w:rsidRDefault="001B221C" w:rsidP="001B221C">
      <w:pPr>
        <w:jc w:val="both"/>
      </w:pPr>
    </w:p>
    <w:p w:rsidR="001B221C" w:rsidRDefault="001B221C" w:rsidP="001B221C">
      <w:pPr>
        <w:ind w:left="0" w:firstLine="0"/>
        <w:jc w:val="both"/>
      </w:pPr>
      <w:r w:rsidRPr="00411E93">
        <w:t>Pouze pro perorální podání</w:t>
      </w:r>
      <w:r>
        <w:t>.</w:t>
      </w:r>
    </w:p>
    <w:p w:rsidR="001B221C" w:rsidRDefault="001B221C" w:rsidP="001B221C">
      <w:pPr>
        <w:ind w:left="0" w:firstLine="0"/>
        <w:jc w:val="both"/>
      </w:pPr>
      <w:r w:rsidRPr="0064572E">
        <w:t xml:space="preserve">Pro zajištění správné dávky </w:t>
      </w:r>
      <w:r w:rsidRPr="00F7505A">
        <w:t xml:space="preserve">by měla být hmotnost zvířete stanovena co nejpřesněji, aby se předešlo </w:t>
      </w:r>
      <w:proofErr w:type="spellStart"/>
      <w:r w:rsidRPr="00F7505A">
        <w:t>poddávkování</w:t>
      </w:r>
      <w:proofErr w:type="spellEnd"/>
      <w:r w:rsidRPr="00F7505A">
        <w:t>.</w:t>
      </w:r>
    </w:p>
    <w:p w:rsidR="001B221C" w:rsidRDefault="001B221C" w:rsidP="001B221C">
      <w:pPr>
        <w:ind w:left="0" w:firstLine="0"/>
        <w:jc w:val="both"/>
      </w:pPr>
    </w:p>
    <w:p w:rsidR="001B221C" w:rsidRDefault="001B221C" w:rsidP="001B221C">
      <w:pPr>
        <w:ind w:left="0" w:firstLine="0"/>
        <w:jc w:val="both"/>
      </w:pPr>
      <w:r>
        <w:t xml:space="preserve">Doporučená perorální dávka je 0,23 mg </w:t>
      </w:r>
      <w:proofErr w:type="spellStart"/>
      <w:r>
        <w:t>benazeprilu</w:t>
      </w:r>
      <w:proofErr w:type="spellEnd"/>
      <w:r>
        <w:t xml:space="preserve"> / kg živé hmotnosti a den, což odpovídá 0,25 mg </w:t>
      </w:r>
      <w:proofErr w:type="spellStart"/>
      <w:r>
        <w:t>benazepril</w:t>
      </w:r>
      <w:proofErr w:type="spellEnd"/>
      <w:r>
        <w:t xml:space="preserve"> </w:t>
      </w:r>
      <w:proofErr w:type="spellStart"/>
      <w:r>
        <w:t>hydrochloridu</w:t>
      </w:r>
      <w:proofErr w:type="spellEnd"/>
      <w:r>
        <w:t xml:space="preserve"> / kg živé hmotnosti a den, jedenkrát denně. S ohledem na klinickou odpověď a v souladu s doporučením veterinárního lékař lze podávat dvojnásobnou dávku při zachování frekvence podávání jedenkrát denně.</w:t>
      </w:r>
    </w:p>
    <w:p w:rsidR="001B221C" w:rsidRDefault="001B221C" w:rsidP="001B221C">
      <w:pPr>
        <w:ind w:left="0" w:firstLine="0"/>
        <w:jc w:val="both"/>
      </w:pPr>
      <w:proofErr w:type="spellStart"/>
      <w:r>
        <w:t>Benazepril</w:t>
      </w:r>
      <w:proofErr w:type="spellEnd"/>
      <w:r>
        <w:t xml:space="preserve"> by měl být podáván jedenkrát denně, s </w:t>
      </w:r>
      <w:r w:rsidR="00DF6EF5">
        <w:t xml:space="preserve">krmivem </w:t>
      </w:r>
      <w:r>
        <w:t>nebo bez. Délka trvání léčby není omezen</w:t>
      </w:r>
      <w:r w:rsidR="00707D64">
        <w:t>a</w:t>
      </w:r>
      <w:r>
        <w:t>.</w:t>
      </w:r>
    </w:p>
    <w:p w:rsidR="00707D64" w:rsidRDefault="00707D64" w:rsidP="00707D64">
      <w:pPr>
        <w:ind w:left="0" w:firstLine="0"/>
        <w:jc w:val="both"/>
      </w:pPr>
      <w:r>
        <w:t>Tablety lze dělit na poloviny nebo čtvrtiny, aby bylo zajištěno přesné dávkování.</w:t>
      </w:r>
    </w:p>
    <w:p w:rsidR="00707D64" w:rsidRDefault="00707D64" w:rsidP="00707D64">
      <w:pPr>
        <w:ind w:left="0" w:firstLine="0"/>
        <w:jc w:val="both"/>
      </w:pPr>
      <w:r>
        <w:t>Chcete-li rozlomit příčně dělenou tabletu na čtvrtiny, položte tabletu na rovný povrch s dělící rýhou nahoru a palcem zatlačte na střed</w:t>
      </w:r>
      <w:r w:rsidR="00AF6BC6">
        <w:t xml:space="preserve"> tablety</w:t>
      </w:r>
      <w:r>
        <w:t>.</w:t>
      </w:r>
    </w:p>
    <w:p w:rsidR="00707D64" w:rsidRDefault="00707D64" w:rsidP="00707D64">
      <w:pPr>
        <w:ind w:left="0" w:firstLine="0"/>
        <w:jc w:val="both"/>
      </w:pPr>
      <w:r>
        <w:rPr>
          <w:noProof/>
        </w:rPr>
        <w:drawing>
          <wp:inline distT="0" distB="0" distL="0" distR="0" wp14:anchorId="6903A3C7" wp14:editId="4BAF0034">
            <wp:extent cx="768350" cy="788035"/>
            <wp:effectExtent l="0" t="0" r="12700" b="12065"/>
            <wp:docPr id="305951149" name="Picture 2" descr="A hand pointing at a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51149" name="Picture 2" descr="A hand pointing at a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64" w:rsidRDefault="00707D64" w:rsidP="00707D64">
      <w:pPr>
        <w:ind w:left="0" w:firstLine="0"/>
        <w:jc w:val="both"/>
      </w:pPr>
      <w:r w:rsidRPr="00707D64">
        <w:lastRenderedPageBreak/>
        <w:t xml:space="preserve">Chcete-li tabletu rozlomit na dvě poloviny, položte ji na rovný povrch </w:t>
      </w:r>
      <w:r w:rsidR="00AF6BC6">
        <w:t>dělící rýhou</w:t>
      </w:r>
      <w:r w:rsidRPr="00707D64">
        <w:t xml:space="preserve"> nahoru, držte jednu polovinu tablety a přitlačte na druhou polovinu.</w:t>
      </w:r>
    </w:p>
    <w:p w:rsidR="00707D64" w:rsidRDefault="00707D64" w:rsidP="00707D64">
      <w:pPr>
        <w:ind w:left="0" w:firstLine="0"/>
        <w:jc w:val="both"/>
      </w:pPr>
      <w:r>
        <w:rPr>
          <w:noProof/>
        </w:rPr>
        <w:drawing>
          <wp:inline distT="0" distB="0" distL="0" distR="0" wp14:anchorId="4C9012A5" wp14:editId="4E28231A">
            <wp:extent cx="1225550" cy="826770"/>
            <wp:effectExtent l="0" t="0" r="12700" b="11430"/>
            <wp:docPr id="975865114" name="Picture 1" descr="A drawing of a hand holding a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rawing of a hand holding a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1C" w:rsidRDefault="001B221C" w:rsidP="00707D64">
      <w:pPr>
        <w:ind w:left="0" w:firstLine="0"/>
        <w:jc w:val="both"/>
      </w:pPr>
      <w:r w:rsidRPr="00411E93">
        <w:t xml:space="preserve"> </w:t>
      </w:r>
    </w:p>
    <w:p w:rsidR="001B221C" w:rsidRDefault="001B221C" w:rsidP="001B221C">
      <w:pPr>
        <w:jc w:val="both"/>
      </w:pPr>
      <w:r>
        <w:rPr>
          <w:b/>
        </w:rPr>
        <w:t>4.10</w:t>
      </w:r>
      <w:r>
        <w:rPr>
          <w:b/>
        </w:rPr>
        <w:tab/>
        <w:t xml:space="preserve">Předávkování (symptomy, první pomoc, </w:t>
      </w:r>
      <w:proofErr w:type="spellStart"/>
      <w:r>
        <w:rPr>
          <w:b/>
        </w:rPr>
        <w:t>antidota</w:t>
      </w:r>
      <w:proofErr w:type="spellEnd"/>
      <w:r>
        <w:rPr>
          <w:b/>
        </w:rPr>
        <w:t>), pokud je to nutné</w:t>
      </w:r>
    </w:p>
    <w:p w:rsidR="001B221C" w:rsidRDefault="001B221C" w:rsidP="001B221C">
      <w:pPr>
        <w:jc w:val="both"/>
      </w:pPr>
    </w:p>
    <w:p w:rsidR="001B221C" w:rsidRPr="00411E93" w:rsidRDefault="001B221C" w:rsidP="001B221C">
      <w:pPr>
        <w:spacing w:before="96" w:after="96"/>
        <w:ind w:left="0" w:firstLine="0"/>
        <w:jc w:val="both"/>
      </w:pPr>
      <w:r w:rsidRPr="00411E93">
        <w:t xml:space="preserve">U zdravých psů bylo předávkování až 200krát bez </w:t>
      </w:r>
      <w:r>
        <w:t>příznak</w:t>
      </w:r>
      <w:r w:rsidRPr="00411E93">
        <w:t>ů. V případech náhodného předávkování se může objevit přechodná reverzibilní hypotenze. Terapie by měla sestávat z intravenózní infuze teplého fyziologického roztoku.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4.11</w:t>
      </w:r>
      <w:r>
        <w:rPr>
          <w:b/>
        </w:rPr>
        <w:tab/>
        <w:t>Ochranné lhůty</w:t>
      </w:r>
    </w:p>
    <w:p w:rsidR="001B221C" w:rsidRDefault="001B221C" w:rsidP="001B221C">
      <w:pPr>
        <w:jc w:val="both"/>
      </w:pPr>
    </w:p>
    <w:p w:rsidR="001B221C" w:rsidRPr="00411E93" w:rsidRDefault="001B221C" w:rsidP="001B221C">
      <w:pPr>
        <w:jc w:val="both"/>
      </w:pPr>
      <w:r>
        <w:t>Není určeno pro potravinová zvířata.</w:t>
      </w: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</w:pPr>
      <w:r>
        <w:rPr>
          <w:b/>
        </w:rPr>
        <w:t>5.</w:t>
      </w:r>
      <w:r>
        <w:rPr>
          <w:b/>
        </w:rPr>
        <w:tab/>
        <w:t>FARMAKOLOGICKÉ VLASTNOSTI</w:t>
      </w: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ind w:left="0" w:firstLine="0"/>
        <w:jc w:val="both"/>
      </w:pPr>
      <w:r>
        <w:t xml:space="preserve">Farmakoterapeutická skupina: ACE inhibitory, samotné, </w:t>
      </w:r>
      <w:proofErr w:type="spellStart"/>
      <w:r>
        <w:t>benazepril</w:t>
      </w:r>
      <w:proofErr w:type="spellEnd"/>
      <w:r>
        <w:t xml:space="preserve"> </w:t>
      </w:r>
    </w:p>
    <w:p w:rsidR="001B221C" w:rsidRDefault="001B221C" w:rsidP="001B221C">
      <w:pPr>
        <w:ind w:left="0" w:firstLine="0"/>
        <w:jc w:val="both"/>
      </w:pPr>
      <w:proofErr w:type="spellStart"/>
      <w:r>
        <w:t>ATCvet</w:t>
      </w:r>
      <w:proofErr w:type="spellEnd"/>
      <w:r>
        <w:t xml:space="preserve"> kód: QC09AA07</w:t>
      </w:r>
    </w:p>
    <w:p w:rsidR="001B221C" w:rsidRDefault="001B221C" w:rsidP="001B221C">
      <w:pPr>
        <w:ind w:left="0" w:firstLine="0"/>
        <w:jc w:val="both"/>
      </w:pPr>
    </w:p>
    <w:p w:rsidR="001B221C" w:rsidRDefault="001B221C" w:rsidP="001B221C">
      <w:pPr>
        <w:ind w:left="0" w:firstLine="0"/>
        <w:jc w:val="both"/>
        <w:rPr>
          <w:b/>
        </w:rPr>
      </w:pPr>
      <w:r>
        <w:rPr>
          <w:b/>
        </w:rPr>
        <w:t>5.1</w:t>
      </w:r>
      <w:r>
        <w:rPr>
          <w:b/>
        </w:rPr>
        <w:tab/>
        <w:t>Farmakodynamické vlastnosti</w:t>
      </w:r>
    </w:p>
    <w:p w:rsidR="001B221C" w:rsidRDefault="001B221C" w:rsidP="001B221C">
      <w:pPr>
        <w:ind w:left="0" w:firstLine="0"/>
        <w:jc w:val="both"/>
        <w:rPr>
          <w:b/>
        </w:rPr>
      </w:pPr>
    </w:p>
    <w:p w:rsidR="001B221C" w:rsidRPr="00411E93" w:rsidRDefault="001B221C" w:rsidP="001B221C">
      <w:pPr>
        <w:ind w:left="0" w:firstLine="0"/>
        <w:jc w:val="both"/>
      </w:pPr>
      <w:proofErr w:type="spellStart"/>
      <w:r w:rsidRPr="00411E93">
        <w:t>Benazepril</w:t>
      </w:r>
      <w:proofErr w:type="spellEnd"/>
      <w:r w:rsidRPr="00411E93">
        <w:t xml:space="preserve"> </w:t>
      </w:r>
      <w:proofErr w:type="spellStart"/>
      <w:r w:rsidRPr="00411E93">
        <w:t>hydrochlorid</w:t>
      </w:r>
      <w:proofErr w:type="spellEnd"/>
      <w:r w:rsidRPr="00411E93">
        <w:t xml:space="preserve"> je lékový prekurzor, který je </w:t>
      </w:r>
      <w:r w:rsidRPr="00523F7F">
        <w:rPr>
          <w:i/>
        </w:rPr>
        <w:t xml:space="preserve">in </w:t>
      </w:r>
      <w:proofErr w:type="spellStart"/>
      <w:r w:rsidRPr="00523F7F">
        <w:rPr>
          <w:i/>
        </w:rPr>
        <w:t>vivo</w:t>
      </w:r>
      <w:proofErr w:type="spellEnd"/>
      <w:r w:rsidRPr="00411E93">
        <w:t xml:space="preserve"> hydrolyzován na svůj aktivní metabolit,</w:t>
      </w:r>
      <w:r>
        <w:t xml:space="preserve"> </w:t>
      </w:r>
      <w:proofErr w:type="spellStart"/>
      <w:r>
        <w:t>benazeprilát</w:t>
      </w:r>
      <w:proofErr w:type="spellEnd"/>
      <w:r>
        <w:t xml:space="preserve">. </w:t>
      </w:r>
      <w:proofErr w:type="spellStart"/>
      <w:r>
        <w:t>Benazeprilát</w:t>
      </w:r>
      <w:proofErr w:type="spellEnd"/>
      <w:r>
        <w:t xml:space="preserve"> je</w:t>
      </w:r>
      <w:r w:rsidRPr="00411E93">
        <w:t xml:space="preserve"> selektivní inhibitor angiotensin konvertujícího enzymu (ACE), a tak předchází konverzi neaktivního angiotensinu </w:t>
      </w:r>
      <w:proofErr w:type="gramStart"/>
      <w:r w:rsidRPr="00411E93">
        <w:t>I</w:t>
      </w:r>
      <w:proofErr w:type="gramEnd"/>
      <w:r w:rsidRPr="00411E93">
        <w:t xml:space="preserve"> na aktivní angiotensin II.</w:t>
      </w:r>
      <w:r>
        <w:t xml:space="preserve"> </w:t>
      </w:r>
      <w:r w:rsidRPr="00411E93">
        <w:t xml:space="preserve">Blokuje tak účinky angiotensinu II, včetně vazokonstrikce jak tepen, tak žil, retence sodíku a vody ledvinami a </w:t>
      </w:r>
      <w:proofErr w:type="spellStart"/>
      <w:r w:rsidRPr="00411E93">
        <w:t>remodelační</w:t>
      </w:r>
      <w:proofErr w:type="spellEnd"/>
      <w:r w:rsidRPr="00411E93">
        <w:t xml:space="preserve"> účinky (včetně </w:t>
      </w:r>
      <w:r>
        <w:t>patologické srdeční hypertrofie</w:t>
      </w:r>
      <w:r w:rsidRPr="00411E93">
        <w:t>).</w:t>
      </w:r>
    </w:p>
    <w:p w:rsidR="001B221C" w:rsidRPr="00411E93" w:rsidRDefault="001B221C" w:rsidP="001B221C">
      <w:pPr>
        <w:ind w:left="0" w:firstLine="0"/>
        <w:jc w:val="both"/>
      </w:pPr>
      <w:r w:rsidRPr="00411E93">
        <w:t>Přípravek způsobuje u psů dlouhotrvající inhibici aktivity ACE v plasmě s více než 95</w:t>
      </w:r>
      <w:r w:rsidR="00AF6BC6">
        <w:t xml:space="preserve"> </w:t>
      </w:r>
      <w:r w:rsidRPr="00411E93">
        <w:t>% inhibicí v</w:t>
      </w:r>
      <w:r>
        <w:t xml:space="preserve"> době </w:t>
      </w:r>
      <w:r w:rsidRPr="00411E93">
        <w:t>maximá</w:t>
      </w:r>
      <w:r>
        <w:t>lního</w:t>
      </w:r>
      <w:r w:rsidRPr="00411E93">
        <w:t xml:space="preserve"> účinku a významnou účinnost (&gt; 80</w:t>
      </w:r>
      <w:r w:rsidR="00AF6BC6">
        <w:t xml:space="preserve"> </w:t>
      </w:r>
      <w:r w:rsidRPr="00411E93">
        <w:t xml:space="preserve">% u psů) trvající po dobu 24 hodin po podání dávky. Snižuje krevní tlak a objemovou zátěž srdce u psů se srdečním selháním. </w:t>
      </w:r>
    </w:p>
    <w:p w:rsidR="001B221C" w:rsidRDefault="001B221C" w:rsidP="001B221C">
      <w:pPr>
        <w:ind w:left="0" w:firstLine="0"/>
        <w:jc w:val="both"/>
      </w:pPr>
    </w:p>
    <w:p w:rsidR="001B221C" w:rsidRDefault="001B221C" w:rsidP="001B221C">
      <w:pPr>
        <w:ind w:left="0" w:firstLine="0"/>
        <w:jc w:val="both"/>
      </w:pPr>
      <w:r>
        <w:rPr>
          <w:b/>
        </w:rPr>
        <w:t>5.2</w:t>
      </w:r>
      <w:r>
        <w:rPr>
          <w:b/>
        </w:rPr>
        <w:tab/>
        <w:t>Farmakokinetické údaje</w:t>
      </w:r>
    </w:p>
    <w:p w:rsidR="001B221C" w:rsidRDefault="001B221C" w:rsidP="001B221C">
      <w:pPr>
        <w:ind w:left="0" w:firstLine="0"/>
        <w:jc w:val="both"/>
      </w:pPr>
    </w:p>
    <w:p w:rsidR="001B221C" w:rsidRPr="00671597" w:rsidRDefault="001B221C" w:rsidP="001B221C">
      <w:pPr>
        <w:ind w:left="0" w:firstLine="0"/>
        <w:jc w:val="both"/>
      </w:pPr>
      <w:r w:rsidRPr="00671597">
        <w:t xml:space="preserve">Po perorálním podání </w:t>
      </w:r>
      <w:proofErr w:type="spellStart"/>
      <w:r w:rsidRPr="00671597">
        <w:t>benazepril</w:t>
      </w:r>
      <w:proofErr w:type="spellEnd"/>
      <w:r w:rsidRPr="00671597">
        <w:t xml:space="preserve"> </w:t>
      </w:r>
      <w:proofErr w:type="spellStart"/>
      <w:r w:rsidRPr="00671597">
        <w:t>hydrochloridu</w:t>
      </w:r>
      <w:proofErr w:type="spellEnd"/>
      <w:r w:rsidRPr="00671597">
        <w:t xml:space="preserve"> je rychle dosaženo maximálních hladin </w:t>
      </w:r>
      <w:proofErr w:type="spellStart"/>
      <w:r w:rsidRPr="00671597">
        <w:t>benazeprilu</w:t>
      </w:r>
      <w:proofErr w:type="spellEnd"/>
      <w:r w:rsidRPr="00671597">
        <w:t xml:space="preserve"> (</w:t>
      </w:r>
      <w:proofErr w:type="spellStart"/>
      <w:r w:rsidRPr="00671597">
        <w:t>t</w:t>
      </w:r>
      <w:r w:rsidRPr="00671597">
        <w:rPr>
          <w:vertAlign w:val="subscript"/>
        </w:rPr>
        <w:t>max</w:t>
      </w:r>
      <w:proofErr w:type="spellEnd"/>
      <w:r>
        <w:t xml:space="preserve"> 1,74</w:t>
      </w:r>
      <w:r w:rsidRPr="00671597">
        <w:t xml:space="preserve"> h</w:t>
      </w:r>
      <w:r>
        <w:t>od u psů</w:t>
      </w:r>
      <w:r w:rsidRPr="00671597">
        <w:t xml:space="preserve">), které se rychle se snižují, protože je léčivo částečně metabolizováno jaterními enzymy na </w:t>
      </w:r>
      <w:proofErr w:type="spellStart"/>
      <w:r w:rsidRPr="00671597">
        <w:t>benazeprilát</w:t>
      </w:r>
      <w:proofErr w:type="spellEnd"/>
      <w:r w:rsidRPr="00671597">
        <w:t xml:space="preserve">. Nezměněný </w:t>
      </w:r>
      <w:proofErr w:type="spellStart"/>
      <w:r w:rsidRPr="00671597">
        <w:t>benazepril</w:t>
      </w:r>
      <w:proofErr w:type="spellEnd"/>
      <w:r w:rsidRPr="00671597">
        <w:t xml:space="preserve"> a hydrofilní metabolity tvoří zbytek. Maximální koncentrace </w:t>
      </w:r>
      <w:proofErr w:type="spellStart"/>
      <w:r w:rsidRPr="00671597">
        <w:t>benazeprilátu</w:t>
      </w:r>
      <w:proofErr w:type="spellEnd"/>
      <w:r w:rsidRPr="00671597">
        <w:t xml:space="preserve"> (</w:t>
      </w:r>
      <w:proofErr w:type="spellStart"/>
      <w:r w:rsidRPr="00671597">
        <w:t>C</w:t>
      </w:r>
      <w:r w:rsidRPr="00671597">
        <w:rPr>
          <w:vertAlign w:val="subscript"/>
        </w:rPr>
        <w:t>max</w:t>
      </w:r>
      <w:proofErr w:type="spellEnd"/>
      <w:r>
        <w:t xml:space="preserve"> 35,02</w:t>
      </w:r>
      <w:r w:rsidRPr="00671597">
        <w:t xml:space="preserve"> </w:t>
      </w:r>
      <w:proofErr w:type="spellStart"/>
      <w:r w:rsidRPr="00671597">
        <w:t>ng</w:t>
      </w:r>
      <w:proofErr w:type="spellEnd"/>
      <w:r w:rsidRPr="00671597">
        <w:t xml:space="preserve">/ml po dávce 0,5 mg/kg </w:t>
      </w:r>
      <w:proofErr w:type="spellStart"/>
      <w:r w:rsidRPr="00671597">
        <w:t>benazepril</w:t>
      </w:r>
      <w:proofErr w:type="spellEnd"/>
      <w:r w:rsidRPr="00671597">
        <w:t xml:space="preserve"> </w:t>
      </w:r>
      <w:proofErr w:type="spellStart"/>
      <w:r w:rsidRPr="00671597">
        <w:t>hydrochloridu</w:t>
      </w:r>
      <w:proofErr w:type="spellEnd"/>
      <w:r w:rsidRPr="00671597">
        <w:t xml:space="preserve">) je dosaženo v </w:t>
      </w:r>
      <w:proofErr w:type="spellStart"/>
      <w:r w:rsidRPr="00671597">
        <w:t>T</w:t>
      </w:r>
      <w:r w:rsidRPr="00671597">
        <w:rPr>
          <w:vertAlign w:val="subscript"/>
        </w:rPr>
        <w:t>max</w:t>
      </w:r>
      <w:proofErr w:type="spellEnd"/>
      <w:r w:rsidRPr="00671597">
        <w:t xml:space="preserve"> 1</w:t>
      </w:r>
      <w:r>
        <w:t>,74</w:t>
      </w:r>
      <w:r w:rsidRPr="00671597">
        <w:t xml:space="preserve"> hodin</w:t>
      </w:r>
      <w:r>
        <w:t>y</w:t>
      </w:r>
      <w:r w:rsidRPr="00671597">
        <w:t>. Systémová biologická dostupnost je u psů neúplná (cca 13</w:t>
      </w:r>
      <w:r w:rsidR="00AF6BC6">
        <w:t xml:space="preserve"> </w:t>
      </w:r>
      <w:r w:rsidRPr="00671597">
        <w:t>%) z důvodu neúplné absorpce (38</w:t>
      </w:r>
      <w:r w:rsidR="00AF6BC6">
        <w:t xml:space="preserve"> </w:t>
      </w:r>
      <w:r w:rsidRPr="00671597">
        <w:t>% u psů) a metabolismu prvního průchodu.</w:t>
      </w:r>
    </w:p>
    <w:p w:rsidR="001B221C" w:rsidRPr="00671597" w:rsidRDefault="001B221C" w:rsidP="001B221C">
      <w:pPr>
        <w:ind w:left="0" w:firstLine="0"/>
        <w:jc w:val="both"/>
      </w:pPr>
      <w:r w:rsidRPr="00671597">
        <w:t xml:space="preserve">Koncentrace </w:t>
      </w:r>
      <w:proofErr w:type="spellStart"/>
      <w:r w:rsidRPr="00671597">
        <w:t>benazeprilátu</w:t>
      </w:r>
      <w:proofErr w:type="spellEnd"/>
      <w:r w:rsidRPr="00671597">
        <w:t xml:space="preserve"> se snižují ve dvou fázích: úvodní rychlá fáze (t</w:t>
      </w:r>
      <w:r w:rsidRPr="00671597">
        <w:rPr>
          <w:vertAlign w:val="subscript"/>
        </w:rPr>
        <w:t xml:space="preserve">1/2 </w:t>
      </w:r>
      <w:r w:rsidRPr="00671597">
        <w:t>= 1,7 hod.</w:t>
      </w:r>
      <w:r>
        <w:t xml:space="preserve"> u ps</w:t>
      </w:r>
      <w:r w:rsidRPr="001147C2">
        <w:t>ů</w:t>
      </w:r>
      <w:r w:rsidRPr="00671597">
        <w:t>) představuje eliminaci volného léčiva, zatímco konečná fáze (t</w:t>
      </w:r>
      <w:r w:rsidRPr="00671597">
        <w:rPr>
          <w:vertAlign w:val="subscript"/>
        </w:rPr>
        <w:t xml:space="preserve">1/2 </w:t>
      </w:r>
      <w:r w:rsidRPr="00671597">
        <w:t>= 19 hod.</w:t>
      </w:r>
      <w:r>
        <w:t xml:space="preserve"> u ps</w:t>
      </w:r>
      <w:r w:rsidRPr="001147C2">
        <w:t>ů</w:t>
      </w:r>
      <w:r w:rsidRPr="00671597">
        <w:t xml:space="preserve">) odráží uvolňování </w:t>
      </w:r>
      <w:proofErr w:type="spellStart"/>
      <w:r w:rsidRPr="00671597">
        <w:t>benazeprilátu</w:t>
      </w:r>
      <w:proofErr w:type="spellEnd"/>
      <w:r w:rsidRPr="00671597">
        <w:t xml:space="preserve">, který se váže na ACE, zejména ve tkáních. </w:t>
      </w:r>
      <w:proofErr w:type="spellStart"/>
      <w:r w:rsidRPr="00671597">
        <w:t>Benazepril</w:t>
      </w:r>
      <w:proofErr w:type="spellEnd"/>
      <w:r w:rsidRPr="00671597">
        <w:t xml:space="preserve"> a </w:t>
      </w:r>
      <w:proofErr w:type="spellStart"/>
      <w:r w:rsidRPr="00671597">
        <w:t>benazeprilát</w:t>
      </w:r>
      <w:proofErr w:type="spellEnd"/>
      <w:r w:rsidRPr="00671597">
        <w:t xml:space="preserve"> se ve velké míře vážou na bílkoviny krevní plazmy a ve tkáních se nacházejí zejména v játrech a ledvinách.</w:t>
      </w:r>
    </w:p>
    <w:p w:rsidR="001B221C" w:rsidRDefault="001B221C" w:rsidP="001B221C">
      <w:pPr>
        <w:ind w:left="0" w:firstLine="0"/>
        <w:jc w:val="both"/>
      </w:pPr>
      <w:r w:rsidRPr="00671597">
        <w:t xml:space="preserve">Není významný rozdíl ve farmakokinetických vlastnostech </w:t>
      </w:r>
      <w:proofErr w:type="spellStart"/>
      <w:r w:rsidRPr="00671597">
        <w:t>benazeprilátu</w:t>
      </w:r>
      <w:proofErr w:type="spellEnd"/>
      <w:r w:rsidRPr="00671597">
        <w:t xml:space="preserve">, když je </w:t>
      </w:r>
      <w:proofErr w:type="spellStart"/>
      <w:r w:rsidRPr="00671597">
        <w:t>benazepril</w:t>
      </w:r>
      <w:proofErr w:type="spellEnd"/>
      <w:r w:rsidRPr="00671597">
        <w:t xml:space="preserve"> </w:t>
      </w:r>
      <w:proofErr w:type="spellStart"/>
      <w:r w:rsidRPr="00671597">
        <w:t>hydrochlorid</w:t>
      </w:r>
      <w:proofErr w:type="spellEnd"/>
      <w:r w:rsidRPr="00671597">
        <w:t xml:space="preserve"> podáván psům po krmení nebo na lačno. </w:t>
      </w:r>
    </w:p>
    <w:p w:rsidR="001B221C" w:rsidRPr="00671597" w:rsidRDefault="001B221C" w:rsidP="001B221C">
      <w:pPr>
        <w:ind w:left="0" w:firstLine="0"/>
        <w:jc w:val="both"/>
      </w:pPr>
      <w:r w:rsidRPr="00671597">
        <w:t xml:space="preserve">Opakované podání </w:t>
      </w:r>
      <w:proofErr w:type="spellStart"/>
      <w:r>
        <w:t>benazeprilu</w:t>
      </w:r>
      <w:proofErr w:type="spellEnd"/>
      <w:r w:rsidRPr="00671597">
        <w:t xml:space="preserve"> vede k mírné </w:t>
      </w:r>
      <w:proofErr w:type="spellStart"/>
      <w:r w:rsidRPr="00671597">
        <w:t>bioakumulaci</w:t>
      </w:r>
      <w:proofErr w:type="spellEnd"/>
      <w:r w:rsidRPr="00671597">
        <w:t xml:space="preserve"> </w:t>
      </w:r>
      <w:proofErr w:type="spellStart"/>
      <w:r w:rsidRPr="00671597">
        <w:t>benazeprilátu</w:t>
      </w:r>
      <w:proofErr w:type="spellEnd"/>
      <w:r w:rsidRPr="00671597">
        <w:t xml:space="preserve"> (R = 1,47 </w:t>
      </w:r>
      <w:r>
        <w:t>u ps</w:t>
      </w:r>
      <w:r w:rsidRPr="00671597">
        <w:t>ů</w:t>
      </w:r>
      <w:r>
        <w:t xml:space="preserve"> při dávce 0,5 mg/kg)</w:t>
      </w:r>
      <w:r w:rsidRPr="00671597">
        <w:t xml:space="preserve">, dynamické rovnováhy je dosaženo </w:t>
      </w:r>
      <w:r>
        <w:t xml:space="preserve">během </w:t>
      </w:r>
      <w:r w:rsidRPr="00671597">
        <w:t>několika dnů (4 dny u psů).</w:t>
      </w:r>
    </w:p>
    <w:p w:rsidR="001B221C" w:rsidRPr="00671597" w:rsidRDefault="001B221C" w:rsidP="001B221C">
      <w:pPr>
        <w:ind w:left="0" w:firstLine="0"/>
        <w:jc w:val="both"/>
      </w:pPr>
      <w:proofErr w:type="spellStart"/>
      <w:r w:rsidRPr="00671597">
        <w:t>Benazeprilát</w:t>
      </w:r>
      <w:proofErr w:type="spellEnd"/>
      <w:r w:rsidRPr="00671597">
        <w:t xml:space="preserve"> se u psů vyměšuje v</w:t>
      </w:r>
      <w:r w:rsidR="00AF6BC6">
        <w:t> </w:t>
      </w:r>
      <w:r w:rsidRPr="00671597">
        <w:t>54</w:t>
      </w:r>
      <w:r w:rsidR="00AF6BC6">
        <w:t xml:space="preserve"> </w:t>
      </w:r>
      <w:r w:rsidRPr="00671597">
        <w:t>% žlučovými cestami a v</w:t>
      </w:r>
      <w:r w:rsidR="00AF6BC6">
        <w:t> </w:t>
      </w:r>
      <w:r w:rsidRPr="00671597">
        <w:t>46</w:t>
      </w:r>
      <w:r w:rsidR="00AF6BC6">
        <w:t xml:space="preserve"> </w:t>
      </w:r>
      <w:r w:rsidRPr="00671597">
        <w:t xml:space="preserve">% močovými cestami. </w:t>
      </w:r>
      <w:proofErr w:type="spellStart"/>
      <w:r w:rsidRPr="00671597">
        <w:t>Clearance</w:t>
      </w:r>
      <w:proofErr w:type="spellEnd"/>
      <w:r w:rsidRPr="00671597">
        <w:t xml:space="preserve"> </w:t>
      </w:r>
      <w:proofErr w:type="spellStart"/>
      <w:r w:rsidRPr="00671597">
        <w:t>benazeprilátu</w:t>
      </w:r>
      <w:proofErr w:type="spellEnd"/>
      <w:r w:rsidRPr="00671597">
        <w:t xml:space="preserve"> není u psů se zhoršenou funkcí ledvin ovlivněna, a proto není třeba upravovat dávku </w:t>
      </w:r>
      <w:proofErr w:type="spellStart"/>
      <w:r>
        <w:t>benazeprilu</w:t>
      </w:r>
      <w:proofErr w:type="spellEnd"/>
      <w:r w:rsidRPr="00671597">
        <w:t xml:space="preserve"> v případech renální nedostatečnosti.</w:t>
      </w:r>
    </w:p>
    <w:p w:rsidR="001B221C" w:rsidRDefault="001B221C" w:rsidP="001B221C">
      <w:pPr>
        <w:ind w:left="0" w:firstLine="0"/>
        <w:jc w:val="both"/>
      </w:pPr>
    </w:p>
    <w:p w:rsidR="001B221C" w:rsidRDefault="001B221C" w:rsidP="001B221C">
      <w:pPr>
        <w:ind w:left="0" w:firstLine="0"/>
        <w:jc w:val="both"/>
      </w:pPr>
    </w:p>
    <w:p w:rsidR="001B221C" w:rsidRDefault="001B221C" w:rsidP="001B221C">
      <w:pPr>
        <w:jc w:val="both"/>
        <w:rPr>
          <w:b/>
        </w:rPr>
      </w:pPr>
      <w:r>
        <w:rPr>
          <w:b/>
        </w:rPr>
        <w:lastRenderedPageBreak/>
        <w:t>6.</w:t>
      </w:r>
      <w:r>
        <w:rPr>
          <w:b/>
        </w:rPr>
        <w:tab/>
        <w:t>FARMACEUTICKÉ ÚDAJE</w:t>
      </w: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  <w:rPr>
          <w:b/>
        </w:rPr>
      </w:pPr>
      <w:r>
        <w:rPr>
          <w:b/>
        </w:rPr>
        <w:t>6.1</w:t>
      </w:r>
      <w:r>
        <w:rPr>
          <w:b/>
        </w:rPr>
        <w:tab/>
        <w:t>Seznam pomocných látek</w:t>
      </w:r>
    </w:p>
    <w:p w:rsidR="001B221C" w:rsidRDefault="001B221C" w:rsidP="001B221C">
      <w:pPr>
        <w:jc w:val="both"/>
        <w:rPr>
          <w:b/>
        </w:rPr>
      </w:pPr>
    </w:p>
    <w:p w:rsidR="001B221C" w:rsidRPr="00671597" w:rsidRDefault="001B221C" w:rsidP="001B221C">
      <w:pPr>
        <w:jc w:val="both"/>
      </w:pPr>
      <w:r w:rsidRPr="00671597">
        <w:t>Jádro tablety:</w:t>
      </w:r>
    </w:p>
    <w:p w:rsidR="001B221C" w:rsidRPr="00671597" w:rsidRDefault="001B221C" w:rsidP="001B221C">
      <w:pPr>
        <w:jc w:val="both"/>
      </w:pPr>
      <w:proofErr w:type="spellStart"/>
      <w:r w:rsidRPr="00671597">
        <w:t>Monohydrát</w:t>
      </w:r>
      <w:proofErr w:type="spellEnd"/>
      <w:r w:rsidRPr="00671597">
        <w:t xml:space="preserve"> </w:t>
      </w:r>
      <w:proofErr w:type="spellStart"/>
      <w:r w:rsidRPr="00671597">
        <w:t>lakt</w:t>
      </w:r>
      <w:r>
        <w:t>os</w:t>
      </w:r>
      <w:r w:rsidRPr="00671597">
        <w:t>y</w:t>
      </w:r>
      <w:proofErr w:type="spellEnd"/>
    </w:p>
    <w:p w:rsidR="001B221C" w:rsidRPr="00671597" w:rsidRDefault="001B221C" w:rsidP="001B221C">
      <w:pPr>
        <w:jc w:val="both"/>
      </w:pPr>
      <w:r w:rsidRPr="00671597">
        <w:t>Kukuřičný škrob</w:t>
      </w:r>
    </w:p>
    <w:p w:rsidR="001B221C" w:rsidRPr="00671597" w:rsidRDefault="001B221C" w:rsidP="001B221C">
      <w:pPr>
        <w:jc w:val="both"/>
      </w:pPr>
      <w:r w:rsidRPr="00671597">
        <w:t xml:space="preserve">Mikrokrystalická </w:t>
      </w:r>
      <w:proofErr w:type="spellStart"/>
      <w:r w:rsidRPr="00671597">
        <w:t>celul</w:t>
      </w:r>
      <w:r>
        <w:t>osa</w:t>
      </w:r>
      <w:proofErr w:type="spellEnd"/>
    </w:p>
    <w:p w:rsidR="001B221C" w:rsidRPr="00671597" w:rsidRDefault="001B221C" w:rsidP="001B221C">
      <w:pPr>
        <w:jc w:val="both"/>
      </w:pPr>
      <w:r w:rsidRPr="00671597">
        <w:t>Koloidní bez</w:t>
      </w:r>
      <w:r>
        <w:t>v</w:t>
      </w:r>
      <w:r w:rsidRPr="00671597">
        <w:t>odý oxid křemičitý</w:t>
      </w:r>
    </w:p>
    <w:p w:rsidR="001B221C" w:rsidRPr="00671597" w:rsidRDefault="001B221C" w:rsidP="001B221C">
      <w:pPr>
        <w:jc w:val="both"/>
      </w:pPr>
      <w:proofErr w:type="spellStart"/>
      <w:r w:rsidRPr="00671597">
        <w:t>Krospovidon</w:t>
      </w:r>
      <w:proofErr w:type="spellEnd"/>
    </w:p>
    <w:p w:rsidR="001B221C" w:rsidRPr="00671597" w:rsidRDefault="001B221C" w:rsidP="001B221C">
      <w:pPr>
        <w:jc w:val="both"/>
      </w:pPr>
      <w:r w:rsidRPr="00671597">
        <w:t>Mastek</w:t>
      </w:r>
    </w:p>
    <w:p w:rsidR="001B221C" w:rsidRPr="00671597" w:rsidRDefault="001B221C" w:rsidP="001B221C">
      <w:pPr>
        <w:jc w:val="both"/>
      </w:pPr>
      <w:r w:rsidRPr="00671597">
        <w:t>Magnesium</w:t>
      </w:r>
      <w:r>
        <w:t>-</w:t>
      </w:r>
      <w:proofErr w:type="spellStart"/>
      <w:r w:rsidRPr="00671597">
        <w:t>stearát</w:t>
      </w:r>
      <w:proofErr w:type="spellEnd"/>
    </w:p>
    <w:p w:rsidR="001B221C" w:rsidRDefault="001B221C" w:rsidP="001B221C">
      <w:pPr>
        <w:ind w:left="0" w:firstLine="0"/>
        <w:jc w:val="both"/>
      </w:pPr>
      <w:r w:rsidRPr="00380171">
        <w:t>Potah tablety:</w:t>
      </w:r>
    </w:p>
    <w:p w:rsidR="001B221C" w:rsidRPr="00380171" w:rsidRDefault="001B221C" w:rsidP="001B221C">
      <w:pPr>
        <w:jc w:val="both"/>
      </w:pPr>
      <w:r>
        <w:t>Aroma</w:t>
      </w:r>
      <w:r w:rsidRPr="00380171">
        <w:t xml:space="preserve"> grilovaného masa</w:t>
      </w:r>
    </w:p>
    <w:p w:rsidR="001B221C" w:rsidRPr="00380171" w:rsidRDefault="001B221C" w:rsidP="001B221C">
      <w:pPr>
        <w:ind w:left="0" w:firstLine="0"/>
        <w:jc w:val="both"/>
      </w:pPr>
    </w:p>
    <w:p w:rsidR="001B221C" w:rsidRPr="00380171" w:rsidRDefault="001B221C" w:rsidP="001B221C">
      <w:pPr>
        <w:jc w:val="both"/>
      </w:pPr>
      <w:r>
        <w:t xml:space="preserve">Potahová soustava </w:t>
      </w:r>
      <w:proofErr w:type="spellStart"/>
      <w:r>
        <w:t>Opadry</w:t>
      </w:r>
      <w:proofErr w:type="spellEnd"/>
      <w:r>
        <w:t xml:space="preserve"> II r</w:t>
      </w:r>
      <w:r w:rsidRPr="00671597">
        <w:t>ů</w:t>
      </w:r>
      <w:r>
        <w:t>žová obsahuje</w:t>
      </w:r>
      <w:r w:rsidRPr="00380171">
        <w:t> </w:t>
      </w:r>
    </w:p>
    <w:p w:rsidR="001B221C" w:rsidRPr="00380171" w:rsidRDefault="001B221C" w:rsidP="001B221C">
      <w:pPr>
        <w:jc w:val="both"/>
      </w:pPr>
      <w:proofErr w:type="spellStart"/>
      <w:r>
        <w:t>P</w:t>
      </w:r>
      <w:r w:rsidRPr="00380171">
        <w:t>olyvinylalkohol</w:t>
      </w:r>
      <w:proofErr w:type="spellEnd"/>
      <w:r>
        <w:t>,</w:t>
      </w:r>
    </w:p>
    <w:p w:rsidR="001B221C" w:rsidRPr="00380171" w:rsidRDefault="001B221C" w:rsidP="001B221C">
      <w:pPr>
        <w:jc w:val="both"/>
      </w:pPr>
      <w:r>
        <w:t>O</w:t>
      </w:r>
      <w:r w:rsidRPr="00380171">
        <w:t>xid titaničitý (E171)</w:t>
      </w:r>
      <w:r>
        <w:t>,</w:t>
      </w:r>
    </w:p>
    <w:p w:rsidR="001B221C" w:rsidRPr="00380171" w:rsidRDefault="001B221C" w:rsidP="001B221C">
      <w:pPr>
        <w:jc w:val="both"/>
      </w:pPr>
      <w:proofErr w:type="spellStart"/>
      <w:r w:rsidRPr="00380171">
        <w:t>Makrogol</w:t>
      </w:r>
      <w:proofErr w:type="spellEnd"/>
      <w:r w:rsidRPr="00380171">
        <w:t xml:space="preserve"> 3350</w:t>
      </w:r>
      <w:r>
        <w:t>,</w:t>
      </w:r>
    </w:p>
    <w:p w:rsidR="001B221C" w:rsidRDefault="001B221C" w:rsidP="001B221C">
      <w:pPr>
        <w:jc w:val="both"/>
      </w:pPr>
      <w:r w:rsidRPr="00380171">
        <w:t>Mastek (E553b)</w:t>
      </w:r>
      <w:r>
        <w:t>,</w:t>
      </w:r>
    </w:p>
    <w:p w:rsidR="001B221C" w:rsidRDefault="001B221C" w:rsidP="001B221C">
      <w:pPr>
        <w:jc w:val="both"/>
      </w:pPr>
      <w:r w:rsidRPr="00CE0F26">
        <w:rPr>
          <w:caps/>
        </w:rPr>
        <w:t>ž</w:t>
      </w:r>
      <w:r>
        <w:t>lutý oxid železitý (E172),</w:t>
      </w:r>
    </w:p>
    <w:p w:rsidR="001B221C" w:rsidRPr="00380171" w:rsidRDefault="001B221C" w:rsidP="001B221C">
      <w:pPr>
        <w:jc w:val="both"/>
      </w:pPr>
      <w:r>
        <w:t>Červený oxid železitý (E172)</w:t>
      </w: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jc w:val="both"/>
      </w:pPr>
      <w:r>
        <w:rPr>
          <w:b/>
        </w:rPr>
        <w:t>6.2</w:t>
      </w:r>
      <w:r>
        <w:rPr>
          <w:b/>
        </w:rPr>
        <w:tab/>
        <w:t>Inkompatibility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t>Neuplatňuje se.</w:t>
      </w:r>
    </w:p>
    <w:p w:rsidR="001B221C" w:rsidRDefault="001B221C" w:rsidP="001B221C">
      <w:pPr>
        <w:jc w:val="both"/>
      </w:pPr>
    </w:p>
    <w:p w:rsidR="001B221C" w:rsidRDefault="001B221C" w:rsidP="001B221C">
      <w:pPr>
        <w:jc w:val="both"/>
      </w:pPr>
      <w:r>
        <w:rPr>
          <w:b/>
        </w:rPr>
        <w:t>6.3</w:t>
      </w:r>
      <w:r>
        <w:rPr>
          <w:b/>
        </w:rPr>
        <w:tab/>
        <w:t>Doba použitelnosti</w:t>
      </w:r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ind w:right="-318"/>
        <w:jc w:val="both"/>
      </w:pPr>
      <w:r>
        <w:t xml:space="preserve">Doba použitelnosti veterinárního léčivého přípravku v neporušeném obalu: </w:t>
      </w:r>
      <w:r w:rsidR="000F46FC">
        <w:t>2 roky</w:t>
      </w:r>
      <w:r>
        <w:t>.</w:t>
      </w:r>
    </w:p>
    <w:p w:rsidR="001B221C" w:rsidRDefault="00711173" w:rsidP="001B221C">
      <w:pPr>
        <w:ind w:right="-318"/>
        <w:jc w:val="both"/>
      </w:pPr>
      <w:bookmarkStart w:id="1" w:name="_Hlk153890645"/>
      <w:r>
        <w:t xml:space="preserve">Zbylé nepoužité části tablety </w:t>
      </w:r>
      <w:r w:rsidR="002F3B9E">
        <w:t>podejte</w:t>
      </w:r>
      <w:r>
        <w:t xml:space="preserve"> při příštím podání</w:t>
      </w:r>
      <w:r w:rsidR="001B221C">
        <w:t>.</w:t>
      </w:r>
      <w:bookmarkEnd w:id="1"/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jc w:val="both"/>
      </w:pPr>
      <w:r>
        <w:rPr>
          <w:b/>
        </w:rPr>
        <w:t>6.4</w:t>
      </w:r>
      <w:r>
        <w:rPr>
          <w:b/>
        </w:rPr>
        <w:tab/>
        <w:t>Zvláštní opatření pro uchovávání</w:t>
      </w:r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ind w:right="-318"/>
        <w:jc w:val="both"/>
      </w:pPr>
      <w:r>
        <w:t xml:space="preserve">Uchovávejte při teplotě do 25 </w:t>
      </w:r>
      <w:r>
        <w:sym w:font="Symbol" w:char="F0B0"/>
      </w:r>
      <w:r>
        <w:t>C.</w:t>
      </w:r>
    </w:p>
    <w:p w:rsidR="001B221C" w:rsidRDefault="001B221C" w:rsidP="001B221C">
      <w:pPr>
        <w:ind w:right="-318"/>
        <w:jc w:val="both"/>
      </w:pPr>
      <w:r>
        <w:t xml:space="preserve">Uchovávejte vnitřní obal v krabičce, aby byl </w:t>
      </w:r>
      <w:r w:rsidR="000F46FC">
        <w:t xml:space="preserve">přípravek </w:t>
      </w:r>
      <w:r>
        <w:t>chráněn před světlem.</w:t>
      </w:r>
    </w:p>
    <w:p w:rsidR="001B221C" w:rsidRDefault="001B221C" w:rsidP="001B221C">
      <w:pPr>
        <w:ind w:left="0" w:right="-318" w:firstLine="0"/>
        <w:jc w:val="both"/>
      </w:pPr>
      <w:r>
        <w:t xml:space="preserve">Zbylé nepoužité </w:t>
      </w:r>
      <w:r w:rsidR="002F3B9E">
        <w:t xml:space="preserve">části </w:t>
      </w:r>
      <w:r>
        <w:t>tablet</w:t>
      </w:r>
      <w:r w:rsidR="002F3B9E">
        <w:t>y</w:t>
      </w:r>
      <w:r>
        <w:t xml:space="preserve"> vraťte zpět do blistru a uchovávejte v</w:t>
      </w:r>
      <w:r w:rsidR="00CB13C6">
        <w:t> papírové krabičce</w:t>
      </w:r>
      <w:r>
        <w:t>.</w:t>
      </w:r>
    </w:p>
    <w:p w:rsidR="001B221C" w:rsidRDefault="001B221C" w:rsidP="001B221C">
      <w:pPr>
        <w:ind w:left="0" w:right="-318" w:firstLine="0"/>
        <w:jc w:val="both"/>
      </w:pPr>
    </w:p>
    <w:p w:rsidR="001B221C" w:rsidRDefault="001B221C" w:rsidP="001B221C">
      <w:pPr>
        <w:jc w:val="both"/>
      </w:pPr>
      <w:r>
        <w:rPr>
          <w:b/>
        </w:rPr>
        <w:t>6.5</w:t>
      </w:r>
      <w:r>
        <w:rPr>
          <w:b/>
        </w:rPr>
        <w:tab/>
        <w:t>Druh a složení vnitřního obalu</w:t>
      </w:r>
    </w:p>
    <w:p w:rsidR="001B221C" w:rsidRDefault="001B221C" w:rsidP="001B221C">
      <w:pPr>
        <w:jc w:val="both"/>
      </w:pPr>
    </w:p>
    <w:p w:rsidR="001B221C" w:rsidRDefault="001B221C" w:rsidP="001B221C">
      <w:pPr>
        <w:ind w:left="0" w:firstLine="0"/>
        <w:jc w:val="both"/>
      </w:pPr>
      <w:r>
        <w:t>Tepelně zatavené blistry z PVC/PE/PVDC laminátu s hliníkovou krycí fólií obsahující 14 nebo 15 tablet v jednom blistru.</w:t>
      </w:r>
    </w:p>
    <w:p w:rsidR="001B221C" w:rsidRDefault="001B221C" w:rsidP="001B221C">
      <w:pPr>
        <w:ind w:left="0" w:firstLine="0"/>
        <w:jc w:val="both"/>
      </w:pPr>
    </w:p>
    <w:p w:rsidR="001B221C" w:rsidRDefault="001B221C" w:rsidP="001B221C">
      <w:pPr>
        <w:ind w:left="0" w:firstLine="0"/>
        <w:jc w:val="both"/>
      </w:pPr>
      <w:r>
        <w:t>Velikosti balení:</w:t>
      </w:r>
    </w:p>
    <w:p w:rsidR="001B221C" w:rsidRDefault="002F3B9E" w:rsidP="001B221C">
      <w:pPr>
        <w:ind w:left="0" w:right="-720" w:firstLine="0"/>
        <w:jc w:val="both"/>
      </w:pPr>
      <w:r>
        <w:t xml:space="preserve">Papírová </w:t>
      </w:r>
      <w:r w:rsidR="001B221C">
        <w:t xml:space="preserve">krabička: </w:t>
      </w:r>
      <w:r w:rsidR="001B221C" w:rsidRPr="00380171">
        <w:t>14,</w:t>
      </w:r>
      <w:r w:rsidR="001B221C">
        <w:t xml:space="preserve"> 15, </w:t>
      </w:r>
      <w:r w:rsidR="001B221C" w:rsidRPr="00380171">
        <w:t xml:space="preserve">28, </w:t>
      </w:r>
      <w:r w:rsidR="001B221C">
        <w:t xml:space="preserve">30, </w:t>
      </w:r>
      <w:r w:rsidR="001B221C" w:rsidRPr="00380171">
        <w:t>42,</w:t>
      </w:r>
      <w:r w:rsidR="001B221C">
        <w:t xml:space="preserve"> 45,</w:t>
      </w:r>
      <w:r w:rsidR="001B221C" w:rsidRPr="00380171">
        <w:t xml:space="preserve"> 56, </w:t>
      </w:r>
      <w:r w:rsidR="001B221C">
        <w:t xml:space="preserve">60, </w:t>
      </w:r>
      <w:r w:rsidR="001B221C" w:rsidRPr="00380171">
        <w:t xml:space="preserve">70, </w:t>
      </w:r>
      <w:r w:rsidR="001B221C">
        <w:t xml:space="preserve">75, </w:t>
      </w:r>
      <w:r w:rsidR="001B221C" w:rsidRPr="00380171">
        <w:t xml:space="preserve">84, </w:t>
      </w:r>
      <w:r w:rsidR="001B221C">
        <w:t xml:space="preserve">90, </w:t>
      </w:r>
      <w:r w:rsidR="001B221C" w:rsidRPr="00380171">
        <w:t xml:space="preserve">98, </w:t>
      </w:r>
      <w:r w:rsidR="001B221C">
        <w:t xml:space="preserve">105, </w:t>
      </w:r>
      <w:r w:rsidR="001B221C" w:rsidRPr="00380171">
        <w:t xml:space="preserve">112, </w:t>
      </w:r>
      <w:r w:rsidR="001B221C">
        <w:t xml:space="preserve">120, </w:t>
      </w:r>
      <w:r w:rsidR="001B221C" w:rsidRPr="00380171">
        <w:t>128,</w:t>
      </w:r>
      <w:r w:rsidR="001B221C">
        <w:t xml:space="preserve"> 135,</w:t>
      </w:r>
      <w:r w:rsidR="001B221C" w:rsidRPr="00380171">
        <w:t xml:space="preserve"> 140, </w:t>
      </w:r>
      <w:r w:rsidR="001B221C">
        <w:t>150,</w:t>
      </w:r>
    </w:p>
    <w:p w:rsidR="001B221C" w:rsidRDefault="001B221C" w:rsidP="001B221C">
      <w:pPr>
        <w:ind w:left="0" w:right="-720" w:firstLine="0"/>
        <w:jc w:val="both"/>
      </w:pPr>
      <w:r w:rsidRPr="00380171">
        <w:t>154,</w:t>
      </w:r>
      <w:r>
        <w:t xml:space="preserve"> 165,</w:t>
      </w:r>
      <w:r w:rsidRPr="00380171">
        <w:t xml:space="preserve"> 168,</w:t>
      </w:r>
      <w:r>
        <w:t xml:space="preserve"> 180,</w:t>
      </w:r>
      <w:r w:rsidRPr="00380171">
        <w:t xml:space="preserve"> 182,</w:t>
      </w:r>
      <w:r>
        <w:t xml:space="preserve"> 195,</w:t>
      </w:r>
      <w:r w:rsidRPr="00380171">
        <w:t xml:space="preserve"> 196, 210, 224, </w:t>
      </w:r>
      <w:r>
        <w:t xml:space="preserve">225, </w:t>
      </w:r>
      <w:r w:rsidRPr="00380171">
        <w:t>238,</w:t>
      </w:r>
      <w:r>
        <w:t xml:space="preserve"> 240,</w:t>
      </w:r>
      <w:r w:rsidRPr="00380171">
        <w:t xml:space="preserve"> 252, </w:t>
      </w:r>
      <w:r>
        <w:t xml:space="preserve">255, </w:t>
      </w:r>
      <w:r w:rsidRPr="00380171">
        <w:t>266,</w:t>
      </w:r>
      <w:r>
        <w:t xml:space="preserve"> 270,</w:t>
      </w:r>
      <w:r w:rsidRPr="00380171">
        <w:t xml:space="preserve"> 280, </w:t>
      </w:r>
      <w:r>
        <w:t xml:space="preserve">285, </w:t>
      </w:r>
      <w:r w:rsidRPr="00380171">
        <w:t xml:space="preserve">294, </w:t>
      </w:r>
      <w:r>
        <w:t xml:space="preserve">300, </w:t>
      </w:r>
      <w:r w:rsidRPr="00380171">
        <w:t>308,</w:t>
      </w:r>
    </w:p>
    <w:p w:rsidR="001B221C" w:rsidRDefault="001B221C" w:rsidP="001B221C">
      <w:pPr>
        <w:ind w:left="0" w:right="-720" w:firstLine="0"/>
        <w:jc w:val="both"/>
      </w:pPr>
      <w:r>
        <w:t>315,</w:t>
      </w:r>
      <w:r w:rsidRPr="00380171">
        <w:t xml:space="preserve"> 350, </w:t>
      </w:r>
      <w:r>
        <w:t xml:space="preserve">390, </w:t>
      </w:r>
      <w:r w:rsidRPr="00380171">
        <w:t>392, 448,</w:t>
      </w:r>
      <w:r>
        <w:t xml:space="preserve"> 450, 540,</w:t>
      </w:r>
      <w:r w:rsidRPr="00380171">
        <w:t xml:space="preserve"> 546, </w:t>
      </w:r>
      <w:r>
        <w:t xml:space="preserve">600, </w:t>
      </w:r>
      <w:r w:rsidRPr="00380171">
        <w:t xml:space="preserve">602, 700, </w:t>
      </w:r>
      <w:r>
        <w:t>705,</w:t>
      </w:r>
      <w:r w:rsidRPr="00380171">
        <w:t xml:space="preserve">798, </w:t>
      </w:r>
      <w:r>
        <w:t xml:space="preserve">810, </w:t>
      </w:r>
      <w:r w:rsidRPr="00380171">
        <w:t>8</w:t>
      </w:r>
      <w:r>
        <w:t>96, 900, 994, 1005 a 1008 tablet</w:t>
      </w:r>
    </w:p>
    <w:p w:rsidR="001B221C" w:rsidRPr="00380171" w:rsidRDefault="001B221C" w:rsidP="001B221C">
      <w:pPr>
        <w:ind w:left="0" w:right="-720" w:firstLine="0"/>
        <w:jc w:val="both"/>
      </w:pPr>
    </w:p>
    <w:p w:rsidR="001B221C" w:rsidRDefault="001B221C" w:rsidP="001B221C">
      <w:pPr>
        <w:ind w:left="0" w:firstLine="0"/>
        <w:jc w:val="both"/>
      </w:pPr>
      <w:r>
        <w:t>Na trhu nemusí být všechny velikosti balení.</w:t>
      </w:r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jc w:val="both"/>
      </w:pPr>
      <w:r>
        <w:rPr>
          <w:b/>
        </w:rPr>
        <w:t>6.6</w:t>
      </w:r>
      <w:r>
        <w:tab/>
      </w:r>
      <w:r>
        <w:rPr>
          <w:b/>
        </w:rPr>
        <w:t xml:space="preserve">Zvláštní opatření pro zneškodňování nepoužitého veterinárního léčivého přípravku nebo odpadu, který pochází z tohoto přípravku </w:t>
      </w:r>
    </w:p>
    <w:p w:rsidR="001B221C" w:rsidRDefault="001B221C" w:rsidP="001B221C">
      <w:pPr>
        <w:ind w:right="-318"/>
        <w:jc w:val="both"/>
      </w:pPr>
    </w:p>
    <w:p w:rsidR="001B221C" w:rsidRPr="00380171" w:rsidRDefault="001B221C" w:rsidP="001B221C">
      <w:pPr>
        <w:ind w:left="0" w:right="-318" w:firstLine="0"/>
        <w:jc w:val="both"/>
        <w:rPr>
          <w:i/>
        </w:rPr>
      </w:pPr>
      <w:r>
        <w:t>Všechen nepoužitý veterinární léčivý přípravek nebo odpad, který pochází z tohoto přípravku, musí být likvidován podle místních právních předpisů.</w:t>
      </w:r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jc w:val="both"/>
        <w:rPr>
          <w:b/>
        </w:rPr>
      </w:pPr>
      <w:r>
        <w:rPr>
          <w:b/>
        </w:rPr>
        <w:lastRenderedPageBreak/>
        <w:t>7.</w:t>
      </w:r>
      <w:r>
        <w:rPr>
          <w:b/>
        </w:rPr>
        <w:tab/>
        <w:t xml:space="preserve">DRŽITEL ROZHODNUTÍ O REGISTRACI </w:t>
      </w:r>
    </w:p>
    <w:p w:rsidR="001B221C" w:rsidRDefault="001B221C" w:rsidP="001B221C">
      <w:pPr>
        <w:jc w:val="both"/>
        <w:rPr>
          <w:b/>
        </w:rPr>
      </w:pPr>
    </w:p>
    <w:p w:rsidR="001B221C" w:rsidRDefault="001B221C" w:rsidP="001B221C">
      <w:pPr>
        <w:ind w:right="-318"/>
        <w:jc w:val="both"/>
      </w:pPr>
      <w:proofErr w:type="spellStart"/>
      <w:r>
        <w:rPr>
          <w:bCs/>
        </w:rPr>
        <w:t>Chanelle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Pharamceuticals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Manufacturing</w:t>
      </w:r>
      <w:proofErr w:type="spellEnd"/>
      <w:r>
        <w:rPr>
          <w:bCs/>
        </w:rPr>
        <w:t xml:space="preserve"> Ltd., </w:t>
      </w:r>
      <w:proofErr w:type="spellStart"/>
      <w:r w:rsidRPr="00380171">
        <w:rPr>
          <w:bCs/>
        </w:rPr>
        <w:t>Loughrea</w:t>
      </w:r>
      <w:proofErr w:type="spellEnd"/>
      <w:r w:rsidRPr="00380171">
        <w:rPr>
          <w:bCs/>
        </w:rPr>
        <w:t xml:space="preserve">, Co. </w:t>
      </w:r>
      <w:proofErr w:type="spellStart"/>
      <w:r w:rsidRPr="00380171">
        <w:rPr>
          <w:bCs/>
        </w:rPr>
        <w:t>Galway</w:t>
      </w:r>
      <w:proofErr w:type="spellEnd"/>
      <w:r w:rsidRPr="00380171">
        <w:rPr>
          <w:bCs/>
        </w:rPr>
        <w:t xml:space="preserve">, </w:t>
      </w:r>
      <w:r>
        <w:rPr>
          <w:bCs/>
        </w:rPr>
        <w:t>Irsko</w:t>
      </w:r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ind w:right="-318"/>
        <w:jc w:val="both"/>
        <w:rPr>
          <w:b/>
          <w:caps/>
        </w:rPr>
      </w:pPr>
      <w:r>
        <w:rPr>
          <w:b/>
        </w:rPr>
        <w:t>8.</w:t>
      </w:r>
      <w:r>
        <w:tab/>
      </w:r>
      <w:r>
        <w:rPr>
          <w:b/>
          <w:caps/>
        </w:rPr>
        <w:t>Registrační číslo (a)</w:t>
      </w:r>
    </w:p>
    <w:p w:rsidR="001B221C" w:rsidRDefault="001B221C" w:rsidP="001B221C">
      <w:pPr>
        <w:ind w:right="-318"/>
        <w:jc w:val="both"/>
        <w:rPr>
          <w:b/>
          <w:caps/>
        </w:rPr>
      </w:pPr>
    </w:p>
    <w:p w:rsidR="001B221C" w:rsidRPr="00CE0F26" w:rsidRDefault="001B221C" w:rsidP="001B221C">
      <w:pPr>
        <w:ind w:right="-318"/>
        <w:jc w:val="both"/>
        <w:rPr>
          <w:caps/>
        </w:rPr>
      </w:pPr>
      <w:r w:rsidRPr="00CE0F26">
        <w:rPr>
          <w:caps/>
        </w:rPr>
        <w:t>96/11</w:t>
      </w:r>
      <w:r>
        <w:rPr>
          <w:caps/>
        </w:rPr>
        <w:t>6</w:t>
      </w:r>
      <w:r w:rsidRPr="00CE0F26">
        <w:rPr>
          <w:caps/>
        </w:rPr>
        <w:t>/</w:t>
      </w:r>
      <w:proofErr w:type="gramStart"/>
      <w:r w:rsidRPr="00CE0F26">
        <w:rPr>
          <w:caps/>
        </w:rPr>
        <w:t>12-C</w:t>
      </w:r>
      <w:proofErr w:type="gramEnd"/>
    </w:p>
    <w:p w:rsidR="001B221C" w:rsidRDefault="001B221C" w:rsidP="001B221C">
      <w:pPr>
        <w:ind w:right="-318"/>
        <w:jc w:val="both"/>
        <w:rPr>
          <w:b/>
          <w:caps/>
        </w:rPr>
      </w:pPr>
    </w:p>
    <w:p w:rsidR="001B221C" w:rsidRDefault="001B221C" w:rsidP="001B221C">
      <w:pPr>
        <w:ind w:right="-318"/>
        <w:jc w:val="both"/>
        <w:rPr>
          <w:b/>
          <w:caps/>
        </w:rPr>
      </w:pPr>
    </w:p>
    <w:p w:rsidR="001B221C" w:rsidRDefault="001B221C" w:rsidP="001B221C">
      <w:pPr>
        <w:ind w:right="-318"/>
        <w:jc w:val="both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Datum registrace/ prodloužení registrace</w:t>
      </w:r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ind w:right="-318"/>
        <w:jc w:val="both"/>
      </w:pPr>
      <w:r>
        <w:t>25. 10. 2012/ 19. 1. 2017</w:t>
      </w:r>
    </w:p>
    <w:p w:rsidR="001B221C" w:rsidRDefault="001B221C" w:rsidP="001B221C">
      <w:pPr>
        <w:ind w:right="-318"/>
        <w:jc w:val="both"/>
      </w:pPr>
    </w:p>
    <w:p w:rsidR="001B221C" w:rsidRDefault="001B221C" w:rsidP="001B221C">
      <w:pPr>
        <w:ind w:right="-318"/>
        <w:jc w:val="both"/>
        <w:rPr>
          <w:b/>
        </w:rPr>
      </w:pPr>
      <w:r>
        <w:rPr>
          <w:b/>
        </w:rPr>
        <w:t xml:space="preserve">10. </w:t>
      </w:r>
      <w:r>
        <w:rPr>
          <w:b/>
        </w:rPr>
        <w:tab/>
        <w:t>DATUM REVIZE TEXTU</w:t>
      </w:r>
    </w:p>
    <w:p w:rsidR="001B221C" w:rsidRDefault="001B221C" w:rsidP="001B221C">
      <w:pPr>
        <w:ind w:right="-318"/>
        <w:jc w:val="both"/>
        <w:rPr>
          <w:b/>
        </w:rPr>
      </w:pPr>
    </w:p>
    <w:p w:rsidR="001B221C" w:rsidRPr="00CE0F26" w:rsidRDefault="00A34CD3" w:rsidP="001B221C">
      <w:pPr>
        <w:ind w:right="-318"/>
        <w:jc w:val="both"/>
      </w:pPr>
      <w:r>
        <w:t>Únor</w:t>
      </w:r>
      <w:bookmarkStart w:id="2" w:name="_GoBack"/>
      <w:bookmarkEnd w:id="2"/>
      <w:r w:rsidR="000676B6">
        <w:t xml:space="preserve"> </w:t>
      </w:r>
      <w:r w:rsidR="001B221C">
        <w:t>20</w:t>
      </w:r>
      <w:r w:rsidR="00A16825">
        <w:t>2</w:t>
      </w:r>
      <w:r w:rsidR="000D4EC9">
        <w:t>4</w:t>
      </w:r>
    </w:p>
    <w:p w:rsidR="001B221C" w:rsidRDefault="001B221C" w:rsidP="001B221C">
      <w:pPr>
        <w:ind w:right="-318"/>
        <w:jc w:val="both"/>
        <w:rPr>
          <w:b/>
        </w:rPr>
      </w:pPr>
    </w:p>
    <w:p w:rsidR="001B221C" w:rsidRDefault="001B221C" w:rsidP="001B221C">
      <w:pPr>
        <w:ind w:right="-318"/>
        <w:jc w:val="both"/>
        <w:rPr>
          <w:b/>
        </w:rPr>
      </w:pPr>
    </w:p>
    <w:p w:rsidR="001B221C" w:rsidRDefault="001B221C" w:rsidP="001B221C">
      <w:pPr>
        <w:ind w:left="0" w:firstLine="0"/>
        <w:jc w:val="both"/>
        <w:rPr>
          <w:caps/>
        </w:rPr>
      </w:pPr>
      <w:r>
        <w:rPr>
          <w:b/>
          <w:caps/>
        </w:rPr>
        <w:t>další informace</w:t>
      </w:r>
    </w:p>
    <w:p w:rsidR="001B221C" w:rsidRDefault="001B221C" w:rsidP="001B221C">
      <w:pPr>
        <w:ind w:left="0" w:firstLine="0"/>
        <w:jc w:val="both"/>
      </w:pPr>
    </w:p>
    <w:p w:rsidR="001B221C" w:rsidRDefault="001B221C" w:rsidP="001B221C">
      <w:pPr>
        <w:jc w:val="both"/>
      </w:pPr>
      <w:r>
        <w:t>Veterinární léčivý přípravek je vydáván pouze na předpis.</w:t>
      </w:r>
    </w:p>
    <w:p w:rsidR="001B221C" w:rsidRDefault="001B221C" w:rsidP="001B221C">
      <w:pPr>
        <w:jc w:val="both"/>
        <w:rPr>
          <w:bCs/>
        </w:rPr>
      </w:pPr>
    </w:p>
    <w:p w:rsidR="00990659" w:rsidRDefault="00990659" w:rsidP="00C63625">
      <w:pPr>
        <w:ind w:left="0" w:firstLine="0"/>
      </w:pPr>
    </w:p>
    <w:sectPr w:rsidR="00990659" w:rsidSect="00B05133">
      <w:footerReference w:type="default" r:id="rId11"/>
      <w:footerReference w:type="first" r:id="rId12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78" w:rsidRDefault="00D75F78">
      <w:r>
        <w:separator/>
      </w:r>
    </w:p>
  </w:endnote>
  <w:endnote w:type="continuationSeparator" w:id="0">
    <w:p w:rsidR="00D75F78" w:rsidRDefault="00D7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990659" w:rsidRDefault="00610FA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B51F24">
      <w:instrText xml:space="preserve"> PAGE  \* MERGEFORMAT </w:instrText>
    </w:r>
    <w:r>
      <w:fldChar w:fldCharType="separate"/>
    </w:r>
    <w:r w:rsidR="001B221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</w:pPr>
  </w:p>
  <w:p w:rsidR="00990659" w:rsidRDefault="00610FA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B51F24">
      <w:instrText xml:space="preserve"> PAGE  \* MERGEFORMAT </w:instrText>
    </w:r>
    <w:r>
      <w:fldChar w:fldCharType="separate"/>
    </w:r>
    <w:r w:rsidR="001B221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78" w:rsidRDefault="00D75F78">
      <w:r>
        <w:separator/>
      </w:r>
    </w:p>
  </w:footnote>
  <w:footnote w:type="continuationSeparator" w:id="0">
    <w:p w:rsidR="00D75F78" w:rsidRDefault="00D7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Restart w:val="2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Restart w:val="2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Restart w:val="2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Restart w:val="2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Restart w:val="2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33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1"/>
  </w:num>
  <w:num w:numId="11">
    <w:abstractNumId w:val="32"/>
  </w:num>
  <w:num w:numId="12">
    <w:abstractNumId w:val="16"/>
  </w:num>
  <w:num w:numId="13">
    <w:abstractNumId w:val="13"/>
  </w:num>
  <w:num w:numId="14">
    <w:abstractNumId w:val="2"/>
  </w:num>
  <w:num w:numId="15">
    <w:abstractNumId w:val="30"/>
  </w:num>
  <w:num w:numId="16">
    <w:abstractNumId w:val="18"/>
  </w:num>
  <w:num w:numId="17">
    <w:abstractNumId w:val="35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29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7"/>
  </w:num>
  <w:num w:numId="34">
    <w:abstractNumId w:val="28"/>
  </w:num>
  <w:num w:numId="35">
    <w:abstractNumId w:val="26"/>
  </w:num>
  <w:num w:numId="36">
    <w:abstractNumId w:val="15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0676B6"/>
    <w:rsid w:val="000D4EC9"/>
    <w:rsid w:val="000E4C9B"/>
    <w:rsid w:val="000F46FC"/>
    <w:rsid w:val="001B221C"/>
    <w:rsid w:val="00242705"/>
    <w:rsid w:val="002A0BAF"/>
    <w:rsid w:val="002E7C7F"/>
    <w:rsid w:val="002F3B9E"/>
    <w:rsid w:val="0039432C"/>
    <w:rsid w:val="003D5AE0"/>
    <w:rsid w:val="005A6B04"/>
    <w:rsid w:val="00610FA2"/>
    <w:rsid w:val="00707D64"/>
    <w:rsid w:val="00711173"/>
    <w:rsid w:val="00724C7F"/>
    <w:rsid w:val="00733D8F"/>
    <w:rsid w:val="00782AF4"/>
    <w:rsid w:val="008B63DD"/>
    <w:rsid w:val="00990659"/>
    <w:rsid w:val="009C21D5"/>
    <w:rsid w:val="00A16825"/>
    <w:rsid w:val="00A34CD3"/>
    <w:rsid w:val="00A82534"/>
    <w:rsid w:val="00A90943"/>
    <w:rsid w:val="00AF6BC6"/>
    <w:rsid w:val="00B05133"/>
    <w:rsid w:val="00B51F24"/>
    <w:rsid w:val="00B65AAE"/>
    <w:rsid w:val="00C63625"/>
    <w:rsid w:val="00CB13C6"/>
    <w:rsid w:val="00D13D78"/>
    <w:rsid w:val="00D75F78"/>
    <w:rsid w:val="00DF6EF5"/>
    <w:rsid w:val="00E7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AEFF"/>
  <w15:docId w15:val="{F4B78F7F-570F-4981-8098-D701B3A5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05133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B0513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B0513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B0513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B05133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B05133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B0513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B0513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B05133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B05133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05133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B05133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B05133"/>
    <w:pPr>
      <w:ind w:left="1760"/>
    </w:pPr>
  </w:style>
  <w:style w:type="character" w:styleId="Odkaznavysvtlivky">
    <w:name w:val="endnote reference"/>
    <w:rsid w:val="00B05133"/>
    <w:rPr>
      <w:vertAlign w:val="superscript"/>
    </w:rPr>
  </w:style>
  <w:style w:type="character" w:styleId="Znakapoznpodarou">
    <w:name w:val="footnote reference"/>
    <w:rsid w:val="00B05133"/>
    <w:rPr>
      <w:vertAlign w:val="superscript"/>
    </w:rPr>
  </w:style>
  <w:style w:type="paragraph" w:styleId="Textpoznpodarou">
    <w:name w:val="footnote text"/>
    <w:basedOn w:val="Normln"/>
    <w:rsid w:val="00B05133"/>
    <w:pPr>
      <w:jc w:val="both"/>
    </w:pPr>
    <w:rPr>
      <w:sz w:val="20"/>
    </w:rPr>
  </w:style>
  <w:style w:type="paragraph" w:styleId="Zkladntext">
    <w:name w:val="Body Text"/>
    <w:basedOn w:val="Normln"/>
    <w:rsid w:val="00B05133"/>
    <w:pPr>
      <w:jc w:val="both"/>
    </w:pPr>
  </w:style>
  <w:style w:type="paragraph" w:styleId="Textvbloku">
    <w:name w:val="Block Text"/>
    <w:basedOn w:val="Normln"/>
    <w:rsid w:val="00B05133"/>
    <w:pPr>
      <w:ind w:left="2268" w:right="1711"/>
    </w:pPr>
    <w:rPr>
      <w:b/>
    </w:rPr>
  </w:style>
  <w:style w:type="paragraph" w:styleId="Zkladntext2">
    <w:name w:val="Body Text 2"/>
    <w:basedOn w:val="Normln"/>
    <w:rsid w:val="00B05133"/>
    <w:rPr>
      <w:b/>
    </w:rPr>
  </w:style>
  <w:style w:type="paragraph" w:styleId="Zkladntext3">
    <w:name w:val="Body Text 3"/>
    <w:basedOn w:val="Normln"/>
    <w:rsid w:val="00B05133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B05133"/>
  </w:style>
  <w:style w:type="character" w:styleId="Odkaznakoment">
    <w:name w:val="annotation reference"/>
    <w:rsid w:val="00B05133"/>
    <w:rPr>
      <w:sz w:val="16"/>
    </w:rPr>
  </w:style>
  <w:style w:type="paragraph" w:styleId="Zkladntextodsazen2">
    <w:name w:val="Body Text Indent 2"/>
    <w:basedOn w:val="Normln"/>
    <w:rsid w:val="00B05133"/>
    <w:pPr>
      <w:jc w:val="both"/>
    </w:pPr>
    <w:rPr>
      <w:b/>
    </w:rPr>
  </w:style>
  <w:style w:type="paragraph" w:styleId="Textkomente">
    <w:name w:val="annotation text"/>
    <w:basedOn w:val="Normln"/>
    <w:rsid w:val="00B05133"/>
    <w:rPr>
      <w:sz w:val="20"/>
    </w:rPr>
  </w:style>
  <w:style w:type="paragraph" w:styleId="Zkladntextodsazen3">
    <w:name w:val="Body Text Indent 3"/>
    <w:basedOn w:val="Normln"/>
    <w:rsid w:val="00B05133"/>
  </w:style>
  <w:style w:type="paragraph" w:customStyle="1" w:styleId="Bullet">
    <w:name w:val="Bullet"/>
    <w:basedOn w:val="Normln"/>
    <w:rsid w:val="00B05133"/>
    <w:pPr>
      <w:numPr>
        <w:numId w:val="2"/>
      </w:numPr>
    </w:pPr>
  </w:style>
  <w:style w:type="paragraph" w:styleId="Textbubliny">
    <w:name w:val="Balloon Text"/>
    <w:basedOn w:val="Normln"/>
    <w:rsid w:val="00B05133"/>
    <w:rPr>
      <w:rFonts w:ascii="Tahoma" w:hAnsi="Tahoma" w:cs="Tahoma"/>
      <w:sz w:val="16"/>
      <w:szCs w:val="16"/>
    </w:rPr>
  </w:style>
  <w:style w:type="character" w:styleId="Hypertextovodkaz">
    <w:name w:val="Hyperlink"/>
    <w:rsid w:val="00B05133"/>
    <w:rPr>
      <w:color w:val="0000FF"/>
      <w:u w:val="single"/>
    </w:rPr>
  </w:style>
  <w:style w:type="paragraph" w:customStyle="1" w:styleId="AHeader1">
    <w:name w:val="AHeader 1"/>
    <w:basedOn w:val="Normln"/>
    <w:rsid w:val="00B05133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B05133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B05133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B0513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05133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B051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9FAC9.BB5328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4.png@01D9FAC9.BB5328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[Version 7</vt:lpstr>
    </vt:vector>
  </TitlesOfParts>
  <Company>Translation Centre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Kubová Petra</dc:creator>
  <cp:keywords/>
  <dc:description/>
  <cp:lastModifiedBy>Neugebauerová Kateřina</cp:lastModifiedBy>
  <cp:revision>10</cp:revision>
  <cp:lastPrinted>2024-02-06T13:34:00Z</cp:lastPrinted>
  <dcterms:created xsi:type="dcterms:W3CDTF">2023-12-19T13:26:00Z</dcterms:created>
  <dcterms:modified xsi:type="dcterms:W3CDTF">2024-02-06T13:34:00Z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