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0AAC" w14:textId="7A651D7C" w:rsidR="009E1927" w:rsidRPr="00907026" w:rsidRDefault="005154AC" w:rsidP="006C7511">
      <w:bookmarkStart w:id="0" w:name="_GoBack"/>
      <w:bookmarkEnd w:id="0"/>
      <w:r w:rsidRPr="00167128" w:rsidDel="005154AC">
        <w:t xml:space="preserve"> </w:t>
      </w:r>
    </w:p>
    <w:p w14:paraId="6C94562D" w14:textId="77777777" w:rsidR="009E1927" w:rsidRPr="00907026" w:rsidRDefault="009E1927" w:rsidP="006C7511"/>
    <w:p w14:paraId="11BAF98E" w14:textId="77777777" w:rsidR="009E1927" w:rsidRPr="00907026" w:rsidRDefault="009E1927" w:rsidP="006C7511"/>
    <w:p w14:paraId="4D048424" w14:textId="77777777" w:rsidR="009E1927" w:rsidRPr="00907026" w:rsidRDefault="009E1927" w:rsidP="006C7511"/>
    <w:p w14:paraId="414E44D3" w14:textId="77777777" w:rsidR="009E1927" w:rsidRPr="00907026" w:rsidRDefault="009E1927" w:rsidP="006C7511"/>
    <w:p w14:paraId="72B33422" w14:textId="77777777" w:rsidR="009E1927" w:rsidRPr="00907026" w:rsidRDefault="009E1927" w:rsidP="006C7511"/>
    <w:p w14:paraId="5FE3E241" w14:textId="77777777" w:rsidR="009E1927" w:rsidRPr="00907026" w:rsidRDefault="009E1927" w:rsidP="006C7511"/>
    <w:p w14:paraId="446BB2A7" w14:textId="77777777" w:rsidR="009E1927" w:rsidRPr="00907026" w:rsidRDefault="009E1927" w:rsidP="006C7511"/>
    <w:p w14:paraId="72B17EBE" w14:textId="77777777" w:rsidR="009E1927" w:rsidRPr="00907026" w:rsidRDefault="009E1927" w:rsidP="006C7511"/>
    <w:p w14:paraId="1E582334" w14:textId="77777777" w:rsidR="009E1927" w:rsidRPr="00907026" w:rsidRDefault="009E1927" w:rsidP="006C7511"/>
    <w:p w14:paraId="364B5630" w14:textId="77777777" w:rsidR="009E1927" w:rsidRPr="00907026" w:rsidRDefault="009E1927" w:rsidP="006C7511"/>
    <w:p w14:paraId="0336302E" w14:textId="77777777" w:rsidR="009E1927" w:rsidRPr="00907026" w:rsidRDefault="009E1927" w:rsidP="006C7511"/>
    <w:p w14:paraId="50E305CA" w14:textId="77777777" w:rsidR="009E1927" w:rsidRPr="00907026" w:rsidRDefault="009E1927" w:rsidP="006C7511"/>
    <w:p w14:paraId="3061EF40" w14:textId="77777777" w:rsidR="009E1927" w:rsidRPr="00907026" w:rsidRDefault="009E1927" w:rsidP="006C7511"/>
    <w:p w14:paraId="38244510" w14:textId="77777777" w:rsidR="009E1927" w:rsidRPr="00907026" w:rsidRDefault="009E1927" w:rsidP="006C7511"/>
    <w:p w14:paraId="627A5658" w14:textId="77777777" w:rsidR="009E1927" w:rsidRPr="00907026" w:rsidRDefault="009E1927" w:rsidP="006C7511"/>
    <w:p w14:paraId="0A4F5E84" w14:textId="77777777" w:rsidR="009E1927" w:rsidRPr="00907026" w:rsidRDefault="009E1927" w:rsidP="006C7511"/>
    <w:p w14:paraId="21E99AB0" w14:textId="77777777" w:rsidR="009E1927" w:rsidRPr="00907026" w:rsidRDefault="009E1927" w:rsidP="006C7511"/>
    <w:p w14:paraId="19E01646" w14:textId="77777777" w:rsidR="009E1927" w:rsidRPr="00907026" w:rsidRDefault="009E1927" w:rsidP="006C7511"/>
    <w:p w14:paraId="44C34815" w14:textId="77777777" w:rsidR="009E1927" w:rsidRPr="00907026" w:rsidRDefault="009E1927" w:rsidP="006C7511"/>
    <w:p w14:paraId="12B12081" w14:textId="77777777" w:rsidR="009E1927" w:rsidRPr="00907026" w:rsidRDefault="009E1927" w:rsidP="006C7511">
      <w:pPr>
        <w:rPr>
          <w:sz w:val="22"/>
          <w:szCs w:val="22"/>
        </w:rPr>
      </w:pPr>
    </w:p>
    <w:p w14:paraId="3038A44B" w14:textId="77777777" w:rsidR="009E1927" w:rsidRPr="00907026" w:rsidRDefault="009E1927" w:rsidP="006C7511">
      <w:pPr>
        <w:rPr>
          <w:sz w:val="22"/>
          <w:szCs w:val="22"/>
        </w:rPr>
      </w:pPr>
    </w:p>
    <w:p w14:paraId="0803AA44" w14:textId="77777777" w:rsidR="009E1927" w:rsidRPr="00907026" w:rsidRDefault="009E1927" w:rsidP="006C7511">
      <w:pPr>
        <w:jc w:val="center"/>
        <w:rPr>
          <w:b/>
          <w:sz w:val="22"/>
          <w:szCs w:val="22"/>
        </w:rPr>
      </w:pPr>
      <w:r w:rsidRPr="00907026">
        <w:rPr>
          <w:b/>
          <w:sz w:val="22"/>
          <w:szCs w:val="22"/>
        </w:rPr>
        <w:t>PŘÍLOHA I</w:t>
      </w:r>
    </w:p>
    <w:p w14:paraId="0FA79E17" w14:textId="77777777" w:rsidR="009E1927" w:rsidRPr="00907026" w:rsidRDefault="009E1927" w:rsidP="006C7511">
      <w:pPr>
        <w:rPr>
          <w:sz w:val="22"/>
          <w:szCs w:val="22"/>
        </w:rPr>
      </w:pPr>
    </w:p>
    <w:p w14:paraId="2C68925A" w14:textId="77777777" w:rsidR="009E1927" w:rsidRPr="00167128" w:rsidRDefault="009E1927" w:rsidP="006C7511">
      <w:pPr>
        <w:jc w:val="center"/>
        <w:rPr>
          <w:b/>
          <w:sz w:val="22"/>
          <w:szCs w:val="22"/>
        </w:rPr>
      </w:pPr>
      <w:r w:rsidRPr="00167128">
        <w:rPr>
          <w:b/>
          <w:sz w:val="22"/>
          <w:szCs w:val="22"/>
        </w:rPr>
        <w:t>SOUHRN ÚDAJŮ O PŘÍPRAVKU</w:t>
      </w:r>
    </w:p>
    <w:p w14:paraId="00072C98" w14:textId="7398F079" w:rsidR="006855D6" w:rsidRPr="00907026" w:rsidRDefault="009E1927" w:rsidP="006C7511">
      <w:pPr>
        <w:jc w:val="center"/>
        <w:rPr>
          <w:b/>
          <w:bCs/>
          <w:sz w:val="22"/>
          <w:szCs w:val="22"/>
          <w:lang w:eastAsia="sk-SK"/>
        </w:rPr>
      </w:pPr>
      <w:r w:rsidRPr="00907026">
        <w:rPr>
          <w:sz w:val="22"/>
          <w:szCs w:val="22"/>
        </w:rPr>
        <w:br w:type="page"/>
      </w:r>
    </w:p>
    <w:p w14:paraId="5DEE773C" w14:textId="77777777" w:rsidR="006855D6" w:rsidRPr="00167128" w:rsidRDefault="006855D6" w:rsidP="006C7511">
      <w:pPr>
        <w:jc w:val="both"/>
        <w:rPr>
          <w:sz w:val="22"/>
          <w:szCs w:val="22"/>
        </w:rPr>
      </w:pPr>
      <w:r w:rsidRPr="00167128">
        <w:rPr>
          <w:b/>
          <w:sz w:val="22"/>
          <w:szCs w:val="22"/>
        </w:rPr>
        <w:lastRenderedPageBreak/>
        <w:t>1.</w:t>
      </w:r>
      <w:r w:rsidRPr="00167128">
        <w:rPr>
          <w:b/>
          <w:sz w:val="22"/>
          <w:szCs w:val="22"/>
        </w:rPr>
        <w:tab/>
        <w:t>NÁZEV VETERINÁRNÍHO LÉČIVÉHO PŘÍPRAVKU</w:t>
      </w:r>
    </w:p>
    <w:p w14:paraId="4BBB6370" w14:textId="77777777" w:rsidR="00BB1E53" w:rsidRPr="00A84C4F" w:rsidRDefault="00BB1E53" w:rsidP="006C7511">
      <w:pPr>
        <w:keepNext/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20612D03" w14:textId="6EE2A1FE" w:rsidR="006855D6" w:rsidRPr="00167128" w:rsidRDefault="006855D6" w:rsidP="006C7511">
      <w:pPr>
        <w:keepNext/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167128">
        <w:rPr>
          <w:bCs/>
          <w:sz w:val="22"/>
          <w:szCs w:val="22"/>
        </w:rPr>
        <w:t>HELMIGAL 10 mg tablety</w:t>
      </w:r>
    </w:p>
    <w:p w14:paraId="076D731B" w14:textId="0CE58098" w:rsidR="00BB1E53" w:rsidRPr="00167128" w:rsidRDefault="00BB1E53" w:rsidP="006C7511">
      <w:pPr>
        <w:keepNext/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5B82FA05" w14:textId="77777777" w:rsidR="00BB1E53" w:rsidRPr="00167128" w:rsidRDefault="00BB1E53" w:rsidP="006C7511">
      <w:pPr>
        <w:keepNext/>
        <w:autoSpaceDE w:val="0"/>
        <w:autoSpaceDN w:val="0"/>
        <w:adjustRightInd w:val="0"/>
        <w:jc w:val="both"/>
        <w:outlineLvl w:val="6"/>
        <w:rPr>
          <w:sz w:val="22"/>
          <w:szCs w:val="22"/>
        </w:rPr>
      </w:pPr>
    </w:p>
    <w:p w14:paraId="4B089B5D" w14:textId="77777777" w:rsidR="006855D6" w:rsidRPr="00167128" w:rsidRDefault="006855D6" w:rsidP="006C7511">
      <w:pPr>
        <w:jc w:val="both"/>
        <w:rPr>
          <w:b/>
          <w:sz w:val="22"/>
          <w:szCs w:val="22"/>
        </w:rPr>
      </w:pPr>
      <w:r w:rsidRPr="00167128">
        <w:rPr>
          <w:b/>
          <w:sz w:val="22"/>
          <w:szCs w:val="22"/>
        </w:rPr>
        <w:t>2.</w:t>
      </w:r>
      <w:r w:rsidRPr="00167128">
        <w:rPr>
          <w:b/>
          <w:sz w:val="22"/>
          <w:szCs w:val="22"/>
        </w:rPr>
        <w:tab/>
        <w:t>KVALITATIVNÍ A KVANTITATIVNÍ SLOŽENÍ</w:t>
      </w:r>
    </w:p>
    <w:p w14:paraId="0715139F" w14:textId="77777777" w:rsidR="00BB1E53" w:rsidRPr="00167128" w:rsidRDefault="00BB1E53" w:rsidP="006C7511">
      <w:pPr>
        <w:jc w:val="both"/>
        <w:rPr>
          <w:sz w:val="22"/>
          <w:szCs w:val="22"/>
        </w:rPr>
      </w:pPr>
    </w:p>
    <w:p w14:paraId="243D1F5F" w14:textId="142915A3" w:rsidR="006855D6" w:rsidRPr="00167128" w:rsidRDefault="00FE28DE" w:rsidP="006C7511">
      <w:pPr>
        <w:jc w:val="both"/>
        <w:rPr>
          <w:sz w:val="22"/>
          <w:szCs w:val="22"/>
        </w:rPr>
      </w:pPr>
      <w:r w:rsidRPr="00167128">
        <w:rPr>
          <w:sz w:val="22"/>
          <w:szCs w:val="22"/>
        </w:rPr>
        <w:t>Každá</w:t>
      </w:r>
      <w:r w:rsidR="006855D6" w:rsidRPr="00167128">
        <w:rPr>
          <w:sz w:val="22"/>
          <w:szCs w:val="22"/>
        </w:rPr>
        <w:t xml:space="preserve"> tableta (250 mg) obsahuje:</w:t>
      </w:r>
    </w:p>
    <w:p w14:paraId="78C4EE3F" w14:textId="77777777" w:rsidR="00FE28DE" w:rsidRPr="00167128" w:rsidRDefault="00FE28DE" w:rsidP="006C7511">
      <w:pPr>
        <w:jc w:val="both"/>
        <w:rPr>
          <w:sz w:val="22"/>
          <w:szCs w:val="22"/>
        </w:rPr>
      </w:pPr>
    </w:p>
    <w:p w14:paraId="213160CD" w14:textId="4D90FBB2" w:rsidR="00BB1E53" w:rsidRPr="00167128" w:rsidRDefault="00BB1E53" w:rsidP="006C7511">
      <w:pPr>
        <w:rPr>
          <w:b/>
          <w:noProof/>
          <w:sz w:val="22"/>
          <w:szCs w:val="22"/>
        </w:rPr>
      </w:pPr>
      <w:r w:rsidRPr="00167128">
        <w:rPr>
          <w:b/>
          <w:noProof/>
          <w:sz w:val="22"/>
          <w:szCs w:val="22"/>
        </w:rPr>
        <w:t>Léčivá</w:t>
      </w:r>
      <w:r w:rsidRPr="00907026">
        <w:rPr>
          <w:b/>
          <w:noProof/>
          <w:sz w:val="22"/>
          <w:szCs w:val="22"/>
        </w:rPr>
        <w:t xml:space="preserve"> </w:t>
      </w:r>
      <w:r w:rsidRPr="00167128">
        <w:rPr>
          <w:b/>
          <w:noProof/>
          <w:sz w:val="22"/>
          <w:szCs w:val="22"/>
        </w:rPr>
        <w:t>látka</w:t>
      </w:r>
      <w:r w:rsidR="00FE28DE" w:rsidRPr="00167128">
        <w:rPr>
          <w:b/>
          <w:noProof/>
          <w:sz w:val="22"/>
          <w:szCs w:val="22"/>
        </w:rPr>
        <w:t>:</w:t>
      </w:r>
    </w:p>
    <w:p w14:paraId="291C3CA9" w14:textId="77777777" w:rsidR="006855D6" w:rsidRPr="00392D14" w:rsidRDefault="006855D6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84C4F">
        <w:rPr>
          <w:sz w:val="22"/>
          <w:szCs w:val="22"/>
        </w:rPr>
        <w:t>Fenbendazolum</w:t>
      </w:r>
      <w:proofErr w:type="spellEnd"/>
      <w:r w:rsidRPr="00A84C4F">
        <w:rPr>
          <w:sz w:val="22"/>
          <w:szCs w:val="22"/>
        </w:rPr>
        <w:t xml:space="preserve">      10,0 mg</w:t>
      </w:r>
    </w:p>
    <w:p w14:paraId="2CB905B3" w14:textId="481FF56D" w:rsidR="00BB1E53" w:rsidRPr="00167128" w:rsidRDefault="00BB1E53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2B648A" w14:textId="77777777" w:rsidR="00BB1E53" w:rsidRPr="00167128" w:rsidRDefault="00BB1E53" w:rsidP="006C7511">
      <w:pPr>
        <w:autoSpaceDE w:val="0"/>
        <w:autoSpaceDN w:val="0"/>
        <w:adjustRightInd w:val="0"/>
        <w:rPr>
          <w:noProof/>
          <w:sz w:val="22"/>
          <w:szCs w:val="22"/>
        </w:rPr>
      </w:pPr>
      <w:r w:rsidRPr="00167128">
        <w:rPr>
          <w:b/>
          <w:noProof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</w:tblGrid>
      <w:tr w:rsidR="00167128" w:rsidRPr="00167128" w14:paraId="1982AF6E" w14:textId="77777777" w:rsidTr="00761AB8">
        <w:tc>
          <w:tcPr>
            <w:tcW w:w="5495" w:type="dxa"/>
            <w:shd w:val="clear" w:color="auto" w:fill="auto"/>
            <w:vAlign w:val="center"/>
          </w:tcPr>
          <w:p w14:paraId="7632C6E9" w14:textId="77777777" w:rsidR="00761AB8" w:rsidRPr="00907026" w:rsidRDefault="00761AB8" w:rsidP="006C7511">
            <w:pPr>
              <w:rPr>
                <w:b/>
                <w:bCs/>
                <w:iCs/>
                <w:sz w:val="22"/>
                <w:szCs w:val="22"/>
              </w:rPr>
            </w:pPr>
            <w:r w:rsidRPr="00907026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167128" w:rsidRPr="00167128" w14:paraId="73B04755" w14:textId="77777777" w:rsidTr="00761AB8">
        <w:tc>
          <w:tcPr>
            <w:tcW w:w="5495" w:type="dxa"/>
            <w:shd w:val="clear" w:color="auto" w:fill="auto"/>
          </w:tcPr>
          <w:p w14:paraId="4590D3E5" w14:textId="5BAD9490" w:rsidR="00761AB8" w:rsidRPr="00907026" w:rsidRDefault="00761AB8" w:rsidP="006C7511">
            <w:pPr>
              <w:jc w:val="both"/>
              <w:rPr>
                <w:iCs/>
                <w:sz w:val="22"/>
                <w:szCs w:val="22"/>
              </w:rPr>
            </w:pPr>
            <w:r w:rsidRPr="00167128">
              <w:rPr>
                <w:sz w:val="22"/>
                <w:szCs w:val="22"/>
              </w:rPr>
              <w:t xml:space="preserve">Sodná sůl </w:t>
            </w:r>
            <w:proofErr w:type="spellStart"/>
            <w:r w:rsidRPr="00167128">
              <w:rPr>
                <w:sz w:val="22"/>
                <w:szCs w:val="22"/>
              </w:rPr>
              <w:t>kroskarmelosy</w:t>
            </w:r>
            <w:proofErr w:type="spellEnd"/>
          </w:p>
        </w:tc>
      </w:tr>
      <w:tr w:rsidR="00167128" w:rsidRPr="00167128" w14:paraId="105FFBC4" w14:textId="77777777" w:rsidTr="00761AB8">
        <w:tc>
          <w:tcPr>
            <w:tcW w:w="5495" w:type="dxa"/>
            <w:shd w:val="clear" w:color="auto" w:fill="auto"/>
          </w:tcPr>
          <w:p w14:paraId="4CAD8708" w14:textId="2D294B8E" w:rsidR="00761AB8" w:rsidRPr="00907026" w:rsidRDefault="00761AB8" w:rsidP="006C751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167128">
              <w:rPr>
                <w:sz w:val="22"/>
                <w:szCs w:val="22"/>
              </w:rPr>
              <w:t>Magnesium-</w:t>
            </w:r>
            <w:proofErr w:type="spellStart"/>
            <w:r w:rsidRPr="00167128">
              <w:rPr>
                <w:sz w:val="22"/>
                <w:szCs w:val="22"/>
              </w:rPr>
              <w:t>stearát</w:t>
            </w:r>
            <w:proofErr w:type="spellEnd"/>
          </w:p>
        </w:tc>
      </w:tr>
      <w:tr w:rsidR="00167128" w:rsidRPr="00167128" w14:paraId="78F23112" w14:textId="77777777" w:rsidTr="00761AB8">
        <w:tc>
          <w:tcPr>
            <w:tcW w:w="5495" w:type="dxa"/>
            <w:shd w:val="clear" w:color="auto" w:fill="auto"/>
          </w:tcPr>
          <w:p w14:paraId="4A56E416" w14:textId="0ED10184" w:rsidR="00761AB8" w:rsidRPr="00907026" w:rsidRDefault="00761AB8" w:rsidP="006C7511">
            <w:pPr>
              <w:jc w:val="both"/>
              <w:rPr>
                <w:sz w:val="22"/>
                <w:szCs w:val="22"/>
              </w:rPr>
            </w:pPr>
            <w:r w:rsidRPr="00167128">
              <w:rPr>
                <w:sz w:val="22"/>
                <w:szCs w:val="22"/>
              </w:rPr>
              <w:t xml:space="preserve">Mikrokrystalická </w:t>
            </w:r>
            <w:proofErr w:type="spellStart"/>
            <w:r w:rsidR="00A4537E" w:rsidRPr="00167128">
              <w:rPr>
                <w:sz w:val="22"/>
                <w:szCs w:val="22"/>
              </w:rPr>
              <w:t>celul</w:t>
            </w:r>
            <w:r w:rsidR="009020C1" w:rsidRPr="00167128">
              <w:rPr>
                <w:sz w:val="22"/>
                <w:szCs w:val="22"/>
              </w:rPr>
              <w:t>osa</w:t>
            </w:r>
            <w:proofErr w:type="spellEnd"/>
          </w:p>
        </w:tc>
      </w:tr>
      <w:tr w:rsidR="00167128" w:rsidRPr="00167128" w14:paraId="39E27C3E" w14:textId="77777777" w:rsidTr="00761AB8">
        <w:tc>
          <w:tcPr>
            <w:tcW w:w="5495" w:type="dxa"/>
            <w:shd w:val="clear" w:color="auto" w:fill="auto"/>
          </w:tcPr>
          <w:p w14:paraId="7A0527A3" w14:textId="17221330" w:rsidR="00761AB8" w:rsidRPr="00167128" w:rsidRDefault="00761AB8" w:rsidP="006C7511">
            <w:pPr>
              <w:jc w:val="both"/>
              <w:rPr>
                <w:sz w:val="22"/>
                <w:szCs w:val="22"/>
              </w:rPr>
            </w:pPr>
            <w:proofErr w:type="spellStart"/>
            <w:r w:rsidRPr="00167128">
              <w:rPr>
                <w:sz w:val="22"/>
                <w:szCs w:val="22"/>
              </w:rPr>
              <w:t>Dihydrát</w:t>
            </w:r>
            <w:proofErr w:type="spellEnd"/>
            <w:r w:rsidRPr="00167128">
              <w:rPr>
                <w:sz w:val="22"/>
                <w:szCs w:val="22"/>
              </w:rPr>
              <w:t xml:space="preserve"> </w:t>
            </w:r>
            <w:proofErr w:type="spellStart"/>
            <w:r w:rsidRPr="00167128">
              <w:rPr>
                <w:sz w:val="22"/>
                <w:szCs w:val="22"/>
              </w:rPr>
              <w:t>hydrogenfosforečnanu</w:t>
            </w:r>
            <w:proofErr w:type="spellEnd"/>
            <w:r w:rsidRPr="00167128">
              <w:rPr>
                <w:sz w:val="22"/>
                <w:szCs w:val="22"/>
              </w:rPr>
              <w:t xml:space="preserve"> vápenatého</w:t>
            </w:r>
          </w:p>
        </w:tc>
      </w:tr>
    </w:tbl>
    <w:p w14:paraId="2F77935F" w14:textId="77777777" w:rsidR="00A4537E" w:rsidRPr="00167128" w:rsidRDefault="00A4537E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0F5D9D" w14:textId="4AFB8DB1" w:rsidR="006855D6" w:rsidRPr="00167128" w:rsidRDefault="006855D6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7128">
        <w:rPr>
          <w:sz w:val="22"/>
          <w:szCs w:val="22"/>
        </w:rPr>
        <w:t>Bílé až šedobílé tablety</w:t>
      </w:r>
      <w:r w:rsidR="00B724D4" w:rsidRPr="00167128">
        <w:rPr>
          <w:sz w:val="22"/>
          <w:szCs w:val="22"/>
        </w:rPr>
        <w:t>.</w:t>
      </w:r>
    </w:p>
    <w:p w14:paraId="5361AB36" w14:textId="64F208A9" w:rsidR="00BB1E53" w:rsidRPr="00167128" w:rsidRDefault="00BB1E53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4337A0" w14:textId="77777777" w:rsidR="00BB1E53" w:rsidRPr="00167128" w:rsidRDefault="00BB1E53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C4A5" w14:textId="77777777" w:rsidR="008A0106" w:rsidRPr="00907026" w:rsidRDefault="008A0106" w:rsidP="006C7511">
      <w:pPr>
        <w:pStyle w:val="Style1"/>
      </w:pPr>
      <w:r w:rsidRPr="00907026">
        <w:t>3.</w:t>
      </w:r>
      <w:r w:rsidRPr="00907026">
        <w:tab/>
        <w:t>KLINICKÉ INFORMACE</w:t>
      </w:r>
    </w:p>
    <w:p w14:paraId="4D910859" w14:textId="77777777" w:rsidR="008A0106" w:rsidRPr="00907026" w:rsidRDefault="008A0106" w:rsidP="006C7511">
      <w:pPr>
        <w:autoSpaceDE w:val="0"/>
        <w:autoSpaceDN w:val="0"/>
        <w:adjustRightInd w:val="0"/>
        <w:rPr>
          <w:b/>
          <w:bCs/>
          <w:strike/>
          <w:noProof/>
          <w:sz w:val="22"/>
          <w:szCs w:val="22"/>
        </w:rPr>
      </w:pPr>
    </w:p>
    <w:p w14:paraId="5735784F" w14:textId="77777777" w:rsidR="008A0106" w:rsidRPr="00907026" w:rsidRDefault="008A0106" w:rsidP="006C7511">
      <w:pPr>
        <w:pStyle w:val="Style1"/>
        <w:rPr>
          <w:b w:val="0"/>
          <w:bCs/>
          <w:noProof/>
        </w:rPr>
      </w:pPr>
      <w:r w:rsidRPr="00907026">
        <w:t>3.1</w:t>
      </w:r>
      <w:r w:rsidRPr="00907026">
        <w:tab/>
        <w:t>Cílové druhy zvířat</w:t>
      </w:r>
    </w:p>
    <w:p w14:paraId="7C95A383" w14:textId="77777777" w:rsidR="008A0106" w:rsidRPr="00A84C4F" w:rsidRDefault="008A0106" w:rsidP="006C7511">
      <w:pPr>
        <w:jc w:val="both"/>
        <w:rPr>
          <w:sz w:val="22"/>
          <w:szCs w:val="22"/>
        </w:rPr>
      </w:pPr>
    </w:p>
    <w:p w14:paraId="7F1F9A7A" w14:textId="13AEDD11" w:rsidR="006855D6" w:rsidRPr="00167128" w:rsidRDefault="006855D6" w:rsidP="006C7511">
      <w:pPr>
        <w:jc w:val="both"/>
        <w:rPr>
          <w:sz w:val="22"/>
          <w:szCs w:val="22"/>
        </w:rPr>
      </w:pPr>
      <w:r w:rsidRPr="00167128">
        <w:rPr>
          <w:sz w:val="22"/>
          <w:szCs w:val="22"/>
        </w:rPr>
        <w:t>Sportovní holubi.</w:t>
      </w:r>
    </w:p>
    <w:p w14:paraId="36638E0C" w14:textId="0BFCED77" w:rsidR="008A0106" w:rsidRPr="00167128" w:rsidRDefault="008A0106" w:rsidP="006C7511">
      <w:pPr>
        <w:jc w:val="both"/>
        <w:rPr>
          <w:sz w:val="22"/>
          <w:szCs w:val="22"/>
        </w:rPr>
      </w:pPr>
    </w:p>
    <w:p w14:paraId="7520ECDF" w14:textId="77777777" w:rsidR="008A0106" w:rsidRPr="00907026" w:rsidRDefault="008A0106" w:rsidP="006C7511">
      <w:pPr>
        <w:pStyle w:val="Style1"/>
      </w:pPr>
      <w:r w:rsidRPr="00907026">
        <w:t>3.2</w:t>
      </w:r>
      <w:r w:rsidRPr="00907026">
        <w:tab/>
        <w:t>Indikace pro použití pro každý cílový druh zvířat</w:t>
      </w:r>
    </w:p>
    <w:p w14:paraId="012EA29C" w14:textId="77777777" w:rsidR="008A0106" w:rsidRPr="00A84C4F" w:rsidRDefault="008A0106" w:rsidP="006C7511">
      <w:pPr>
        <w:jc w:val="both"/>
        <w:rPr>
          <w:sz w:val="22"/>
          <w:szCs w:val="22"/>
        </w:rPr>
      </w:pPr>
    </w:p>
    <w:p w14:paraId="217F9D28" w14:textId="77777777" w:rsidR="006855D6" w:rsidRPr="00167128" w:rsidRDefault="006855D6" w:rsidP="006C7511">
      <w:pPr>
        <w:autoSpaceDE w:val="0"/>
        <w:autoSpaceDN w:val="0"/>
        <w:adjustRightInd w:val="0"/>
        <w:rPr>
          <w:sz w:val="22"/>
          <w:szCs w:val="22"/>
        </w:rPr>
      </w:pPr>
      <w:r w:rsidRPr="00167128">
        <w:rPr>
          <w:sz w:val="22"/>
          <w:szCs w:val="22"/>
        </w:rPr>
        <w:t>Parazitární onemocnění vyvolaná původci:</w:t>
      </w:r>
    </w:p>
    <w:p w14:paraId="37BCD515" w14:textId="77777777" w:rsidR="006855D6" w:rsidRPr="00167128" w:rsidRDefault="006855D6" w:rsidP="006C7511">
      <w:pPr>
        <w:autoSpaceDE w:val="0"/>
        <w:autoSpaceDN w:val="0"/>
        <w:adjustRightInd w:val="0"/>
        <w:rPr>
          <w:sz w:val="22"/>
          <w:szCs w:val="22"/>
        </w:rPr>
      </w:pPr>
      <w:r w:rsidRPr="00167128">
        <w:rPr>
          <w:rFonts w:eastAsia="Arial Unicode MS"/>
          <w:sz w:val="22"/>
          <w:szCs w:val="22"/>
          <w:u w:val="single"/>
        </w:rPr>
        <w:t>Plicní hlístice:</w:t>
      </w:r>
      <w:r w:rsidRPr="00167128">
        <w:rPr>
          <w:i/>
          <w:sz w:val="22"/>
          <w:szCs w:val="22"/>
        </w:rPr>
        <w:t xml:space="preserve"> </w:t>
      </w:r>
      <w:proofErr w:type="spellStart"/>
      <w:r w:rsidRPr="00167128">
        <w:rPr>
          <w:i/>
          <w:sz w:val="22"/>
          <w:szCs w:val="22"/>
        </w:rPr>
        <w:t>Syngamus</w:t>
      </w:r>
      <w:proofErr w:type="spellEnd"/>
      <w:r w:rsidRPr="00167128">
        <w:rPr>
          <w:i/>
          <w:sz w:val="22"/>
          <w:szCs w:val="22"/>
        </w:rPr>
        <w:t xml:space="preserve"> trachea.</w:t>
      </w:r>
    </w:p>
    <w:p w14:paraId="62476064" w14:textId="77777777" w:rsidR="006855D6" w:rsidRPr="00167128" w:rsidRDefault="006855D6" w:rsidP="006C7511">
      <w:pPr>
        <w:autoSpaceDE w:val="0"/>
        <w:autoSpaceDN w:val="0"/>
        <w:adjustRightInd w:val="0"/>
        <w:rPr>
          <w:sz w:val="22"/>
          <w:szCs w:val="22"/>
        </w:rPr>
      </w:pPr>
      <w:r w:rsidRPr="00167128">
        <w:rPr>
          <w:rFonts w:eastAsia="Arial Unicode MS"/>
          <w:sz w:val="22"/>
          <w:szCs w:val="22"/>
          <w:u w:val="single"/>
        </w:rPr>
        <w:t>Gastrointestinální hlístice</w:t>
      </w:r>
      <w:r w:rsidRPr="00167128">
        <w:rPr>
          <w:rFonts w:eastAsia="Arial Unicode MS"/>
          <w:sz w:val="22"/>
          <w:szCs w:val="22"/>
        </w:rPr>
        <w:t>:</w:t>
      </w:r>
      <w:r w:rsidRPr="00167128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167128">
        <w:rPr>
          <w:i/>
          <w:sz w:val="22"/>
          <w:szCs w:val="22"/>
        </w:rPr>
        <w:t>Ascaridia</w:t>
      </w:r>
      <w:proofErr w:type="spellEnd"/>
      <w:r w:rsidRPr="00167128">
        <w:rPr>
          <w:i/>
          <w:sz w:val="22"/>
          <w:szCs w:val="22"/>
        </w:rPr>
        <w:t xml:space="preserve"> </w:t>
      </w:r>
      <w:proofErr w:type="spellStart"/>
      <w:r w:rsidRPr="00167128">
        <w:rPr>
          <w:i/>
          <w:sz w:val="22"/>
          <w:szCs w:val="22"/>
        </w:rPr>
        <w:t>galli</w:t>
      </w:r>
      <w:proofErr w:type="spellEnd"/>
      <w:r w:rsidRPr="00167128">
        <w:rPr>
          <w:i/>
          <w:sz w:val="22"/>
          <w:szCs w:val="22"/>
        </w:rPr>
        <w:t xml:space="preserve">, </w:t>
      </w:r>
      <w:proofErr w:type="spellStart"/>
      <w:r w:rsidRPr="00167128">
        <w:rPr>
          <w:i/>
          <w:sz w:val="22"/>
          <w:szCs w:val="22"/>
        </w:rPr>
        <w:t>Ascaridia</w:t>
      </w:r>
      <w:proofErr w:type="spellEnd"/>
      <w:r w:rsidRPr="00167128">
        <w:rPr>
          <w:i/>
          <w:sz w:val="22"/>
          <w:szCs w:val="22"/>
        </w:rPr>
        <w:t xml:space="preserve"> </w:t>
      </w:r>
      <w:proofErr w:type="spellStart"/>
      <w:r w:rsidRPr="00167128">
        <w:rPr>
          <w:i/>
          <w:sz w:val="22"/>
          <w:szCs w:val="22"/>
        </w:rPr>
        <w:t>columbae</w:t>
      </w:r>
      <w:proofErr w:type="spellEnd"/>
      <w:r w:rsidRPr="00167128">
        <w:rPr>
          <w:i/>
          <w:sz w:val="22"/>
          <w:szCs w:val="22"/>
        </w:rPr>
        <w:t xml:space="preserve">, </w:t>
      </w:r>
      <w:proofErr w:type="spellStart"/>
      <w:r w:rsidRPr="00167128">
        <w:rPr>
          <w:i/>
          <w:sz w:val="22"/>
          <w:szCs w:val="22"/>
        </w:rPr>
        <w:t>Heterakis</w:t>
      </w:r>
      <w:proofErr w:type="spellEnd"/>
      <w:r w:rsidRPr="00167128">
        <w:rPr>
          <w:i/>
          <w:sz w:val="22"/>
          <w:szCs w:val="22"/>
        </w:rPr>
        <w:t xml:space="preserve"> </w:t>
      </w:r>
      <w:proofErr w:type="spellStart"/>
      <w:r w:rsidRPr="00167128">
        <w:rPr>
          <w:i/>
          <w:sz w:val="22"/>
          <w:szCs w:val="22"/>
        </w:rPr>
        <w:t>gallinarum</w:t>
      </w:r>
      <w:proofErr w:type="spellEnd"/>
      <w:r w:rsidRPr="00167128">
        <w:rPr>
          <w:i/>
          <w:sz w:val="22"/>
          <w:szCs w:val="22"/>
        </w:rPr>
        <w:t xml:space="preserve">, </w:t>
      </w:r>
      <w:proofErr w:type="spellStart"/>
      <w:r w:rsidRPr="00167128">
        <w:rPr>
          <w:i/>
          <w:sz w:val="22"/>
          <w:szCs w:val="22"/>
        </w:rPr>
        <w:t>Capillaria</w:t>
      </w:r>
      <w:proofErr w:type="spellEnd"/>
      <w:r w:rsidRPr="00167128">
        <w:rPr>
          <w:i/>
          <w:sz w:val="22"/>
          <w:szCs w:val="22"/>
        </w:rPr>
        <w:t xml:space="preserve"> </w:t>
      </w:r>
      <w:r w:rsidRPr="00167128">
        <w:rPr>
          <w:sz w:val="22"/>
          <w:szCs w:val="22"/>
        </w:rPr>
        <w:t>spp.</w:t>
      </w:r>
    </w:p>
    <w:p w14:paraId="4743B8C9" w14:textId="77777777" w:rsidR="008A0106" w:rsidRPr="00167128" w:rsidRDefault="008A0106" w:rsidP="006C7511">
      <w:pPr>
        <w:rPr>
          <w:b/>
          <w:sz w:val="22"/>
          <w:szCs w:val="22"/>
        </w:rPr>
      </w:pPr>
    </w:p>
    <w:p w14:paraId="6749CD65" w14:textId="147B06A9" w:rsidR="006855D6" w:rsidRPr="00167128" w:rsidRDefault="008A0106" w:rsidP="006C7511">
      <w:pPr>
        <w:rPr>
          <w:sz w:val="22"/>
          <w:szCs w:val="22"/>
        </w:rPr>
      </w:pPr>
      <w:r w:rsidRPr="00907026">
        <w:rPr>
          <w:b/>
          <w:sz w:val="22"/>
          <w:szCs w:val="22"/>
        </w:rPr>
        <w:t>3</w:t>
      </w:r>
      <w:r w:rsidR="006855D6" w:rsidRPr="00907026">
        <w:rPr>
          <w:b/>
          <w:sz w:val="22"/>
          <w:szCs w:val="22"/>
        </w:rPr>
        <w:t>.3</w:t>
      </w:r>
      <w:r w:rsidR="006855D6" w:rsidRPr="00167128">
        <w:rPr>
          <w:b/>
          <w:sz w:val="22"/>
          <w:szCs w:val="22"/>
        </w:rPr>
        <w:tab/>
        <w:t>Kontraindikace</w:t>
      </w:r>
    </w:p>
    <w:p w14:paraId="4AE6EC2C" w14:textId="77777777" w:rsidR="00346E01" w:rsidRPr="00A84C4F" w:rsidRDefault="00346E01" w:rsidP="006C7511">
      <w:pPr>
        <w:rPr>
          <w:sz w:val="22"/>
          <w:szCs w:val="22"/>
        </w:rPr>
      </w:pPr>
    </w:p>
    <w:p w14:paraId="61332F85" w14:textId="711DFA72" w:rsidR="00FE4695" w:rsidRPr="00907026" w:rsidRDefault="00FE4695" w:rsidP="006C7511">
      <w:pPr>
        <w:rPr>
          <w:sz w:val="22"/>
          <w:szCs w:val="22"/>
        </w:rPr>
      </w:pPr>
      <w:r w:rsidRPr="00907026">
        <w:rPr>
          <w:sz w:val="22"/>
          <w:szCs w:val="22"/>
        </w:rPr>
        <w:t xml:space="preserve">Nepoužívat v případech přecitlivělosti na léčivou látku nebo na některou z pomocných látek. </w:t>
      </w:r>
    </w:p>
    <w:p w14:paraId="15597934" w14:textId="5D109BBB" w:rsidR="006855D6" w:rsidRPr="00167128" w:rsidRDefault="006855D6" w:rsidP="006C7511">
      <w:pPr>
        <w:rPr>
          <w:sz w:val="22"/>
          <w:szCs w:val="22"/>
        </w:rPr>
      </w:pPr>
      <w:r w:rsidRPr="00167128">
        <w:rPr>
          <w:sz w:val="22"/>
          <w:szCs w:val="22"/>
        </w:rPr>
        <w:t>Nepoužívat u holubů v době hnízdění a přepeřování.</w:t>
      </w:r>
    </w:p>
    <w:p w14:paraId="65E8A6FE" w14:textId="77777777" w:rsidR="008A0106" w:rsidRPr="00A84C4F" w:rsidRDefault="008A0106" w:rsidP="006C7511">
      <w:pPr>
        <w:rPr>
          <w:b/>
          <w:sz w:val="22"/>
          <w:szCs w:val="22"/>
        </w:rPr>
      </w:pPr>
    </w:p>
    <w:p w14:paraId="7D7A30CE" w14:textId="77777777" w:rsidR="008A0106" w:rsidRPr="00907026" w:rsidRDefault="008A0106" w:rsidP="006C7511">
      <w:pPr>
        <w:pStyle w:val="Style1"/>
      </w:pPr>
      <w:r w:rsidRPr="00907026">
        <w:t>3.4</w:t>
      </w:r>
      <w:r w:rsidRPr="00907026">
        <w:tab/>
        <w:t>Zvláštní upozornění</w:t>
      </w:r>
    </w:p>
    <w:p w14:paraId="1CAB411E" w14:textId="77777777" w:rsidR="008A0106" w:rsidRPr="00167128" w:rsidRDefault="008A0106" w:rsidP="00907026">
      <w:pPr>
        <w:rPr>
          <w:sz w:val="22"/>
          <w:szCs w:val="22"/>
        </w:rPr>
      </w:pPr>
    </w:p>
    <w:p w14:paraId="48A1739B" w14:textId="77777777" w:rsidR="00E1699C" w:rsidRDefault="00E1699C" w:rsidP="00E1699C">
      <w:pPr>
        <w:pStyle w:val="Default"/>
        <w:rPr>
          <w:sz w:val="22"/>
          <w:szCs w:val="22"/>
        </w:rPr>
      </w:pPr>
      <w:bookmarkStart w:id="1" w:name="_Hlk193787620"/>
      <w:r>
        <w:rPr>
          <w:sz w:val="22"/>
          <w:szCs w:val="22"/>
        </w:rPr>
        <w:t xml:space="preserve">Nadbytečné použití </w:t>
      </w:r>
      <w:proofErr w:type="spellStart"/>
      <w:r>
        <w:rPr>
          <w:sz w:val="22"/>
          <w:szCs w:val="22"/>
        </w:rPr>
        <w:t>antiparazitik</w:t>
      </w:r>
      <w:proofErr w:type="spellEnd"/>
      <w:r>
        <w:rPr>
          <w:sz w:val="22"/>
          <w:szCs w:val="22"/>
        </w:rPr>
        <w:t xml:space="preserve"> nebo použití v rozporu s pokyny uvedenými v SPC může zvýšit selekčním tlakem rezistenci a vést ke snížení účinnosti. </w:t>
      </w:r>
    </w:p>
    <w:p w14:paraId="4ACE4B35" w14:textId="3CC08411" w:rsidR="00E1699C" w:rsidRPr="00167128" w:rsidRDefault="00E1699C" w:rsidP="00907026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Opakované užívání po delší dobu, zejména při užívání léčivých látek ze stejné skupiny, zvyšuje riziko vzniku rezistence. V rámci hejna je pro snížení tohoto rizika zásadní udržování vnímavého refugia. Je třeba se vyhnout systematicky aplikované léčbě založené na systematických intervalech a léčbě celého hejna. Místo toho, je-li to proveditelné, by měla být léčena pouze vybraná jednotlivá zvířata nebo podskupiny (cílená selektivní léčba). To by mělo být kombinováno s vhodnými opatřeními pro chov. Pokyny pro každé konkrétní hejno byste si měli vyžádat u odpovědného veterinárního lékaře. </w:t>
      </w:r>
      <w:bookmarkEnd w:id="1"/>
    </w:p>
    <w:p w14:paraId="72A034D9" w14:textId="77777777" w:rsidR="008A0106" w:rsidRPr="00A84C4F" w:rsidRDefault="008A0106" w:rsidP="00907026">
      <w:pPr>
        <w:rPr>
          <w:b/>
          <w:sz w:val="22"/>
          <w:szCs w:val="22"/>
        </w:rPr>
      </w:pPr>
    </w:p>
    <w:p w14:paraId="3284EE80" w14:textId="2DD58C8E" w:rsidR="008A0106" w:rsidRPr="00167128" w:rsidRDefault="008A0106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3.5</w:t>
      </w:r>
      <w:r w:rsidRPr="00167128">
        <w:rPr>
          <w:b/>
          <w:bCs/>
          <w:noProof/>
          <w:sz w:val="22"/>
          <w:szCs w:val="22"/>
        </w:rPr>
        <w:t xml:space="preserve"> </w:t>
      </w:r>
      <w:r w:rsidR="00284BBC" w:rsidRPr="00167128">
        <w:rPr>
          <w:b/>
          <w:bCs/>
          <w:noProof/>
          <w:sz w:val="22"/>
          <w:szCs w:val="22"/>
        </w:rPr>
        <w:t xml:space="preserve">    </w:t>
      </w:r>
      <w:r w:rsidRPr="00167128">
        <w:rPr>
          <w:b/>
          <w:bCs/>
          <w:noProof/>
          <w:sz w:val="22"/>
          <w:szCs w:val="22"/>
        </w:rPr>
        <w:t xml:space="preserve">Zvláštní opatření pro použití  </w:t>
      </w:r>
    </w:p>
    <w:p w14:paraId="30BE841C" w14:textId="77777777" w:rsidR="008A0106" w:rsidRPr="00A84C4F" w:rsidRDefault="008A0106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</w:p>
    <w:p w14:paraId="1BBBA676" w14:textId="5635BE44" w:rsidR="00284BBC" w:rsidRPr="00167128" w:rsidRDefault="008A0106" w:rsidP="006C7511">
      <w:pPr>
        <w:autoSpaceDE w:val="0"/>
        <w:autoSpaceDN w:val="0"/>
        <w:adjustRightInd w:val="0"/>
        <w:rPr>
          <w:bCs/>
          <w:noProof/>
          <w:sz w:val="22"/>
          <w:szCs w:val="22"/>
          <w:u w:val="single"/>
        </w:rPr>
      </w:pPr>
      <w:r w:rsidRPr="00392D14">
        <w:rPr>
          <w:bCs/>
          <w:noProof/>
          <w:sz w:val="22"/>
          <w:szCs w:val="22"/>
          <w:u w:val="single"/>
        </w:rPr>
        <w:t xml:space="preserve">Zvláštní opatření pro </w:t>
      </w:r>
      <w:r w:rsidRPr="00907026">
        <w:rPr>
          <w:sz w:val="22"/>
          <w:szCs w:val="22"/>
          <w:u w:val="single"/>
        </w:rPr>
        <w:t>bezpečné</w:t>
      </w:r>
      <w:r w:rsidRPr="00167128">
        <w:rPr>
          <w:bCs/>
          <w:noProof/>
          <w:sz w:val="22"/>
          <w:szCs w:val="22"/>
          <w:u w:val="single"/>
        </w:rPr>
        <w:t xml:space="preserve"> použití u </w:t>
      </w:r>
      <w:r w:rsidRPr="00907026">
        <w:rPr>
          <w:bCs/>
          <w:noProof/>
          <w:sz w:val="22"/>
          <w:szCs w:val="22"/>
          <w:u w:val="single"/>
        </w:rPr>
        <w:t>cílových druhů</w:t>
      </w:r>
      <w:r w:rsidRPr="00167128">
        <w:rPr>
          <w:bCs/>
          <w:noProof/>
          <w:sz w:val="22"/>
          <w:szCs w:val="22"/>
          <w:u w:val="single"/>
        </w:rPr>
        <w:t xml:space="preserve"> zvířat:</w:t>
      </w:r>
    </w:p>
    <w:p w14:paraId="2482B7CD" w14:textId="77777777" w:rsidR="00CF0AD2" w:rsidRPr="00167128" w:rsidRDefault="00CF0AD2" w:rsidP="006C751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9807254" w14:textId="17FF3CBD" w:rsidR="006855D6" w:rsidRPr="00167128" w:rsidRDefault="006855D6" w:rsidP="006C7511">
      <w:pPr>
        <w:rPr>
          <w:bCs/>
          <w:sz w:val="22"/>
          <w:szCs w:val="22"/>
        </w:rPr>
      </w:pPr>
      <w:r w:rsidRPr="00167128">
        <w:rPr>
          <w:bCs/>
          <w:sz w:val="22"/>
          <w:szCs w:val="22"/>
        </w:rPr>
        <w:t>Nepřekračujte doporučené dávkování.</w:t>
      </w:r>
    </w:p>
    <w:p w14:paraId="35C9CF97" w14:textId="77777777" w:rsidR="00346E01" w:rsidRPr="00A84C4F" w:rsidRDefault="00346E01" w:rsidP="006C7511">
      <w:pPr>
        <w:rPr>
          <w:bCs/>
          <w:sz w:val="22"/>
          <w:szCs w:val="22"/>
        </w:rPr>
      </w:pPr>
    </w:p>
    <w:p w14:paraId="115309CE" w14:textId="4F9FE6F2" w:rsidR="00284BBC" w:rsidRPr="00167128" w:rsidRDefault="00284BBC" w:rsidP="00907026">
      <w:pPr>
        <w:pStyle w:val="Nadpis7"/>
        <w:keepNext/>
        <w:autoSpaceDE w:val="0"/>
        <w:autoSpaceDN w:val="0"/>
        <w:adjustRightInd w:val="0"/>
        <w:spacing w:before="0" w:after="0"/>
        <w:rPr>
          <w:rFonts w:ascii="Times New Roman" w:hAnsi="Times New Roman"/>
          <w:noProof/>
          <w:sz w:val="22"/>
          <w:szCs w:val="22"/>
          <w:u w:val="single"/>
        </w:rPr>
      </w:pPr>
      <w:r w:rsidRPr="00A84C4F">
        <w:rPr>
          <w:rFonts w:ascii="Times New Roman" w:hAnsi="Times New Roman"/>
          <w:noProof/>
          <w:sz w:val="22"/>
          <w:szCs w:val="22"/>
          <w:u w:val="single"/>
        </w:rPr>
        <w:lastRenderedPageBreak/>
        <w:t xml:space="preserve">Zvláštní opatření </w:t>
      </w:r>
      <w:r w:rsidRPr="00907026">
        <w:rPr>
          <w:rFonts w:ascii="Times New Roman" w:hAnsi="Times New Roman"/>
          <w:noProof/>
          <w:sz w:val="22"/>
          <w:szCs w:val="22"/>
          <w:u w:val="single"/>
        </w:rPr>
        <w:t>pro osobu, která podává</w:t>
      </w:r>
      <w:r w:rsidRPr="00167128">
        <w:rPr>
          <w:rFonts w:ascii="Times New Roman" w:hAnsi="Times New Roman"/>
          <w:noProof/>
          <w:sz w:val="22"/>
          <w:szCs w:val="22"/>
          <w:u w:val="single"/>
        </w:rPr>
        <w:t xml:space="preserve"> veterinární léčivý přípravek zvířatům:</w:t>
      </w:r>
    </w:p>
    <w:p w14:paraId="13686870" w14:textId="77777777" w:rsidR="00CF0AD2" w:rsidRPr="00907026" w:rsidRDefault="00CF0AD2" w:rsidP="00907026"/>
    <w:p w14:paraId="54886B20" w14:textId="723B8D31" w:rsidR="0093503A" w:rsidRPr="00167128" w:rsidRDefault="006529EF" w:rsidP="006C7511">
      <w:pPr>
        <w:rPr>
          <w:sz w:val="22"/>
          <w:szCs w:val="22"/>
          <w:lang w:eastAsia="en-GB"/>
        </w:rPr>
      </w:pPr>
      <w:r w:rsidRPr="00907026">
        <w:rPr>
          <w:sz w:val="22"/>
          <w:szCs w:val="22"/>
          <w:lang w:eastAsia="en-GB"/>
        </w:rPr>
        <w:t xml:space="preserve">Lidé se známou přecitlivělostí na </w:t>
      </w:r>
      <w:proofErr w:type="spellStart"/>
      <w:r w:rsidRPr="00907026">
        <w:rPr>
          <w:sz w:val="22"/>
          <w:szCs w:val="22"/>
          <w:lang w:eastAsia="en-GB"/>
        </w:rPr>
        <w:t>fenbendazol</w:t>
      </w:r>
      <w:proofErr w:type="spellEnd"/>
      <w:r w:rsidRPr="00907026">
        <w:rPr>
          <w:sz w:val="22"/>
          <w:szCs w:val="22"/>
          <w:lang w:eastAsia="en-GB"/>
        </w:rPr>
        <w:t xml:space="preserve"> </w:t>
      </w:r>
      <w:r w:rsidR="00633353" w:rsidRPr="00167128">
        <w:rPr>
          <w:sz w:val="22"/>
          <w:szCs w:val="22"/>
          <w:lang w:eastAsia="en-GB"/>
        </w:rPr>
        <w:t xml:space="preserve">nebo pomocné látky </w:t>
      </w:r>
      <w:r w:rsidRPr="00907026">
        <w:rPr>
          <w:sz w:val="22"/>
          <w:szCs w:val="22"/>
          <w:lang w:eastAsia="en-GB"/>
        </w:rPr>
        <w:t>by se měli vyhnout kontaktu s</w:t>
      </w:r>
      <w:r w:rsidR="00633353" w:rsidRPr="00167128">
        <w:rPr>
          <w:sz w:val="22"/>
          <w:szCs w:val="22"/>
          <w:lang w:eastAsia="en-GB"/>
        </w:rPr>
        <w:t> </w:t>
      </w:r>
      <w:r w:rsidRPr="00907026">
        <w:rPr>
          <w:sz w:val="22"/>
          <w:szCs w:val="22"/>
          <w:lang w:eastAsia="en-GB"/>
        </w:rPr>
        <w:t>veterinárním léčivým přípravkem.</w:t>
      </w:r>
      <w:r w:rsidR="001F61EE" w:rsidRPr="00167128">
        <w:rPr>
          <w:sz w:val="22"/>
          <w:szCs w:val="22"/>
          <w:lang w:eastAsia="en-GB"/>
        </w:rPr>
        <w:t xml:space="preserve"> Tento veterinární léčivý přípravek může být pro člověka po požití toxický.</w:t>
      </w:r>
    </w:p>
    <w:p w14:paraId="10827B40" w14:textId="77777777" w:rsidR="0093503A" w:rsidRPr="00167128" w:rsidRDefault="0093503A" w:rsidP="006C7511">
      <w:pPr>
        <w:rPr>
          <w:sz w:val="22"/>
          <w:szCs w:val="22"/>
          <w:lang w:eastAsia="en-GB"/>
        </w:rPr>
      </w:pPr>
      <w:r w:rsidRPr="00A84C4F">
        <w:rPr>
          <w:sz w:val="22"/>
          <w:szCs w:val="22"/>
          <w:lang w:eastAsia="en-GB"/>
        </w:rPr>
        <w:t>V případě náhodného požití, vyhledejte ihned lékařskou pomoc a ukažte příbalovou informaci nebo etiketu praktickému lékaři.</w:t>
      </w:r>
    </w:p>
    <w:p w14:paraId="78BF0ACE" w14:textId="77777777" w:rsidR="0093503A" w:rsidRPr="00167128" w:rsidRDefault="0093503A" w:rsidP="006C7511">
      <w:pPr>
        <w:rPr>
          <w:sz w:val="22"/>
          <w:szCs w:val="22"/>
          <w:lang w:eastAsia="en-GB"/>
        </w:rPr>
      </w:pPr>
      <w:r w:rsidRPr="00167128">
        <w:rPr>
          <w:sz w:val="22"/>
          <w:szCs w:val="22"/>
          <w:lang w:eastAsia="en-GB"/>
        </w:rPr>
        <w:t>Není možné vyloučit embryotoxický účinek. Těhotné ženy by měly veterinární léčivý přípravek podávat obezřetně.</w:t>
      </w:r>
    </w:p>
    <w:p w14:paraId="4CA14122" w14:textId="39ABCCAC" w:rsidR="0093503A" w:rsidRPr="00167128" w:rsidRDefault="00322466" w:rsidP="006C7511">
      <w:pPr>
        <w:rPr>
          <w:sz w:val="22"/>
          <w:szCs w:val="22"/>
          <w:lang w:eastAsia="en-GB"/>
        </w:rPr>
      </w:pPr>
      <w:r w:rsidRPr="00167128">
        <w:rPr>
          <w:sz w:val="22"/>
          <w:szCs w:val="22"/>
          <w:lang w:eastAsia="en-GB"/>
        </w:rPr>
        <w:t>Po použití si umyjte ruce.</w:t>
      </w:r>
    </w:p>
    <w:p w14:paraId="663D5274" w14:textId="77777777" w:rsidR="00284BBC" w:rsidRPr="00907026" w:rsidRDefault="00284BBC" w:rsidP="006C7511">
      <w:pPr>
        <w:rPr>
          <w:sz w:val="22"/>
          <w:szCs w:val="22"/>
          <w:u w:val="single"/>
        </w:rPr>
      </w:pPr>
    </w:p>
    <w:p w14:paraId="5DB7C0CD" w14:textId="00E12EBA" w:rsidR="00284BBC" w:rsidRPr="00907026" w:rsidRDefault="00284BBC" w:rsidP="006F1A9B">
      <w:pPr>
        <w:keepNext/>
        <w:rPr>
          <w:sz w:val="22"/>
          <w:szCs w:val="22"/>
          <w:u w:val="single"/>
        </w:rPr>
      </w:pPr>
      <w:r w:rsidRPr="00907026">
        <w:rPr>
          <w:sz w:val="22"/>
          <w:szCs w:val="22"/>
          <w:u w:val="single"/>
        </w:rPr>
        <w:t>Zvláštní opatření pro ochranu životního prostředí:</w:t>
      </w:r>
    </w:p>
    <w:p w14:paraId="3DA2821F" w14:textId="77777777" w:rsidR="00CF0AD2" w:rsidRPr="00907026" w:rsidRDefault="00CF0AD2" w:rsidP="006F1A9B">
      <w:pPr>
        <w:keepNext/>
        <w:rPr>
          <w:sz w:val="22"/>
          <w:szCs w:val="22"/>
        </w:rPr>
      </w:pPr>
    </w:p>
    <w:p w14:paraId="6D6C517C" w14:textId="77777777" w:rsidR="00284BBC" w:rsidRPr="00907026" w:rsidRDefault="00284BBC" w:rsidP="006C7511">
      <w:pPr>
        <w:rPr>
          <w:sz w:val="22"/>
          <w:szCs w:val="22"/>
        </w:rPr>
      </w:pPr>
      <w:r w:rsidRPr="00907026">
        <w:rPr>
          <w:sz w:val="22"/>
          <w:szCs w:val="22"/>
        </w:rPr>
        <w:t>Neuplatňuje se.</w:t>
      </w:r>
    </w:p>
    <w:p w14:paraId="0ED7BC1A" w14:textId="4A2AF7C9" w:rsidR="00284BBC" w:rsidRPr="00167128" w:rsidRDefault="00284BBC" w:rsidP="006C7511">
      <w:pPr>
        <w:jc w:val="both"/>
        <w:rPr>
          <w:sz w:val="22"/>
          <w:szCs w:val="22"/>
          <w:lang w:eastAsia="en-GB"/>
        </w:rPr>
      </w:pPr>
    </w:p>
    <w:p w14:paraId="16DC1A2B" w14:textId="52E496F3" w:rsidR="00284BBC" w:rsidRPr="00167128" w:rsidRDefault="00284BBC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3.6</w:t>
      </w:r>
      <w:r w:rsidR="00D33761" w:rsidRPr="00167128">
        <w:rPr>
          <w:b/>
          <w:bCs/>
          <w:noProof/>
          <w:sz w:val="22"/>
          <w:szCs w:val="22"/>
        </w:rPr>
        <w:tab/>
      </w:r>
      <w:r w:rsidRPr="00167128">
        <w:rPr>
          <w:b/>
          <w:bCs/>
          <w:noProof/>
          <w:sz w:val="22"/>
          <w:szCs w:val="22"/>
        </w:rPr>
        <w:t xml:space="preserve">Nežádoucí účinky </w:t>
      </w:r>
    </w:p>
    <w:p w14:paraId="444D1811" w14:textId="77777777" w:rsidR="00284BBC" w:rsidRPr="00A84C4F" w:rsidRDefault="00284BBC" w:rsidP="006C7511">
      <w:pPr>
        <w:jc w:val="both"/>
        <w:rPr>
          <w:sz w:val="22"/>
          <w:szCs w:val="22"/>
        </w:rPr>
      </w:pPr>
    </w:p>
    <w:p w14:paraId="23D64D02" w14:textId="48944B80" w:rsidR="00284BBC" w:rsidRPr="00907026" w:rsidRDefault="00284BBC" w:rsidP="006C7511">
      <w:pPr>
        <w:jc w:val="both"/>
        <w:rPr>
          <w:sz w:val="22"/>
          <w:szCs w:val="22"/>
        </w:rPr>
      </w:pPr>
      <w:r w:rsidRPr="00907026">
        <w:rPr>
          <w:sz w:val="22"/>
          <w:szCs w:val="22"/>
        </w:rPr>
        <w:t>Sportovní holubi:</w:t>
      </w:r>
    </w:p>
    <w:p w14:paraId="1ADBEF2B" w14:textId="77777777" w:rsidR="00CF0AD2" w:rsidRPr="00907026" w:rsidRDefault="00CF0AD2" w:rsidP="006C751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34"/>
      </w:tblGrid>
      <w:tr w:rsidR="00167128" w:rsidRPr="00167128" w14:paraId="08196048" w14:textId="77777777" w:rsidTr="00686B14">
        <w:tc>
          <w:tcPr>
            <w:tcW w:w="1950" w:type="pct"/>
            <w:shd w:val="clear" w:color="auto" w:fill="auto"/>
            <w:vAlign w:val="center"/>
          </w:tcPr>
          <w:p w14:paraId="25846592" w14:textId="77777777" w:rsidR="001B68CE" w:rsidRPr="00907026" w:rsidRDefault="001B68CE" w:rsidP="006C7511">
            <w:pPr>
              <w:rPr>
                <w:bCs/>
                <w:sz w:val="22"/>
                <w:szCs w:val="22"/>
              </w:rPr>
            </w:pPr>
            <w:r w:rsidRPr="00907026">
              <w:rPr>
                <w:bCs/>
                <w:sz w:val="22"/>
                <w:szCs w:val="22"/>
              </w:rPr>
              <w:t>Neurčená frekvence</w:t>
            </w:r>
          </w:p>
          <w:p w14:paraId="2ACD81E5" w14:textId="77777777" w:rsidR="00167128" w:rsidRPr="002624F8" w:rsidRDefault="001B68CE" w:rsidP="00167128">
            <w:pPr>
              <w:rPr>
                <w:bCs/>
                <w:sz w:val="22"/>
                <w:szCs w:val="22"/>
              </w:rPr>
            </w:pPr>
            <w:r w:rsidRPr="00907026">
              <w:rPr>
                <w:bCs/>
                <w:sz w:val="22"/>
                <w:szCs w:val="22"/>
              </w:rPr>
              <w:t>(</w:t>
            </w:r>
            <w:r w:rsidR="00167128" w:rsidRPr="002624F8">
              <w:rPr>
                <w:bCs/>
                <w:sz w:val="22"/>
                <w:szCs w:val="22"/>
              </w:rPr>
              <w:t>z dostupných</w:t>
            </w:r>
          </w:p>
          <w:p w14:paraId="2922B877" w14:textId="111AE22A" w:rsidR="001B68CE" w:rsidRPr="00907026" w:rsidRDefault="00392D14" w:rsidP="006C75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ú</w:t>
            </w:r>
            <w:r w:rsidR="00167128" w:rsidRPr="002624F8">
              <w:rPr>
                <w:bCs/>
                <w:sz w:val="22"/>
                <w:szCs w:val="22"/>
              </w:rPr>
              <w:t>dajů</w:t>
            </w:r>
            <w:r w:rsidR="00167128">
              <w:rPr>
                <w:bCs/>
                <w:sz w:val="22"/>
                <w:szCs w:val="22"/>
              </w:rPr>
              <w:t xml:space="preserve"> nelze určit</w:t>
            </w:r>
            <w:r w:rsidR="001B68CE" w:rsidRPr="0090702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050" w:type="pct"/>
            <w:shd w:val="clear" w:color="auto" w:fill="auto"/>
          </w:tcPr>
          <w:p w14:paraId="334F666E" w14:textId="6BC0C6F3" w:rsidR="001B68CE" w:rsidRPr="00907026" w:rsidRDefault="00167128" w:rsidP="006C7511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Porucha</w:t>
            </w:r>
            <w:r w:rsidR="001B68CE" w:rsidRPr="00167128">
              <w:rPr>
                <w:sz w:val="22"/>
                <w:szCs w:val="22"/>
              </w:rPr>
              <w:t xml:space="preserve"> vývoje krycích per </w:t>
            </w:r>
            <w:r w:rsidR="00A84C4F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56DFA893" w14:textId="4E1DFAEC" w:rsidR="00284BBC" w:rsidRDefault="00A84C4F" w:rsidP="006C7511">
      <w:pPr>
        <w:jc w:val="both"/>
        <w:rPr>
          <w:sz w:val="22"/>
          <w:szCs w:val="22"/>
        </w:rPr>
      </w:pPr>
      <w:bookmarkStart w:id="2" w:name="_Hlk190426950"/>
      <w:r>
        <w:rPr>
          <w:sz w:val="22"/>
          <w:szCs w:val="22"/>
          <w:vertAlign w:val="superscript"/>
        </w:rPr>
        <w:t xml:space="preserve">1) </w:t>
      </w:r>
      <w:r w:rsidR="00167128" w:rsidRPr="00167128">
        <w:rPr>
          <w:sz w:val="22"/>
          <w:szCs w:val="22"/>
        </w:rPr>
        <w:t xml:space="preserve">Holubi jsou velmi citliví v době výměny peří a tvorby prvního peří. I léčebná dávka </w:t>
      </w:r>
      <w:proofErr w:type="spellStart"/>
      <w:r w:rsidR="00167128" w:rsidRPr="00167128">
        <w:rPr>
          <w:sz w:val="22"/>
          <w:szCs w:val="22"/>
        </w:rPr>
        <w:t>fenbendazolu</w:t>
      </w:r>
      <w:proofErr w:type="spellEnd"/>
      <w:r w:rsidR="00167128" w:rsidRPr="00167128">
        <w:rPr>
          <w:sz w:val="22"/>
          <w:szCs w:val="22"/>
        </w:rPr>
        <w:t xml:space="preserve"> může způsobit narušení vývoje krycích per po celém těle, především však letek a rýdovacích per ocasu.</w:t>
      </w:r>
    </w:p>
    <w:bookmarkEnd w:id="2"/>
    <w:p w14:paraId="75C7E74D" w14:textId="77777777" w:rsidR="00167128" w:rsidRPr="00167128" w:rsidRDefault="00167128" w:rsidP="006C7511">
      <w:pPr>
        <w:jc w:val="both"/>
        <w:rPr>
          <w:sz w:val="22"/>
          <w:szCs w:val="22"/>
        </w:rPr>
      </w:pPr>
    </w:p>
    <w:p w14:paraId="5DEED2C7" w14:textId="000D8F90" w:rsidR="000A539E" w:rsidRPr="00907026" w:rsidRDefault="000A539E" w:rsidP="006C7511">
      <w:pPr>
        <w:rPr>
          <w:sz w:val="22"/>
          <w:szCs w:val="22"/>
        </w:rPr>
      </w:pPr>
      <w:bookmarkStart w:id="3" w:name="_Hlk66891708"/>
      <w:r w:rsidRPr="00907026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</w:t>
      </w:r>
      <w:r w:rsidR="00761AB8" w:rsidRPr="00907026">
        <w:rPr>
          <w:sz w:val="22"/>
          <w:szCs w:val="22"/>
        </w:rPr>
        <w:t> </w:t>
      </w:r>
      <w:r w:rsidRPr="00907026">
        <w:rPr>
          <w:sz w:val="22"/>
          <w:szCs w:val="22"/>
        </w:rPr>
        <w:t>příbalové informac</w:t>
      </w:r>
      <w:r w:rsidR="00945FC7" w:rsidRPr="00907026">
        <w:rPr>
          <w:sz w:val="22"/>
          <w:szCs w:val="22"/>
        </w:rPr>
        <w:t>i</w:t>
      </w:r>
      <w:r w:rsidRPr="00907026">
        <w:rPr>
          <w:sz w:val="22"/>
          <w:szCs w:val="22"/>
        </w:rPr>
        <w:t>.</w:t>
      </w:r>
    </w:p>
    <w:bookmarkEnd w:id="3"/>
    <w:p w14:paraId="0F056B37" w14:textId="77777777" w:rsidR="000A539E" w:rsidRPr="00167128" w:rsidRDefault="000A539E" w:rsidP="006C7511">
      <w:pPr>
        <w:jc w:val="both"/>
        <w:rPr>
          <w:sz w:val="22"/>
          <w:szCs w:val="22"/>
        </w:rPr>
      </w:pPr>
    </w:p>
    <w:p w14:paraId="5DA5F546" w14:textId="2E6DC84B" w:rsidR="006855D6" w:rsidRPr="00167128" w:rsidRDefault="000A539E" w:rsidP="006C7511">
      <w:pPr>
        <w:jc w:val="both"/>
        <w:rPr>
          <w:sz w:val="22"/>
          <w:szCs w:val="22"/>
        </w:rPr>
      </w:pPr>
      <w:r w:rsidRPr="00907026">
        <w:rPr>
          <w:b/>
          <w:sz w:val="22"/>
          <w:szCs w:val="22"/>
        </w:rPr>
        <w:t>3</w:t>
      </w:r>
      <w:r w:rsidR="006855D6" w:rsidRPr="00907026">
        <w:rPr>
          <w:b/>
          <w:sz w:val="22"/>
          <w:szCs w:val="22"/>
        </w:rPr>
        <w:t>.7</w:t>
      </w:r>
      <w:r w:rsidR="006855D6" w:rsidRPr="00167128">
        <w:rPr>
          <w:b/>
          <w:sz w:val="22"/>
          <w:szCs w:val="22"/>
        </w:rPr>
        <w:tab/>
        <w:t>Použití v průběhu březosti, laktace nebo snášky</w:t>
      </w:r>
    </w:p>
    <w:p w14:paraId="7F3CC938" w14:textId="77777777" w:rsidR="000A539E" w:rsidRPr="00167128" w:rsidRDefault="000A539E" w:rsidP="006C7511">
      <w:pPr>
        <w:jc w:val="both"/>
        <w:rPr>
          <w:sz w:val="22"/>
          <w:szCs w:val="22"/>
        </w:rPr>
      </w:pPr>
    </w:p>
    <w:p w14:paraId="42BF5D5D" w14:textId="549668E8" w:rsidR="006855D6" w:rsidRPr="00167128" w:rsidRDefault="00942786" w:rsidP="006C7511">
      <w:pPr>
        <w:jc w:val="both"/>
        <w:rPr>
          <w:sz w:val="22"/>
          <w:szCs w:val="22"/>
        </w:rPr>
      </w:pPr>
      <w:r w:rsidRPr="00907026">
        <w:rPr>
          <w:sz w:val="22"/>
          <w:szCs w:val="22"/>
        </w:rPr>
        <w:t>Použití není doporučováno</w:t>
      </w:r>
      <w:r w:rsidRPr="00167128">
        <w:rPr>
          <w:sz w:val="22"/>
          <w:szCs w:val="22"/>
        </w:rPr>
        <w:t xml:space="preserve"> </w:t>
      </w:r>
      <w:r w:rsidR="006855D6" w:rsidRPr="00167128">
        <w:rPr>
          <w:sz w:val="22"/>
          <w:szCs w:val="22"/>
        </w:rPr>
        <w:t>během hnízdění.</w:t>
      </w:r>
    </w:p>
    <w:p w14:paraId="5DC10776" w14:textId="77777777" w:rsidR="000A539E" w:rsidRPr="00A84C4F" w:rsidRDefault="000A539E" w:rsidP="006C75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A223F22" w14:textId="1D4F1B4B" w:rsidR="000A539E" w:rsidRPr="00167128" w:rsidRDefault="000A539E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3.8</w:t>
      </w:r>
      <w:r w:rsidRPr="00167128">
        <w:rPr>
          <w:b/>
          <w:bCs/>
          <w:noProof/>
          <w:sz w:val="22"/>
          <w:szCs w:val="22"/>
        </w:rPr>
        <w:t xml:space="preserve"> </w:t>
      </w:r>
      <w:r w:rsidRPr="00167128">
        <w:rPr>
          <w:b/>
          <w:bCs/>
          <w:noProof/>
          <w:sz w:val="22"/>
          <w:szCs w:val="22"/>
        </w:rPr>
        <w:tab/>
        <w:t xml:space="preserve">Interakce s </w:t>
      </w:r>
      <w:r w:rsidRPr="00907026">
        <w:rPr>
          <w:b/>
          <w:bCs/>
          <w:noProof/>
          <w:sz w:val="22"/>
          <w:szCs w:val="22"/>
        </w:rPr>
        <w:t>jinými</w:t>
      </w:r>
      <w:r w:rsidRPr="00167128">
        <w:rPr>
          <w:b/>
          <w:bCs/>
          <w:noProof/>
          <w:sz w:val="22"/>
          <w:szCs w:val="22"/>
        </w:rPr>
        <w:t xml:space="preserve"> léčivými přípravky a další formy interakce</w:t>
      </w:r>
    </w:p>
    <w:p w14:paraId="51EFF98E" w14:textId="77777777" w:rsidR="000A539E" w:rsidRPr="00167128" w:rsidRDefault="000A539E" w:rsidP="006C7511">
      <w:pPr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AEC9E" w14:textId="7ED6CF01" w:rsidR="006855D6" w:rsidRPr="00167128" w:rsidRDefault="006855D6" w:rsidP="006C7511">
      <w:pPr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128">
        <w:rPr>
          <w:sz w:val="22"/>
          <w:szCs w:val="22"/>
        </w:rPr>
        <w:t xml:space="preserve">Nejsou </w:t>
      </w:r>
      <w:r w:rsidR="00A831C3" w:rsidRPr="00907026">
        <w:rPr>
          <w:sz w:val="22"/>
          <w:szCs w:val="22"/>
        </w:rPr>
        <w:t>známy.</w:t>
      </w:r>
      <w:r w:rsidR="00A831C3" w:rsidRPr="00167128">
        <w:rPr>
          <w:sz w:val="22"/>
          <w:szCs w:val="22"/>
        </w:rPr>
        <w:t xml:space="preserve"> </w:t>
      </w:r>
    </w:p>
    <w:p w14:paraId="52297CEB" w14:textId="635D4798" w:rsidR="000A539E" w:rsidRPr="00167128" w:rsidRDefault="000A539E" w:rsidP="006C7511">
      <w:pPr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0427D2" w14:textId="77777777" w:rsidR="000A539E" w:rsidRPr="00907026" w:rsidRDefault="000A539E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3.9</w:t>
      </w:r>
      <w:r w:rsidRPr="00907026">
        <w:rPr>
          <w:b/>
          <w:bCs/>
          <w:noProof/>
          <w:sz w:val="22"/>
          <w:szCs w:val="22"/>
        </w:rPr>
        <w:tab/>
        <w:t>Cesty podání a dávkování</w:t>
      </w:r>
    </w:p>
    <w:p w14:paraId="0C906F22" w14:textId="77777777" w:rsidR="000A539E" w:rsidRPr="00167128" w:rsidRDefault="000A539E" w:rsidP="006C7511">
      <w:pPr>
        <w:tabs>
          <w:tab w:val="left" w:pos="30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E85720" w14:textId="77777777" w:rsidR="006855D6" w:rsidRPr="00A84C4F" w:rsidRDefault="006855D6" w:rsidP="00CF0AD2">
      <w:pPr>
        <w:rPr>
          <w:b/>
          <w:bCs/>
          <w:sz w:val="22"/>
          <w:szCs w:val="22"/>
        </w:rPr>
      </w:pPr>
      <w:r w:rsidRPr="00A84C4F">
        <w:rPr>
          <w:bCs/>
          <w:sz w:val="22"/>
          <w:szCs w:val="22"/>
        </w:rPr>
        <w:t>Perorální podání. Individuálně do zobáku.</w:t>
      </w:r>
    </w:p>
    <w:p w14:paraId="6C632A22" w14:textId="67B10593" w:rsidR="006855D6" w:rsidRPr="00167128" w:rsidRDefault="006855D6" w:rsidP="00CF0AD2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392D14">
        <w:rPr>
          <w:sz w:val="22"/>
          <w:szCs w:val="22"/>
        </w:rPr>
        <w:t xml:space="preserve">Obecná dávka je 20 mg </w:t>
      </w:r>
      <w:proofErr w:type="spellStart"/>
      <w:r w:rsidRPr="00392D14">
        <w:rPr>
          <w:sz w:val="22"/>
          <w:szCs w:val="22"/>
        </w:rPr>
        <w:t>fenbendazolu</w:t>
      </w:r>
      <w:proofErr w:type="spellEnd"/>
      <w:r w:rsidRPr="00392D14">
        <w:rPr>
          <w:sz w:val="22"/>
          <w:szCs w:val="22"/>
        </w:rPr>
        <w:t>/</w:t>
      </w:r>
      <w:r w:rsidRPr="00AA4FE2">
        <w:rPr>
          <w:sz w:val="22"/>
          <w:szCs w:val="22"/>
        </w:rPr>
        <w:t>kg ž. hm., (tj. 1 tableta/</w:t>
      </w:r>
      <w:r w:rsidRPr="00167128">
        <w:rPr>
          <w:sz w:val="22"/>
          <w:szCs w:val="22"/>
        </w:rPr>
        <w:t xml:space="preserve">0,5 kg ž. hm.) </w:t>
      </w:r>
      <w:r w:rsidRPr="00907026">
        <w:rPr>
          <w:sz w:val="22"/>
          <w:szCs w:val="22"/>
        </w:rPr>
        <w:t xml:space="preserve">po </w:t>
      </w:r>
      <w:r w:rsidR="00F61AB4" w:rsidRPr="00907026">
        <w:rPr>
          <w:sz w:val="22"/>
          <w:szCs w:val="22"/>
        </w:rPr>
        <w:t xml:space="preserve">dobu </w:t>
      </w:r>
      <w:r w:rsidRPr="00167128">
        <w:rPr>
          <w:sz w:val="22"/>
          <w:szCs w:val="22"/>
        </w:rPr>
        <w:t xml:space="preserve">3 </w:t>
      </w:r>
      <w:bookmarkStart w:id="4" w:name="_Hlk179971679"/>
      <w:r w:rsidR="001F61EE" w:rsidRPr="00907026">
        <w:rPr>
          <w:sz w:val="22"/>
          <w:szCs w:val="22"/>
        </w:rPr>
        <w:t>dnů</w:t>
      </w:r>
      <w:bookmarkEnd w:id="4"/>
      <w:r w:rsidR="001F61EE" w:rsidRPr="00907026">
        <w:rPr>
          <w:sz w:val="22"/>
          <w:szCs w:val="22"/>
        </w:rPr>
        <w:t>.</w:t>
      </w:r>
    </w:p>
    <w:p w14:paraId="6078AC75" w14:textId="77777777" w:rsidR="00DC05BD" w:rsidRPr="00A84C4F" w:rsidRDefault="00DC05BD" w:rsidP="00CF0AD2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2B54D18A" w14:textId="24C0BE1B" w:rsidR="00DC05BD" w:rsidRPr="00907026" w:rsidRDefault="00DC05BD" w:rsidP="00CF0AD2">
      <w:pPr>
        <w:autoSpaceDE w:val="0"/>
        <w:autoSpaceDN w:val="0"/>
        <w:adjustRightInd w:val="0"/>
        <w:contextualSpacing/>
        <w:rPr>
          <w:sz w:val="22"/>
          <w:szCs w:val="22"/>
        </w:rPr>
      </w:pPr>
      <w:bookmarkStart w:id="5" w:name="_Hlk179971732"/>
      <w:r w:rsidRPr="00907026">
        <w:rPr>
          <w:sz w:val="22"/>
          <w:szCs w:val="22"/>
        </w:rPr>
        <w:t>Pro zajištění plného účinku léčivého přípravku je třeba přesně dodržovat dávkování a způsob podání léku.</w:t>
      </w:r>
    </w:p>
    <w:p w14:paraId="76C249A4" w14:textId="6FF75AAB" w:rsidR="00346E01" w:rsidRPr="00907026" w:rsidRDefault="00DC05BD" w:rsidP="00CF0AD2">
      <w:pPr>
        <w:autoSpaceDE w:val="0"/>
        <w:autoSpaceDN w:val="0"/>
        <w:adjustRightInd w:val="0"/>
        <w:contextualSpacing/>
        <w:rPr>
          <w:sz w:val="22"/>
          <w:szCs w:val="22"/>
        </w:rPr>
      </w:pPr>
      <w:proofErr w:type="spellStart"/>
      <w:r w:rsidRPr="00907026">
        <w:rPr>
          <w:sz w:val="22"/>
          <w:szCs w:val="22"/>
        </w:rPr>
        <w:t>Poddávkování</w:t>
      </w:r>
      <w:proofErr w:type="spellEnd"/>
      <w:r w:rsidRPr="00907026">
        <w:rPr>
          <w:sz w:val="22"/>
          <w:szCs w:val="22"/>
        </w:rPr>
        <w:t xml:space="preserve"> může vést k neúčinné léčbě a může podpořit rozvoj rezistence.</w:t>
      </w:r>
    </w:p>
    <w:bookmarkEnd w:id="5"/>
    <w:p w14:paraId="23DE75EC" w14:textId="77777777" w:rsidR="00DC05BD" w:rsidRPr="00167128" w:rsidRDefault="00DC05BD" w:rsidP="006C7511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5B619DB1" w14:textId="77777777" w:rsidR="000A539E" w:rsidRPr="00907026" w:rsidRDefault="000A539E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3.10</w:t>
      </w:r>
      <w:r w:rsidRPr="00907026">
        <w:rPr>
          <w:b/>
          <w:bCs/>
          <w:noProof/>
          <w:sz w:val="22"/>
          <w:szCs w:val="22"/>
        </w:rPr>
        <w:tab/>
        <w:t xml:space="preserve">Příznaky předávkování (a kde je relevantní, první pomoc a antidota) </w:t>
      </w:r>
    </w:p>
    <w:p w14:paraId="33544D72" w14:textId="11C8C5C7" w:rsidR="006855D6" w:rsidRPr="00167128" w:rsidRDefault="006855D6" w:rsidP="006C75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42BCD6E" w14:textId="501DDECE" w:rsidR="006855D6" w:rsidRPr="00167128" w:rsidRDefault="006855D6" w:rsidP="00CF0AD2">
      <w:pPr>
        <w:rPr>
          <w:sz w:val="22"/>
          <w:szCs w:val="22"/>
        </w:rPr>
      </w:pPr>
      <w:r w:rsidRPr="00A84C4F">
        <w:rPr>
          <w:sz w:val="22"/>
          <w:szCs w:val="22"/>
        </w:rPr>
        <w:t xml:space="preserve">Při dodržení doporučeného dávkovaní a doporučení v textu přípravku k intoxikacím nedochází. </w:t>
      </w:r>
      <w:r w:rsidRPr="00167128">
        <w:rPr>
          <w:bCs/>
          <w:sz w:val="22"/>
          <w:szCs w:val="22"/>
        </w:rPr>
        <w:t xml:space="preserve">Předávkování </w:t>
      </w:r>
      <w:proofErr w:type="spellStart"/>
      <w:r w:rsidR="0000522E" w:rsidRPr="00167128">
        <w:rPr>
          <w:sz w:val="22"/>
          <w:szCs w:val="22"/>
        </w:rPr>
        <w:t>fenbendazolem</w:t>
      </w:r>
      <w:proofErr w:type="spellEnd"/>
      <w:r w:rsidR="0000522E" w:rsidRPr="00167128">
        <w:rPr>
          <w:sz w:val="22"/>
          <w:szCs w:val="22"/>
        </w:rPr>
        <w:t xml:space="preserve"> </w:t>
      </w:r>
      <w:r w:rsidRPr="00167128">
        <w:rPr>
          <w:sz w:val="22"/>
          <w:szCs w:val="22"/>
        </w:rPr>
        <w:t>(50-100 mg/kg ž.</w:t>
      </w:r>
      <w:r w:rsidR="00845B64" w:rsidRPr="00167128">
        <w:rPr>
          <w:sz w:val="22"/>
          <w:szCs w:val="22"/>
        </w:rPr>
        <w:t xml:space="preserve"> </w:t>
      </w:r>
      <w:r w:rsidRPr="00167128">
        <w:rPr>
          <w:sz w:val="22"/>
          <w:szCs w:val="22"/>
        </w:rPr>
        <w:t>hm.) může u ptáků vyvolat intestinální problémy a</w:t>
      </w:r>
      <w:r w:rsidR="00201EB1" w:rsidRPr="00167128">
        <w:rPr>
          <w:sz w:val="22"/>
          <w:szCs w:val="22"/>
        </w:rPr>
        <w:t> </w:t>
      </w:r>
      <w:proofErr w:type="spellStart"/>
      <w:r w:rsidR="0000522E" w:rsidRPr="00167128">
        <w:rPr>
          <w:sz w:val="22"/>
          <w:szCs w:val="22"/>
        </w:rPr>
        <w:t>supresi</w:t>
      </w:r>
      <w:proofErr w:type="spellEnd"/>
      <w:r w:rsidRPr="00167128">
        <w:rPr>
          <w:sz w:val="22"/>
          <w:szCs w:val="22"/>
        </w:rPr>
        <w:t xml:space="preserve"> kostní dřeně.</w:t>
      </w:r>
    </w:p>
    <w:p w14:paraId="45CE8353" w14:textId="77777777" w:rsidR="005A274B" w:rsidRPr="00167128" w:rsidRDefault="005A274B" w:rsidP="006C7511">
      <w:pPr>
        <w:jc w:val="both"/>
        <w:rPr>
          <w:sz w:val="22"/>
          <w:szCs w:val="22"/>
        </w:rPr>
      </w:pPr>
    </w:p>
    <w:p w14:paraId="784DBCA4" w14:textId="77777777" w:rsidR="005A274B" w:rsidRPr="00907026" w:rsidRDefault="005A274B" w:rsidP="006C7511">
      <w:pPr>
        <w:pStyle w:val="Style1"/>
      </w:pPr>
      <w:r w:rsidRPr="00907026">
        <w:t>3.11</w:t>
      </w:r>
      <w:r w:rsidRPr="0090702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94AD2D1" w14:textId="77777777" w:rsidR="005A274B" w:rsidRPr="00907026" w:rsidRDefault="005A274B" w:rsidP="006C7511">
      <w:pPr>
        <w:rPr>
          <w:sz w:val="22"/>
          <w:szCs w:val="22"/>
        </w:rPr>
      </w:pPr>
    </w:p>
    <w:p w14:paraId="268683DA" w14:textId="77777777" w:rsidR="005A274B" w:rsidRPr="00167128" w:rsidRDefault="005A274B" w:rsidP="006C7511">
      <w:pPr>
        <w:rPr>
          <w:noProof/>
          <w:sz w:val="22"/>
          <w:szCs w:val="22"/>
        </w:rPr>
      </w:pPr>
      <w:r w:rsidRPr="00907026">
        <w:rPr>
          <w:sz w:val="22"/>
          <w:szCs w:val="22"/>
        </w:rPr>
        <w:lastRenderedPageBreak/>
        <w:t>Neuplatňuje se.</w:t>
      </w:r>
    </w:p>
    <w:p w14:paraId="117D1991" w14:textId="77777777" w:rsidR="005A274B" w:rsidRPr="00167128" w:rsidRDefault="005A274B" w:rsidP="006C7511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074A7B37" w14:textId="77777777" w:rsidR="005A274B" w:rsidRPr="00907026" w:rsidRDefault="005A274B" w:rsidP="006C751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3.12</w:t>
      </w:r>
      <w:r w:rsidRPr="00907026">
        <w:rPr>
          <w:b/>
          <w:bCs/>
          <w:noProof/>
          <w:sz w:val="22"/>
          <w:szCs w:val="22"/>
        </w:rPr>
        <w:tab/>
        <w:t>Ochranné lhůty</w:t>
      </w:r>
    </w:p>
    <w:p w14:paraId="76797DB3" w14:textId="77777777" w:rsidR="005A274B" w:rsidRPr="00167128" w:rsidRDefault="005A274B" w:rsidP="006C7511">
      <w:pPr>
        <w:jc w:val="both"/>
        <w:rPr>
          <w:sz w:val="22"/>
          <w:szCs w:val="22"/>
        </w:rPr>
      </w:pPr>
    </w:p>
    <w:p w14:paraId="4F623377" w14:textId="21A04391" w:rsidR="005A274B" w:rsidRPr="00907026" w:rsidRDefault="005A274B" w:rsidP="006C7511">
      <w:pPr>
        <w:rPr>
          <w:sz w:val="22"/>
          <w:szCs w:val="22"/>
        </w:rPr>
      </w:pPr>
      <w:r w:rsidRPr="00907026">
        <w:rPr>
          <w:sz w:val="22"/>
          <w:szCs w:val="22"/>
        </w:rPr>
        <w:t>Neuplatňuje se.</w:t>
      </w:r>
    </w:p>
    <w:p w14:paraId="63854159" w14:textId="64A038BD" w:rsidR="005A274B" w:rsidRPr="00A84C4F" w:rsidRDefault="005A274B" w:rsidP="006C7511">
      <w:pPr>
        <w:jc w:val="both"/>
        <w:rPr>
          <w:b/>
          <w:sz w:val="22"/>
          <w:szCs w:val="22"/>
        </w:rPr>
      </w:pPr>
    </w:p>
    <w:p w14:paraId="71AD99C7" w14:textId="2BF14F72" w:rsidR="005A274B" w:rsidRPr="00167128" w:rsidRDefault="005A274B" w:rsidP="006C7511">
      <w:pPr>
        <w:jc w:val="both"/>
        <w:rPr>
          <w:b/>
          <w:sz w:val="22"/>
          <w:szCs w:val="22"/>
        </w:rPr>
      </w:pPr>
    </w:p>
    <w:p w14:paraId="7C438B6C" w14:textId="77777777" w:rsidR="005A274B" w:rsidRPr="00907026" w:rsidRDefault="005A274B" w:rsidP="006C7511">
      <w:pPr>
        <w:keepNext/>
        <w:autoSpaceDE w:val="0"/>
        <w:autoSpaceDN w:val="0"/>
        <w:adjustRightInd w:val="0"/>
        <w:rPr>
          <w:b/>
          <w:bCs/>
          <w:caps/>
          <w:noProof/>
          <w:sz w:val="22"/>
          <w:szCs w:val="22"/>
        </w:rPr>
      </w:pPr>
      <w:r w:rsidRPr="00907026">
        <w:rPr>
          <w:b/>
          <w:bCs/>
          <w:caps/>
          <w:noProof/>
          <w:sz w:val="22"/>
          <w:szCs w:val="22"/>
        </w:rPr>
        <w:t>4.</w:t>
      </w:r>
      <w:r w:rsidRPr="00907026">
        <w:rPr>
          <w:b/>
          <w:bCs/>
          <w:caps/>
          <w:noProof/>
          <w:sz w:val="22"/>
          <w:szCs w:val="22"/>
        </w:rPr>
        <w:tab/>
        <w:t>FARMAKOLOGICKÉ INFORMACE</w:t>
      </w:r>
    </w:p>
    <w:p w14:paraId="6F587969" w14:textId="77777777" w:rsidR="005A274B" w:rsidRPr="00167128" w:rsidRDefault="005A274B" w:rsidP="006C7511">
      <w:pPr>
        <w:keepNext/>
        <w:autoSpaceDE w:val="0"/>
        <w:autoSpaceDN w:val="0"/>
        <w:adjustRightInd w:val="0"/>
        <w:rPr>
          <w:noProof/>
          <w:sz w:val="22"/>
          <w:szCs w:val="22"/>
        </w:rPr>
      </w:pPr>
    </w:p>
    <w:p w14:paraId="02200EEE" w14:textId="17A75125" w:rsidR="009C1660" w:rsidRPr="00167128" w:rsidRDefault="005A274B" w:rsidP="006C7511">
      <w:pPr>
        <w:pStyle w:val="Style1"/>
        <w:rPr>
          <w:b w:val="0"/>
        </w:rPr>
      </w:pPr>
      <w:r w:rsidRPr="00907026">
        <w:rPr>
          <w:b w:val="0"/>
        </w:rPr>
        <w:t>4.1</w:t>
      </w:r>
      <w:r w:rsidRPr="00907026">
        <w:rPr>
          <w:b w:val="0"/>
        </w:rPr>
        <w:tab/>
      </w:r>
      <w:proofErr w:type="spellStart"/>
      <w:r w:rsidRPr="00907026">
        <w:rPr>
          <w:b w:val="0"/>
        </w:rPr>
        <w:t>ATCvet</w:t>
      </w:r>
      <w:proofErr w:type="spellEnd"/>
      <w:r w:rsidRPr="00907026">
        <w:rPr>
          <w:b w:val="0"/>
        </w:rPr>
        <w:t xml:space="preserve"> kód:</w:t>
      </w:r>
      <w:r w:rsidRPr="00167128">
        <w:rPr>
          <w:noProof/>
        </w:rPr>
        <w:t xml:space="preserve"> </w:t>
      </w:r>
      <w:r w:rsidRPr="00167128">
        <w:rPr>
          <w:b w:val="0"/>
        </w:rPr>
        <w:t>QP52AC13</w:t>
      </w:r>
    </w:p>
    <w:p w14:paraId="0D77A384" w14:textId="09591A29" w:rsidR="005A274B" w:rsidRPr="00A84C4F" w:rsidRDefault="005A274B" w:rsidP="009C3AD4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178B834" w14:textId="77777777" w:rsidR="005A274B" w:rsidRPr="00907026" w:rsidRDefault="005A274B" w:rsidP="009C3AD4">
      <w:pPr>
        <w:pStyle w:val="Normlnweb"/>
        <w:spacing w:before="0" w:beforeAutospacing="0" w:after="0" w:afterAutospacing="0"/>
        <w:rPr>
          <w:b/>
          <w:bCs/>
          <w:noProof/>
          <w:sz w:val="22"/>
          <w:szCs w:val="22"/>
          <w:lang w:val="cs-CZ"/>
        </w:rPr>
      </w:pPr>
      <w:r w:rsidRPr="00907026">
        <w:rPr>
          <w:b/>
          <w:bCs/>
          <w:noProof/>
          <w:sz w:val="22"/>
          <w:szCs w:val="22"/>
          <w:lang w:val="cs-CZ"/>
        </w:rPr>
        <w:t>4.2</w:t>
      </w:r>
      <w:r w:rsidRPr="00907026">
        <w:rPr>
          <w:b/>
          <w:bCs/>
          <w:noProof/>
          <w:sz w:val="22"/>
          <w:szCs w:val="22"/>
          <w:lang w:val="cs-CZ"/>
        </w:rPr>
        <w:tab/>
        <w:t xml:space="preserve">Farmakodynamika </w:t>
      </w:r>
    </w:p>
    <w:p w14:paraId="3A4D45BA" w14:textId="77777777" w:rsidR="005A274B" w:rsidRPr="00A84C4F" w:rsidRDefault="005A274B" w:rsidP="009C3AD4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FCA7745" w14:textId="344D59C7" w:rsidR="006855D6" w:rsidRPr="00167128" w:rsidRDefault="006855D6" w:rsidP="009C3AD4">
      <w:pPr>
        <w:rPr>
          <w:sz w:val="22"/>
          <w:szCs w:val="22"/>
        </w:rPr>
      </w:pPr>
      <w:r w:rsidRPr="00167128">
        <w:rPr>
          <w:sz w:val="22"/>
          <w:szCs w:val="22"/>
        </w:rPr>
        <w:t>Fenbendazol je sloučenina z </w:t>
      </w:r>
      <w:proofErr w:type="spellStart"/>
      <w:r w:rsidRPr="00167128">
        <w:rPr>
          <w:sz w:val="22"/>
          <w:szCs w:val="22"/>
        </w:rPr>
        <w:t>benzimidazolové</w:t>
      </w:r>
      <w:proofErr w:type="spellEnd"/>
      <w:r w:rsidRPr="00167128">
        <w:rPr>
          <w:sz w:val="22"/>
          <w:szCs w:val="22"/>
        </w:rPr>
        <w:t xml:space="preserve"> skupiny se širokou škálou účinnosti na parazity různých druhů zvířat, včetně ptáků. </w:t>
      </w:r>
      <w:proofErr w:type="spellStart"/>
      <w:r w:rsidRPr="00167128">
        <w:rPr>
          <w:sz w:val="22"/>
          <w:szCs w:val="22"/>
        </w:rPr>
        <w:t>Fenbendazol</w:t>
      </w:r>
      <w:proofErr w:type="spellEnd"/>
      <w:r w:rsidRPr="00167128">
        <w:rPr>
          <w:sz w:val="22"/>
          <w:szCs w:val="22"/>
        </w:rPr>
        <w:t xml:space="preserve"> má i </w:t>
      </w:r>
      <w:proofErr w:type="spellStart"/>
      <w:r w:rsidRPr="00167128">
        <w:rPr>
          <w:sz w:val="22"/>
          <w:szCs w:val="22"/>
        </w:rPr>
        <w:t>ovocidní</w:t>
      </w:r>
      <w:proofErr w:type="spellEnd"/>
      <w:r w:rsidRPr="00167128">
        <w:rPr>
          <w:sz w:val="22"/>
          <w:szCs w:val="22"/>
        </w:rPr>
        <w:t xml:space="preserve"> a </w:t>
      </w:r>
      <w:proofErr w:type="spellStart"/>
      <w:r w:rsidRPr="00167128">
        <w:rPr>
          <w:sz w:val="22"/>
          <w:szCs w:val="22"/>
        </w:rPr>
        <w:t>larvicidní</w:t>
      </w:r>
      <w:proofErr w:type="spellEnd"/>
      <w:r w:rsidRPr="00167128">
        <w:rPr>
          <w:sz w:val="22"/>
          <w:szCs w:val="22"/>
        </w:rPr>
        <w:t xml:space="preserve"> účinek. Fenbendazol primárně působí navázáním na tubulin parazita, čímž dochází k jeho destrukci. Jeho mechanizmem účinku je také inhibice </w:t>
      </w:r>
      <w:proofErr w:type="spellStart"/>
      <w:r w:rsidRPr="00167128">
        <w:rPr>
          <w:sz w:val="22"/>
          <w:szCs w:val="22"/>
        </w:rPr>
        <w:t>fumarát</w:t>
      </w:r>
      <w:proofErr w:type="spellEnd"/>
      <w:r w:rsidRPr="00167128">
        <w:rPr>
          <w:sz w:val="22"/>
          <w:szCs w:val="22"/>
        </w:rPr>
        <w:t xml:space="preserve"> reduktázy, čímž dochází k blokádě tvorby energie v mitochondriích.</w:t>
      </w:r>
    </w:p>
    <w:p w14:paraId="215D8656" w14:textId="1BF762C4" w:rsidR="005A274B" w:rsidRPr="00167128" w:rsidRDefault="005A274B" w:rsidP="009C3AD4">
      <w:pPr>
        <w:rPr>
          <w:sz w:val="22"/>
          <w:szCs w:val="22"/>
        </w:rPr>
      </w:pPr>
    </w:p>
    <w:p w14:paraId="7249377F" w14:textId="77777777" w:rsidR="005A274B" w:rsidRPr="00907026" w:rsidRDefault="005A274B" w:rsidP="009C3AD4">
      <w:pPr>
        <w:pStyle w:val="Normlnweb"/>
        <w:spacing w:before="0" w:beforeAutospacing="0" w:after="0" w:afterAutospacing="0"/>
        <w:rPr>
          <w:b/>
          <w:bCs/>
          <w:noProof/>
          <w:sz w:val="22"/>
          <w:szCs w:val="22"/>
          <w:lang w:val="cs-CZ"/>
        </w:rPr>
      </w:pPr>
      <w:r w:rsidRPr="00907026">
        <w:rPr>
          <w:b/>
          <w:bCs/>
          <w:noProof/>
          <w:sz w:val="22"/>
          <w:szCs w:val="22"/>
          <w:lang w:val="cs-CZ"/>
        </w:rPr>
        <w:t>4.3</w:t>
      </w:r>
      <w:r w:rsidRPr="00907026">
        <w:rPr>
          <w:b/>
          <w:bCs/>
          <w:noProof/>
          <w:sz w:val="22"/>
          <w:szCs w:val="22"/>
          <w:lang w:val="cs-CZ"/>
        </w:rPr>
        <w:tab/>
        <w:t xml:space="preserve">Farmakokinetika </w:t>
      </w:r>
    </w:p>
    <w:p w14:paraId="2E582766" w14:textId="77777777" w:rsidR="005A274B" w:rsidRPr="00167128" w:rsidRDefault="005A274B" w:rsidP="009C3AD4">
      <w:pPr>
        <w:rPr>
          <w:sz w:val="22"/>
          <w:szCs w:val="22"/>
        </w:rPr>
      </w:pPr>
    </w:p>
    <w:p w14:paraId="08A06239" w14:textId="5074A49C" w:rsidR="006855D6" w:rsidRPr="00167128" w:rsidRDefault="006855D6" w:rsidP="009C3AD4">
      <w:pPr>
        <w:rPr>
          <w:sz w:val="22"/>
          <w:szCs w:val="22"/>
        </w:rPr>
      </w:pPr>
      <w:r w:rsidRPr="00A84C4F">
        <w:rPr>
          <w:sz w:val="22"/>
          <w:szCs w:val="22"/>
        </w:rPr>
        <w:t xml:space="preserve">Protože je fenbendazol málo rozpustný ve vodných roztocích, je z gastrointestinálního traktu ptáků jen slabě absorbovaný. Hlavními metabolity </w:t>
      </w:r>
      <w:proofErr w:type="spellStart"/>
      <w:r w:rsidRPr="00A84C4F">
        <w:rPr>
          <w:sz w:val="22"/>
          <w:szCs w:val="22"/>
        </w:rPr>
        <w:t>fenbendazolu</w:t>
      </w:r>
      <w:proofErr w:type="spellEnd"/>
      <w:r w:rsidRPr="00A84C4F">
        <w:rPr>
          <w:sz w:val="22"/>
          <w:szCs w:val="22"/>
        </w:rPr>
        <w:t xml:space="preserve"> v organizmu jsou </w:t>
      </w:r>
      <w:proofErr w:type="spellStart"/>
      <w:r w:rsidRPr="00A84C4F">
        <w:rPr>
          <w:sz w:val="22"/>
          <w:szCs w:val="22"/>
        </w:rPr>
        <w:t>fenbendazolsulfoxid</w:t>
      </w:r>
      <w:proofErr w:type="spellEnd"/>
      <w:r w:rsidRPr="00A84C4F">
        <w:rPr>
          <w:sz w:val="22"/>
          <w:szCs w:val="22"/>
        </w:rPr>
        <w:t xml:space="preserve"> a </w:t>
      </w:r>
      <w:proofErr w:type="spellStart"/>
      <w:r w:rsidRPr="00A84C4F">
        <w:rPr>
          <w:sz w:val="22"/>
          <w:szCs w:val="22"/>
        </w:rPr>
        <w:t>fenbendazolsulfon</w:t>
      </w:r>
      <w:proofErr w:type="spellEnd"/>
      <w:r w:rsidRPr="00A84C4F">
        <w:rPr>
          <w:sz w:val="22"/>
          <w:szCs w:val="22"/>
        </w:rPr>
        <w:t>, které jsou také účinné. K vylučování původní látky i jejích metabolitů z organizmu dochází trus</w:t>
      </w:r>
      <w:r w:rsidRPr="00167128">
        <w:rPr>
          <w:sz w:val="22"/>
          <w:szCs w:val="22"/>
        </w:rPr>
        <w:t>em.</w:t>
      </w:r>
    </w:p>
    <w:p w14:paraId="25DBC61F" w14:textId="7B4C57BE" w:rsidR="005A274B" w:rsidRPr="00167128" w:rsidRDefault="005A274B" w:rsidP="006C7511">
      <w:pPr>
        <w:jc w:val="both"/>
        <w:rPr>
          <w:sz w:val="22"/>
          <w:szCs w:val="22"/>
        </w:rPr>
      </w:pPr>
    </w:p>
    <w:p w14:paraId="3ACF14FA" w14:textId="77777777" w:rsidR="005A274B" w:rsidRPr="00167128" w:rsidRDefault="005A274B" w:rsidP="006C7511">
      <w:pPr>
        <w:jc w:val="both"/>
        <w:rPr>
          <w:sz w:val="22"/>
          <w:szCs w:val="22"/>
        </w:rPr>
      </w:pPr>
    </w:p>
    <w:p w14:paraId="0BE4C84D" w14:textId="6C634330" w:rsidR="006855D6" w:rsidRPr="00167128" w:rsidRDefault="005A274B" w:rsidP="006C7511">
      <w:pPr>
        <w:keepNext/>
        <w:jc w:val="both"/>
        <w:rPr>
          <w:b/>
          <w:sz w:val="22"/>
          <w:szCs w:val="22"/>
        </w:rPr>
      </w:pPr>
      <w:r w:rsidRPr="00907026">
        <w:rPr>
          <w:b/>
          <w:sz w:val="22"/>
          <w:szCs w:val="22"/>
        </w:rPr>
        <w:t>5</w:t>
      </w:r>
      <w:r w:rsidR="006855D6" w:rsidRPr="00907026">
        <w:rPr>
          <w:b/>
          <w:sz w:val="22"/>
          <w:szCs w:val="22"/>
        </w:rPr>
        <w:t>.</w:t>
      </w:r>
      <w:r w:rsidR="006855D6" w:rsidRPr="00167128">
        <w:rPr>
          <w:b/>
          <w:sz w:val="22"/>
          <w:szCs w:val="22"/>
        </w:rPr>
        <w:tab/>
        <w:t>FARMACEUTICKÉ ÚDAJE</w:t>
      </w:r>
    </w:p>
    <w:p w14:paraId="6AC1CAFC" w14:textId="77777777" w:rsidR="00BB1E53" w:rsidRPr="00167128" w:rsidRDefault="00BB1E53" w:rsidP="006C7511">
      <w:pPr>
        <w:keepNext/>
        <w:ind w:left="703"/>
        <w:jc w:val="both"/>
        <w:outlineLvl w:val="0"/>
        <w:rPr>
          <w:b/>
          <w:bCs/>
          <w:kern w:val="32"/>
          <w:sz w:val="22"/>
          <w:szCs w:val="22"/>
        </w:rPr>
      </w:pPr>
    </w:p>
    <w:p w14:paraId="1C0E4B2C" w14:textId="775AB9A2" w:rsidR="006855D6" w:rsidRPr="00167128" w:rsidRDefault="005A274B" w:rsidP="006C7511">
      <w:pPr>
        <w:keepNext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07026">
        <w:rPr>
          <w:b/>
          <w:sz w:val="22"/>
          <w:szCs w:val="22"/>
        </w:rPr>
        <w:t>5</w:t>
      </w:r>
      <w:r w:rsidR="006855D6" w:rsidRPr="00907026">
        <w:rPr>
          <w:b/>
          <w:sz w:val="22"/>
          <w:szCs w:val="22"/>
        </w:rPr>
        <w:t>.</w:t>
      </w:r>
      <w:r w:rsidRPr="00907026">
        <w:rPr>
          <w:b/>
          <w:sz w:val="22"/>
          <w:szCs w:val="22"/>
        </w:rPr>
        <w:t>1</w:t>
      </w:r>
      <w:r w:rsidR="006855D6" w:rsidRPr="00167128">
        <w:rPr>
          <w:b/>
          <w:sz w:val="22"/>
          <w:szCs w:val="22"/>
        </w:rPr>
        <w:tab/>
      </w:r>
      <w:r w:rsidR="00106B61" w:rsidRPr="00167128">
        <w:rPr>
          <w:b/>
          <w:sz w:val="22"/>
          <w:szCs w:val="22"/>
        </w:rPr>
        <w:t>Hlavní i</w:t>
      </w:r>
      <w:r w:rsidR="006855D6" w:rsidRPr="00167128">
        <w:rPr>
          <w:b/>
          <w:sz w:val="22"/>
          <w:szCs w:val="22"/>
        </w:rPr>
        <w:t>nkompatibility</w:t>
      </w:r>
    </w:p>
    <w:p w14:paraId="6E907A41" w14:textId="77777777" w:rsidR="005A274B" w:rsidRPr="00167128" w:rsidRDefault="005A274B" w:rsidP="006C7511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B668EBB" w14:textId="3CF04762" w:rsidR="006855D6" w:rsidRPr="00167128" w:rsidRDefault="006855D6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7128">
        <w:rPr>
          <w:sz w:val="22"/>
          <w:szCs w:val="22"/>
        </w:rPr>
        <w:t>Nejsou znám</w:t>
      </w:r>
      <w:r w:rsidR="00533BBD" w:rsidRPr="00167128">
        <w:rPr>
          <w:sz w:val="22"/>
          <w:szCs w:val="22"/>
        </w:rPr>
        <w:t>y</w:t>
      </w:r>
      <w:r w:rsidRPr="00167128">
        <w:rPr>
          <w:sz w:val="22"/>
          <w:szCs w:val="22"/>
        </w:rPr>
        <w:t>.</w:t>
      </w:r>
    </w:p>
    <w:p w14:paraId="68EF4DFF" w14:textId="77777777" w:rsidR="00E153F7" w:rsidRPr="00A84C4F" w:rsidRDefault="00E153F7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7E7B2B" w14:textId="3171C15E" w:rsidR="006855D6" w:rsidRPr="00167128" w:rsidRDefault="005A274B" w:rsidP="006C7511">
      <w:pPr>
        <w:keepNext/>
        <w:jc w:val="both"/>
        <w:rPr>
          <w:b/>
          <w:bCs/>
          <w:sz w:val="22"/>
          <w:szCs w:val="22"/>
        </w:rPr>
      </w:pPr>
      <w:r w:rsidRPr="00907026">
        <w:rPr>
          <w:b/>
          <w:sz w:val="22"/>
          <w:szCs w:val="22"/>
        </w:rPr>
        <w:t>5.2</w:t>
      </w:r>
      <w:r w:rsidR="006855D6" w:rsidRPr="00167128">
        <w:rPr>
          <w:b/>
          <w:sz w:val="22"/>
          <w:szCs w:val="22"/>
        </w:rPr>
        <w:tab/>
        <w:t>Doba použitelnosti</w:t>
      </w:r>
    </w:p>
    <w:p w14:paraId="3D159C2F" w14:textId="77777777" w:rsidR="005A274B" w:rsidRPr="00167128" w:rsidRDefault="005A274B" w:rsidP="006C7511">
      <w:pPr>
        <w:ind w:right="-318"/>
        <w:jc w:val="both"/>
        <w:rPr>
          <w:sz w:val="22"/>
          <w:szCs w:val="22"/>
        </w:rPr>
      </w:pPr>
    </w:p>
    <w:p w14:paraId="0747F55E" w14:textId="7413F7C8" w:rsidR="006855D6" w:rsidRPr="00392D14" w:rsidRDefault="006855D6" w:rsidP="006C7511">
      <w:pPr>
        <w:ind w:right="-318"/>
        <w:jc w:val="both"/>
        <w:rPr>
          <w:sz w:val="22"/>
          <w:szCs w:val="22"/>
        </w:rPr>
      </w:pPr>
      <w:r w:rsidRPr="00A84C4F">
        <w:rPr>
          <w:sz w:val="22"/>
          <w:szCs w:val="22"/>
        </w:rPr>
        <w:t>Doba použitelnosti veterinárního léčivého přípravku v neporušeném obalu: 2 roky.</w:t>
      </w:r>
    </w:p>
    <w:p w14:paraId="6E9CDB55" w14:textId="77777777" w:rsidR="006855D6" w:rsidRPr="00167128" w:rsidRDefault="006855D6" w:rsidP="006C7511">
      <w:pPr>
        <w:ind w:right="-318"/>
        <w:jc w:val="both"/>
        <w:rPr>
          <w:sz w:val="22"/>
          <w:szCs w:val="22"/>
        </w:rPr>
      </w:pPr>
      <w:bookmarkStart w:id="6" w:name="_Hlk161128245"/>
      <w:r w:rsidRPr="00167128">
        <w:rPr>
          <w:sz w:val="22"/>
          <w:szCs w:val="22"/>
        </w:rPr>
        <w:t>Doba použitelnosti po prvním otevření vnitřního obalu: 3 měsíce.</w:t>
      </w:r>
    </w:p>
    <w:bookmarkEnd w:id="6"/>
    <w:p w14:paraId="2FE45B08" w14:textId="77777777" w:rsidR="005A274B" w:rsidRPr="00167128" w:rsidRDefault="005A274B" w:rsidP="006C75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9730F6" w14:textId="441D81A2" w:rsidR="006855D6" w:rsidRPr="00167128" w:rsidRDefault="005A274B" w:rsidP="006C75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07026">
        <w:rPr>
          <w:b/>
          <w:sz w:val="22"/>
          <w:szCs w:val="22"/>
        </w:rPr>
        <w:t>5.3</w:t>
      </w:r>
      <w:r w:rsidR="006855D6" w:rsidRPr="00167128">
        <w:rPr>
          <w:b/>
          <w:sz w:val="22"/>
          <w:szCs w:val="22"/>
        </w:rPr>
        <w:tab/>
        <w:t>Zvláštní opatření pro uchovávání</w:t>
      </w:r>
    </w:p>
    <w:p w14:paraId="7E431814" w14:textId="77777777" w:rsidR="005A274B" w:rsidRPr="00167128" w:rsidRDefault="005A274B" w:rsidP="006C7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E0231" w14:textId="2B5F2925" w:rsidR="006855D6" w:rsidRPr="00167128" w:rsidRDefault="006855D6" w:rsidP="006C751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7128">
        <w:rPr>
          <w:sz w:val="22"/>
          <w:szCs w:val="22"/>
        </w:rPr>
        <w:t>Uchovávejte při teplotě do 25</w:t>
      </w:r>
      <w:r w:rsidR="009020C1" w:rsidRPr="00907026">
        <w:rPr>
          <w:sz w:val="22"/>
          <w:szCs w:val="22"/>
        </w:rPr>
        <w:t xml:space="preserve"> </w:t>
      </w:r>
      <w:r w:rsidRPr="00167128">
        <w:rPr>
          <w:sz w:val="22"/>
          <w:szCs w:val="22"/>
        </w:rPr>
        <w:sym w:font="Symbol" w:char="F0B0"/>
      </w:r>
      <w:r w:rsidRPr="00167128">
        <w:rPr>
          <w:sz w:val="22"/>
          <w:szCs w:val="22"/>
        </w:rPr>
        <w:t>C.</w:t>
      </w:r>
    </w:p>
    <w:p w14:paraId="5EE6EDD0" w14:textId="77777777" w:rsidR="006855D6" w:rsidRPr="00167128" w:rsidRDefault="006855D6" w:rsidP="006C7511">
      <w:pPr>
        <w:jc w:val="both"/>
        <w:rPr>
          <w:sz w:val="22"/>
          <w:szCs w:val="22"/>
        </w:rPr>
      </w:pPr>
      <w:r w:rsidRPr="00167128">
        <w:rPr>
          <w:sz w:val="22"/>
          <w:szCs w:val="22"/>
        </w:rPr>
        <w:t>Chraňte před světlem.</w:t>
      </w:r>
    </w:p>
    <w:p w14:paraId="5C3E2080" w14:textId="77777777" w:rsidR="006855D6" w:rsidRPr="00A84C4F" w:rsidRDefault="006855D6" w:rsidP="006C7511">
      <w:pPr>
        <w:jc w:val="both"/>
        <w:rPr>
          <w:bCs/>
          <w:sz w:val="22"/>
          <w:szCs w:val="22"/>
        </w:rPr>
      </w:pPr>
      <w:r w:rsidRPr="00A84C4F">
        <w:rPr>
          <w:bCs/>
          <w:sz w:val="22"/>
          <w:szCs w:val="22"/>
        </w:rPr>
        <w:t>Uchovávejte v suchu.</w:t>
      </w:r>
    </w:p>
    <w:p w14:paraId="631D091D" w14:textId="77777777" w:rsidR="005A274B" w:rsidRPr="00167128" w:rsidRDefault="005A274B" w:rsidP="006C7511">
      <w:pPr>
        <w:jc w:val="both"/>
        <w:rPr>
          <w:b/>
          <w:sz w:val="22"/>
          <w:szCs w:val="22"/>
        </w:rPr>
      </w:pPr>
    </w:p>
    <w:p w14:paraId="5671A378" w14:textId="41EBA1D0" w:rsidR="006855D6" w:rsidRPr="00167128" w:rsidRDefault="005A274B" w:rsidP="006C7511">
      <w:pPr>
        <w:jc w:val="both"/>
        <w:rPr>
          <w:sz w:val="22"/>
          <w:szCs w:val="22"/>
        </w:rPr>
      </w:pPr>
      <w:r w:rsidRPr="00907026">
        <w:rPr>
          <w:b/>
          <w:sz w:val="22"/>
          <w:szCs w:val="22"/>
        </w:rPr>
        <w:t>5.4</w:t>
      </w:r>
      <w:r w:rsidR="006855D6" w:rsidRPr="00167128">
        <w:rPr>
          <w:b/>
          <w:sz w:val="22"/>
          <w:szCs w:val="22"/>
        </w:rPr>
        <w:tab/>
        <w:t>Druh a složení vnitřního obalu</w:t>
      </w:r>
    </w:p>
    <w:p w14:paraId="59859D4A" w14:textId="77777777" w:rsidR="005A274B" w:rsidRPr="00A84C4F" w:rsidRDefault="005A274B" w:rsidP="006C7511">
      <w:pPr>
        <w:jc w:val="both"/>
        <w:rPr>
          <w:sz w:val="22"/>
          <w:szCs w:val="22"/>
        </w:rPr>
      </w:pPr>
    </w:p>
    <w:p w14:paraId="6A621149" w14:textId="59AE9ABF" w:rsidR="006855D6" w:rsidRPr="00167128" w:rsidRDefault="006855D6" w:rsidP="006C7511">
      <w:pPr>
        <w:jc w:val="both"/>
        <w:rPr>
          <w:sz w:val="22"/>
          <w:szCs w:val="22"/>
        </w:rPr>
      </w:pPr>
      <w:r w:rsidRPr="00167128">
        <w:rPr>
          <w:sz w:val="22"/>
          <w:szCs w:val="22"/>
        </w:rPr>
        <w:t>100 tablet: hnědá skleněná lahvička III. hydrolytické třídy o objemu 30 ml s HDPE uzávěrem a</w:t>
      </w:r>
      <w:r w:rsidR="00BD232B" w:rsidRPr="00167128">
        <w:rPr>
          <w:sz w:val="22"/>
          <w:szCs w:val="22"/>
        </w:rPr>
        <w:t> </w:t>
      </w:r>
      <w:r w:rsidRPr="00167128">
        <w:rPr>
          <w:sz w:val="22"/>
          <w:szCs w:val="22"/>
        </w:rPr>
        <w:t>LDPE pojistným kroužkem</w:t>
      </w:r>
      <w:r w:rsidR="00D13FF9" w:rsidRPr="00167128">
        <w:rPr>
          <w:sz w:val="22"/>
          <w:szCs w:val="22"/>
        </w:rPr>
        <w:t xml:space="preserve">, </w:t>
      </w:r>
      <w:r w:rsidR="00D13FF9" w:rsidRPr="00907026">
        <w:rPr>
          <w:sz w:val="22"/>
          <w:szCs w:val="22"/>
        </w:rPr>
        <w:t>etiketa</w:t>
      </w:r>
      <w:r w:rsidR="00533BBD" w:rsidRPr="00167128">
        <w:rPr>
          <w:sz w:val="22"/>
          <w:szCs w:val="22"/>
        </w:rPr>
        <w:t>.</w:t>
      </w:r>
    </w:p>
    <w:p w14:paraId="113AEC2B" w14:textId="77777777" w:rsidR="005A274B" w:rsidRPr="00167128" w:rsidRDefault="005A274B" w:rsidP="006C7511">
      <w:pPr>
        <w:jc w:val="both"/>
        <w:rPr>
          <w:b/>
          <w:sz w:val="22"/>
          <w:szCs w:val="22"/>
        </w:rPr>
      </w:pPr>
    </w:p>
    <w:p w14:paraId="2E334402" w14:textId="465773DA" w:rsidR="005A274B" w:rsidRPr="00167128" w:rsidRDefault="005A274B" w:rsidP="006958DD">
      <w:pPr>
        <w:keepNext/>
        <w:autoSpaceDE w:val="0"/>
        <w:autoSpaceDN w:val="0"/>
        <w:adjustRightInd w:val="0"/>
        <w:ind w:left="705" w:hanging="705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5.5</w:t>
      </w:r>
      <w:r w:rsidRPr="00167128">
        <w:rPr>
          <w:b/>
          <w:bCs/>
          <w:noProof/>
          <w:sz w:val="22"/>
          <w:szCs w:val="22"/>
        </w:rPr>
        <w:t xml:space="preserve"> </w:t>
      </w:r>
      <w:r w:rsidR="00346E01" w:rsidRPr="00167128">
        <w:rPr>
          <w:b/>
          <w:bCs/>
          <w:noProof/>
          <w:sz w:val="22"/>
          <w:szCs w:val="22"/>
        </w:rPr>
        <w:tab/>
      </w:r>
      <w:r w:rsidRPr="00167128">
        <w:rPr>
          <w:b/>
          <w:bCs/>
          <w:noProof/>
          <w:sz w:val="22"/>
          <w:szCs w:val="22"/>
        </w:rPr>
        <w:t xml:space="preserve">Zvláštní opatření pro </w:t>
      </w:r>
      <w:r w:rsidRPr="00907026">
        <w:rPr>
          <w:b/>
          <w:bCs/>
          <w:noProof/>
          <w:sz w:val="22"/>
          <w:szCs w:val="22"/>
        </w:rPr>
        <w:t>likvidaci</w:t>
      </w:r>
      <w:r w:rsidR="00103623" w:rsidRPr="00167128">
        <w:rPr>
          <w:sz w:val="22"/>
          <w:szCs w:val="22"/>
        </w:rPr>
        <w:t xml:space="preserve"> </w:t>
      </w:r>
      <w:r w:rsidR="00103623" w:rsidRPr="00907026">
        <w:rPr>
          <w:b/>
          <w:bCs/>
          <w:noProof/>
          <w:sz w:val="22"/>
          <w:szCs w:val="22"/>
        </w:rPr>
        <w:t>nepoužitých veterinárních léčivých přípravků</w:t>
      </w:r>
      <w:r w:rsidRPr="00167128">
        <w:rPr>
          <w:b/>
          <w:bCs/>
          <w:noProof/>
          <w:sz w:val="22"/>
          <w:szCs w:val="22"/>
        </w:rPr>
        <w:t xml:space="preserve"> </w:t>
      </w:r>
      <w:r w:rsidR="00227FCF" w:rsidRPr="00907026">
        <w:rPr>
          <w:b/>
          <w:bCs/>
          <w:noProof/>
          <w:sz w:val="22"/>
          <w:szCs w:val="22"/>
        </w:rPr>
        <w:t xml:space="preserve">nebo </w:t>
      </w:r>
      <w:r w:rsidR="00103623" w:rsidRPr="00907026">
        <w:rPr>
          <w:b/>
          <w:bCs/>
          <w:noProof/>
          <w:sz w:val="22"/>
          <w:szCs w:val="22"/>
        </w:rPr>
        <w:t>odpadů, které pochází z těchto přípravků</w:t>
      </w:r>
      <w:r w:rsidR="00103623" w:rsidRPr="00907026">
        <w:rPr>
          <w:b/>
          <w:bCs/>
          <w:strike/>
          <w:noProof/>
          <w:sz w:val="22"/>
          <w:szCs w:val="22"/>
        </w:rPr>
        <w:t xml:space="preserve"> </w:t>
      </w:r>
    </w:p>
    <w:p w14:paraId="2B0D49A9" w14:textId="77777777" w:rsidR="00346E01" w:rsidRPr="00167128" w:rsidRDefault="00346E01" w:rsidP="006958DD">
      <w:pPr>
        <w:pStyle w:val="Zkladntext"/>
        <w:keepNext/>
        <w:spacing w:after="0"/>
        <w:jc w:val="both"/>
        <w:rPr>
          <w:noProof/>
          <w:sz w:val="22"/>
          <w:szCs w:val="22"/>
        </w:rPr>
      </w:pPr>
    </w:p>
    <w:p w14:paraId="7C1432D5" w14:textId="77777777" w:rsidR="00930E6D" w:rsidRPr="00907026" w:rsidRDefault="00930E6D" w:rsidP="006958DD">
      <w:pPr>
        <w:tabs>
          <w:tab w:val="left" w:pos="567"/>
        </w:tabs>
        <w:jc w:val="both"/>
        <w:rPr>
          <w:sz w:val="22"/>
          <w:szCs w:val="22"/>
          <w:lang w:eastAsia="en-US"/>
        </w:rPr>
      </w:pPr>
      <w:r w:rsidRPr="00907026">
        <w:rPr>
          <w:sz w:val="22"/>
          <w:szCs w:val="22"/>
          <w:lang w:eastAsia="en-US"/>
        </w:rPr>
        <w:t>Léčivé přípravky se nesmí likvidovat prostřednictvím odpadní vody či domovního odpadu.</w:t>
      </w:r>
    </w:p>
    <w:p w14:paraId="3D976322" w14:textId="24044358" w:rsidR="005A274B" w:rsidRPr="00167128" w:rsidRDefault="005A274B" w:rsidP="006958DD">
      <w:pPr>
        <w:pStyle w:val="Zkladntext"/>
        <w:spacing w:after="0"/>
        <w:jc w:val="both"/>
        <w:rPr>
          <w:noProof/>
          <w:sz w:val="22"/>
          <w:szCs w:val="22"/>
        </w:rPr>
      </w:pPr>
      <w:r w:rsidRPr="00167128">
        <w:rPr>
          <w:noProof/>
          <w:sz w:val="22"/>
          <w:szCs w:val="22"/>
        </w:rPr>
        <w:t>Všechen nepoužitý veterinární léčivý přípravek nebo odpad, který pochází z tohoto přípravku,</w:t>
      </w:r>
      <w:r w:rsidRPr="00167128">
        <w:rPr>
          <w:sz w:val="22"/>
          <w:szCs w:val="22"/>
        </w:rPr>
        <w:t xml:space="preserve"> </w:t>
      </w:r>
      <w:r w:rsidRPr="00907026">
        <w:rPr>
          <w:noProof/>
          <w:sz w:val="22"/>
          <w:szCs w:val="22"/>
        </w:rPr>
        <w:t>likvidujte odevzdáním v souladu s místními požadavky a národními systémy sběru, které jsou platné pro příslušný veterinární léčivý přípravek.</w:t>
      </w:r>
      <w:r w:rsidRPr="00167128">
        <w:rPr>
          <w:noProof/>
          <w:sz w:val="22"/>
          <w:szCs w:val="22"/>
        </w:rPr>
        <w:t xml:space="preserve"> </w:t>
      </w:r>
    </w:p>
    <w:p w14:paraId="6056F595" w14:textId="1A2D9EC9" w:rsidR="00D33761" w:rsidRPr="00A84C4F" w:rsidRDefault="00D33761" w:rsidP="006C7511">
      <w:pPr>
        <w:jc w:val="both"/>
        <w:rPr>
          <w:b/>
          <w:sz w:val="22"/>
          <w:szCs w:val="22"/>
        </w:rPr>
      </w:pPr>
    </w:p>
    <w:p w14:paraId="63315112" w14:textId="77777777" w:rsidR="00346E01" w:rsidRPr="00167128" w:rsidRDefault="00346E01" w:rsidP="006C7511">
      <w:pPr>
        <w:jc w:val="both"/>
        <w:rPr>
          <w:b/>
          <w:sz w:val="22"/>
          <w:szCs w:val="22"/>
        </w:rPr>
      </w:pPr>
    </w:p>
    <w:p w14:paraId="03182DC6" w14:textId="77777777" w:rsidR="00D33761" w:rsidRPr="00907026" w:rsidRDefault="00D33761" w:rsidP="006C7511">
      <w:pPr>
        <w:jc w:val="both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lastRenderedPageBreak/>
        <w:t>6.</w:t>
      </w:r>
      <w:r w:rsidRPr="00907026">
        <w:rPr>
          <w:b/>
          <w:bCs/>
          <w:noProof/>
          <w:sz w:val="22"/>
          <w:szCs w:val="22"/>
        </w:rPr>
        <w:tab/>
        <w:t>JMÉNO DRŽITELE ROZHODNUTÍ O REGISTRACI</w:t>
      </w:r>
    </w:p>
    <w:p w14:paraId="1D1FE759" w14:textId="77777777" w:rsidR="00D33761" w:rsidRPr="00167128" w:rsidRDefault="00D33761" w:rsidP="006C7511">
      <w:pPr>
        <w:jc w:val="both"/>
        <w:rPr>
          <w:noProof/>
          <w:sz w:val="22"/>
          <w:szCs w:val="22"/>
        </w:rPr>
      </w:pPr>
    </w:p>
    <w:p w14:paraId="19DA5EAE" w14:textId="026D3FF5" w:rsidR="00D33761" w:rsidRPr="00167128" w:rsidRDefault="00D33761" w:rsidP="006C7511">
      <w:pPr>
        <w:jc w:val="both"/>
        <w:rPr>
          <w:noProof/>
          <w:sz w:val="22"/>
          <w:szCs w:val="22"/>
        </w:rPr>
      </w:pPr>
      <w:r w:rsidRPr="00167128">
        <w:rPr>
          <w:noProof/>
          <w:sz w:val="22"/>
          <w:szCs w:val="22"/>
        </w:rPr>
        <w:t>PHARMAGAL</w:t>
      </w:r>
      <w:r w:rsidR="00420A3D" w:rsidRPr="00907026">
        <w:rPr>
          <w:noProof/>
          <w:sz w:val="22"/>
          <w:szCs w:val="22"/>
        </w:rPr>
        <w:t>,</w:t>
      </w:r>
      <w:r w:rsidRPr="00167128">
        <w:rPr>
          <w:noProof/>
          <w:sz w:val="22"/>
          <w:szCs w:val="22"/>
        </w:rPr>
        <w:t xml:space="preserve"> spol. s r.</w:t>
      </w:r>
      <w:r w:rsidR="00024D7C" w:rsidRPr="00167128">
        <w:rPr>
          <w:noProof/>
          <w:sz w:val="22"/>
          <w:szCs w:val="22"/>
        </w:rPr>
        <w:t xml:space="preserve"> </w:t>
      </w:r>
      <w:r w:rsidRPr="00167128">
        <w:rPr>
          <w:noProof/>
          <w:sz w:val="22"/>
          <w:szCs w:val="22"/>
        </w:rPr>
        <w:t xml:space="preserve">o. </w:t>
      </w:r>
    </w:p>
    <w:p w14:paraId="5FCFFFB0" w14:textId="2031824D" w:rsidR="00D33761" w:rsidRPr="00167128" w:rsidRDefault="00D33761" w:rsidP="006C7511">
      <w:pPr>
        <w:jc w:val="both"/>
        <w:rPr>
          <w:b/>
          <w:sz w:val="22"/>
          <w:szCs w:val="22"/>
        </w:rPr>
      </w:pPr>
    </w:p>
    <w:p w14:paraId="26608B02" w14:textId="77777777" w:rsidR="00D33761" w:rsidRPr="00167128" w:rsidRDefault="00D33761" w:rsidP="006C7511">
      <w:pPr>
        <w:jc w:val="both"/>
        <w:rPr>
          <w:b/>
          <w:sz w:val="22"/>
          <w:szCs w:val="22"/>
        </w:rPr>
      </w:pPr>
    </w:p>
    <w:p w14:paraId="20C22421" w14:textId="13B8F397" w:rsidR="006855D6" w:rsidRPr="00167128" w:rsidRDefault="00D33761" w:rsidP="006C7511">
      <w:pPr>
        <w:keepNext/>
        <w:ind w:right="-318"/>
        <w:jc w:val="both"/>
        <w:rPr>
          <w:b/>
          <w:caps/>
          <w:sz w:val="22"/>
          <w:szCs w:val="22"/>
        </w:rPr>
      </w:pPr>
      <w:r w:rsidRPr="00907026">
        <w:rPr>
          <w:b/>
          <w:sz w:val="22"/>
          <w:szCs w:val="22"/>
        </w:rPr>
        <w:t>7</w:t>
      </w:r>
      <w:r w:rsidR="006855D6" w:rsidRPr="00907026">
        <w:rPr>
          <w:b/>
          <w:sz w:val="22"/>
          <w:szCs w:val="22"/>
        </w:rPr>
        <w:t>.</w:t>
      </w:r>
      <w:r w:rsidR="006855D6" w:rsidRPr="00167128">
        <w:rPr>
          <w:sz w:val="22"/>
          <w:szCs w:val="22"/>
        </w:rPr>
        <w:tab/>
      </w:r>
      <w:r w:rsidR="006855D6" w:rsidRPr="00167128">
        <w:rPr>
          <w:b/>
          <w:caps/>
          <w:sz w:val="22"/>
          <w:szCs w:val="22"/>
        </w:rPr>
        <w:t>Registrační číslo</w:t>
      </w:r>
      <w:r w:rsidR="00106B61" w:rsidRPr="00167128">
        <w:rPr>
          <w:b/>
          <w:caps/>
          <w:sz w:val="22"/>
          <w:szCs w:val="22"/>
        </w:rPr>
        <w:t>(A)</w:t>
      </w:r>
      <w:r w:rsidR="006855D6" w:rsidRPr="00167128">
        <w:rPr>
          <w:b/>
          <w:caps/>
          <w:sz w:val="22"/>
          <w:szCs w:val="22"/>
        </w:rPr>
        <w:t xml:space="preserve"> </w:t>
      </w:r>
    </w:p>
    <w:p w14:paraId="3965B628" w14:textId="77777777" w:rsidR="00D33761" w:rsidRPr="00A84C4F" w:rsidRDefault="00D33761" w:rsidP="006C7511">
      <w:pPr>
        <w:keepNext/>
        <w:ind w:right="-318"/>
        <w:jc w:val="both"/>
        <w:rPr>
          <w:b/>
          <w:caps/>
          <w:sz w:val="22"/>
          <w:szCs w:val="22"/>
        </w:rPr>
      </w:pPr>
    </w:p>
    <w:p w14:paraId="52F0BC03" w14:textId="6487FD4B" w:rsidR="006855D6" w:rsidRPr="00167128" w:rsidRDefault="006855D6" w:rsidP="006C7511">
      <w:pPr>
        <w:jc w:val="both"/>
        <w:rPr>
          <w:bCs/>
          <w:sz w:val="22"/>
          <w:szCs w:val="22"/>
        </w:rPr>
      </w:pPr>
      <w:r w:rsidRPr="00167128">
        <w:rPr>
          <w:bCs/>
          <w:sz w:val="22"/>
          <w:szCs w:val="22"/>
        </w:rPr>
        <w:t>96/005/14-C</w:t>
      </w:r>
    </w:p>
    <w:p w14:paraId="2E2C5879" w14:textId="76000763" w:rsidR="00D33761" w:rsidRPr="00167128" w:rsidRDefault="00D33761" w:rsidP="006C7511">
      <w:pPr>
        <w:jc w:val="both"/>
        <w:rPr>
          <w:bCs/>
          <w:sz w:val="22"/>
          <w:szCs w:val="22"/>
        </w:rPr>
      </w:pPr>
    </w:p>
    <w:p w14:paraId="7A2857B9" w14:textId="77777777" w:rsidR="00346E01" w:rsidRPr="00A84C4F" w:rsidRDefault="00346E01" w:rsidP="006C7511">
      <w:pPr>
        <w:jc w:val="both"/>
        <w:rPr>
          <w:bCs/>
          <w:sz w:val="22"/>
          <w:szCs w:val="22"/>
        </w:rPr>
      </w:pPr>
    </w:p>
    <w:p w14:paraId="737E140B" w14:textId="500D0AB9" w:rsidR="00D33761" w:rsidRPr="00167128" w:rsidRDefault="00D33761" w:rsidP="006C7511">
      <w:pPr>
        <w:jc w:val="both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8.</w:t>
      </w:r>
      <w:r w:rsidRPr="00167128">
        <w:rPr>
          <w:b/>
          <w:bCs/>
          <w:noProof/>
          <w:sz w:val="22"/>
          <w:szCs w:val="22"/>
        </w:rPr>
        <w:tab/>
        <w:t>DATUM</w:t>
      </w:r>
      <w:r w:rsidR="00227FCF" w:rsidRPr="00167128">
        <w:rPr>
          <w:sz w:val="22"/>
          <w:szCs w:val="22"/>
        </w:rPr>
        <w:t xml:space="preserve"> </w:t>
      </w:r>
      <w:r w:rsidR="00227FCF" w:rsidRPr="00907026">
        <w:rPr>
          <w:b/>
          <w:bCs/>
          <w:noProof/>
          <w:sz w:val="22"/>
          <w:szCs w:val="22"/>
        </w:rPr>
        <w:t>PRVNÍ</w:t>
      </w:r>
      <w:r w:rsidRPr="00167128">
        <w:rPr>
          <w:b/>
          <w:bCs/>
          <w:noProof/>
          <w:sz w:val="22"/>
          <w:szCs w:val="22"/>
        </w:rPr>
        <w:t xml:space="preserve"> REGISTRACE </w:t>
      </w:r>
    </w:p>
    <w:p w14:paraId="46D3EC39" w14:textId="77777777" w:rsidR="00D33761" w:rsidRPr="00A84C4F" w:rsidRDefault="00D33761" w:rsidP="006C7511">
      <w:pPr>
        <w:jc w:val="both"/>
        <w:rPr>
          <w:noProof/>
          <w:sz w:val="22"/>
          <w:szCs w:val="22"/>
        </w:rPr>
      </w:pPr>
    </w:p>
    <w:p w14:paraId="4B1A14DB" w14:textId="1A9E6ED0" w:rsidR="00D33761" w:rsidRPr="00167128" w:rsidRDefault="00D33761" w:rsidP="006C7511">
      <w:pPr>
        <w:jc w:val="both"/>
        <w:rPr>
          <w:noProof/>
          <w:sz w:val="22"/>
          <w:szCs w:val="22"/>
        </w:rPr>
      </w:pPr>
      <w:r w:rsidRPr="00A84C4F">
        <w:rPr>
          <w:noProof/>
          <w:sz w:val="22"/>
          <w:szCs w:val="22"/>
        </w:rPr>
        <w:t xml:space="preserve">Datum </w:t>
      </w:r>
      <w:r w:rsidRPr="00907026">
        <w:rPr>
          <w:noProof/>
          <w:sz w:val="22"/>
          <w:szCs w:val="22"/>
        </w:rPr>
        <w:t>první</w:t>
      </w:r>
      <w:r w:rsidRPr="00167128">
        <w:rPr>
          <w:noProof/>
          <w:sz w:val="22"/>
          <w:szCs w:val="22"/>
        </w:rPr>
        <w:t xml:space="preserve"> registrace: 29</w:t>
      </w:r>
      <w:r w:rsidRPr="00907026">
        <w:rPr>
          <w:noProof/>
          <w:sz w:val="22"/>
          <w:szCs w:val="22"/>
        </w:rPr>
        <w:t>/01/</w:t>
      </w:r>
      <w:r w:rsidRPr="00167128">
        <w:rPr>
          <w:noProof/>
          <w:sz w:val="22"/>
          <w:szCs w:val="22"/>
        </w:rPr>
        <w:t>2014</w:t>
      </w:r>
    </w:p>
    <w:p w14:paraId="697974AE" w14:textId="15320CBB" w:rsidR="00D33761" w:rsidRPr="00A84C4F" w:rsidRDefault="00D33761" w:rsidP="006C7511">
      <w:pPr>
        <w:jc w:val="both"/>
        <w:rPr>
          <w:bCs/>
          <w:sz w:val="22"/>
          <w:szCs w:val="22"/>
        </w:rPr>
      </w:pPr>
    </w:p>
    <w:p w14:paraId="074D8962" w14:textId="77777777" w:rsidR="00D33761" w:rsidRPr="00392D14" w:rsidRDefault="00D33761" w:rsidP="006C7511">
      <w:pPr>
        <w:jc w:val="both"/>
        <w:rPr>
          <w:b/>
          <w:bCs/>
          <w:noProof/>
          <w:sz w:val="22"/>
          <w:szCs w:val="22"/>
        </w:rPr>
      </w:pPr>
    </w:p>
    <w:p w14:paraId="449C28D4" w14:textId="77777777" w:rsidR="00D33761" w:rsidRPr="00907026" w:rsidRDefault="00D33761" w:rsidP="006C7511">
      <w:pPr>
        <w:jc w:val="both"/>
        <w:rPr>
          <w:b/>
          <w:bCs/>
          <w:noProof/>
          <w:sz w:val="22"/>
          <w:szCs w:val="22"/>
        </w:rPr>
      </w:pPr>
      <w:r w:rsidRPr="00907026">
        <w:rPr>
          <w:b/>
          <w:bCs/>
          <w:noProof/>
          <w:sz w:val="22"/>
          <w:szCs w:val="22"/>
        </w:rPr>
        <w:t>9.</w:t>
      </w:r>
      <w:r w:rsidRPr="00907026">
        <w:rPr>
          <w:b/>
          <w:bCs/>
          <w:noProof/>
          <w:sz w:val="22"/>
          <w:szCs w:val="22"/>
        </w:rPr>
        <w:tab/>
        <w:t>DATUM POSLEDNÍ AKTUALIZACE SOUHRNU ÚDAJŮ O PŘÍPRAVKU</w:t>
      </w:r>
    </w:p>
    <w:p w14:paraId="17B2EB7D" w14:textId="77777777" w:rsidR="00D33761" w:rsidRPr="00167128" w:rsidRDefault="00D33761" w:rsidP="006C7511">
      <w:pPr>
        <w:rPr>
          <w:noProof/>
          <w:sz w:val="22"/>
          <w:szCs w:val="22"/>
        </w:rPr>
      </w:pPr>
    </w:p>
    <w:p w14:paraId="4600C605" w14:textId="3785252B" w:rsidR="00D33761" w:rsidRPr="00907026" w:rsidRDefault="00392D14" w:rsidP="006C7511">
      <w:pPr>
        <w:rPr>
          <w:noProof/>
          <w:sz w:val="22"/>
          <w:szCs w:val="22"/>
        </w:rPr>
      </w:pPr>
      <w:bookmarkStart w:id="7" w:name="_Hlk117586988"/>
      <w:r>
        <w:rPr>
          <w:noProof/>
          <w:sz w:val="22"/>
          <w:szCs w:val="22"/>
        </w:rPr>
        <w:t>0</w:t>
      </w:r>
      <w:r w:rsidR="008579E0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>/2025</w:t>
      </w:r>
    </w:p>
    <w:bookmarkEnd w:id="7"/>
    <w:p w14:paraId="503B2028" w14:textId="78BA50A9" w:rsidR="00D33761" w:rsidRPr="00167128" w:rsidRDefault="00D33761" w:rsidP="006C7511">
      <w:pPr>
        <w:jc w:val="both"/>
        <w:rPr>
          <w:bCs/>
          <w:sz w:val="22"/>
          <w:szCs w:val="22"/>
        </w:rPr>
      </w:pPr>
    </w:p>
    <w:p w14:paraId="1EB5585C" w14:textId="77777777" w:rsidR="00346E01" w:rsidRPr="00A84C4F" w:rsidRDefault="00346E01" w:rsidP="006C7511">
      <w:pPr>
        <w:jc w:val="both"/>
        <w:rPr>
          <w:bCs/>
          <w:sz w:val="22"/>
          <w:szCs w:val="22"/>
        </w:rPr>
      </w:pPr>
    </w:p>
    <w:p w14:paraId="1D2B88D9" w14:textId="77777777" w:rsidR="00D33761" w:rsidRPr="00907026" w:rsidRDefault="00D33761" w:rsidP="006C7511">
      <w:pPr>
        <w:rPr>
          <w:b/>
          <w:noProof/>
          <w:sz w:val="22"/>
          <w:szCs w:val="22"/>
        </w:rPr>
      </w:pPr>
      <w:bookmarkStart w:id="8" w:name="_Hlk191481025"/>
      <w:r w:rsidRPr="00907026">
        <w:rPr>
          <w:b/>
          <w:noProof/>
          <w:sz w:val="22"/>
          <w:szCs w:val="22"/>
        </w:rPr>
        <w:t>10.</w:t>
      </w:r>
      <w:r w:rsidRPr="00907026">
        <w:rPr>
          <w:b/>
          <w:noProof/>
          <w:sz w:val="22"/>
          <w:szCs w:val="22"/>
        </w:rPr>
        <w:tab/>
        <w:t>KLASIFIKACE VETERINÁRNÍCH LÉČIVÝCH PŘÍPRAVKŮ</w:t>
      </w:r>
    </w:p>
    <w:bookmarkEnd w:id="8"/>
    <w:p w14:paraId="32FBAD6A" w14:textId="77777777" w:rsidR="00D33761" w:rsidRPr="00167128" w:rsidRDefault="00D33761" w:rsidP="006C7511">
      <w:pPr>
        <w:ind w:right="-318"/>
        <w:rPr>
          <w:noProof/>
          <w:sz w:val="22"/>
          <w:szCs w:val="22"/>
        </w:rPr>
      </w:pPr>
    </w:p>
    <w:p w14:paraId="7C389C29" w14:textId="77777777" w:rsidR="00D33761" w:rsidRPr="00167128" w:rsidRDefault="00D33761" w:rsidP="006C7511">
      <w:pPr>
        <w:ind w:right="-318"/>
        <w:rPr>
          <w:noProof/>
          <w:sz w:val="22"/>
          <w:szCs w:val="22"/>
        </w:rPr>
      </w:pPr>
      <w:bookmarkStart w:id="9" w:name="_Hlk117586859"/>
      <w:r w:rsidRPr="00167128">
        <w:rPr>
          <w:noProof/>
          <w:sz w:val="22"/>
          <w:szCs w:val="22"/>
        </w:rPr>
        <w:t>Veterinární léčivý přípravek je vydáván pouze na předpis.</w:t>
      </w:r>
    </w:p>
    <w:bookmarkEnd w:id="9"/>
    <w:p w14:paraId="22CBDD3D" w14:textId="77777777" w:rsidR="00D33761" w:rsidRPr="00167128" w:rsidRDefault="00D33761" w:rsidP="006C7511">
      <w:pPr>
        <w:ind w:right="-318"/>
        <w:rPr>
          <w:noProof/>
          <w:sz w:val="22"/>
          <w:szCs w:val="22"/>
        </w:rPr>
      </w:pPr>
    </w:p>
    <w:p w14:paraId="44CA3A4E" w14:textId="2726AB73" w:rsidR="00D33761" w:rsidRDefault="00024D7C" w:rsidP="006C7511">
      <w:pPr>
        <w:ind w:right="-318"/>
        <w:rPr>
          <w:noProof/>
          <w:sz w:val="22"/>
          <w:szCs w:val="22"/>
        </w:rPr>
      </w:pPr>
      <w:bookmarkStart w:id="10" w:name="_Hlk191480998"/>
      <w:r w:rsidRPr="00907026">
        <w:rPr>
          <w:noProof/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="00392D14" w:rsidRPr="00907026">
          <w:rPr>
            <w:rStyle w:val="Hypertextovodkaz"/>
          </w:rPr>
          <w:t>https://medicines.health.europa.eu/veterinary</w:t>
        </w:r>
      </w:hyperlink>
      <w:r w:rsidRPr="00907026">
        <w:rPr>
          <w:noProof/>
          <w:sz w:val="22"/>
          <w:szCs w:val="22"/>
        </w:rPr>
        <w:t>).</w:t>
      </w:r>
    </w:p>
    <w:p w14:paraId="1D5C203A" w14:textId="118C1274" w:rsidR="00392D14" w:rsidRDefault="00392D14" w:rsidP="006C7511">
      <w:pPr>
        <w:ind w:right="-318"/>
        <w:rPr>
          <w:bCs/>
          <w:sz w:val="22"/>
          <w:szCs w:val="22"/>
        </w:rPr>
      </w:pPr>
    </w:p>
    <w:p w14:paraId="0DAA5D16" w14:textId="77777777" w:rsidR="00392D14" w:rsidRPr="00907026" w:rsidRDefault="00392D14" w:rsidP="00392D14">
      <w:pPr>
        <w:tabs>
          <w:tab w:val="left" w:pos="567"/>
        </w:tabs>
        <w:jc w:val="both"/>
        <w:rPr>
          <w:sz w:val="22"/>
          <w:szCs w:val="22"/>
        </w:rPr>
      </w:pPr>
      <w:bookmarkStart w:id="11" w:name="_Hlk148432335"/>
      <w:r w:rsidRPr="00907026">
        <w:rPr>
          <w:sz w:val="22"/>
          <w:szCs w:val="22"/>
        </w:rPr>
        <w:t>Podrobné informace o tomto veterinárním léčivém přípravku naleznete také v národní databázi (</w:t>
      </w:r>
      <w:hyperlink r:id="rId8" w:history="1">
        <w:r w:rsidRPr="00907026">
          <w:rPr>
            <w:rStyle w:val="Hypertextovodkaz"/>
            <w:sz w:val="22"/>
            <w:szCs w:val="22"/>
          </w:rPr>
          <w:t>https://www.uskvbl.cz</w:t>
        </w:r>
      </w:hyperlink>
      <w:r w:rsidRPr="00907026">
        <w:rPr>
          <w:sz w:val="22"/>
          <w:szCs w:val="22"/>
        </w:rPr>
        <w:t>).</w:t>
      </w:r>
    </w:p>
    <w:bookmarkEnd w:id="10"/>
    <w:bookmarkEnd w:id="11"/>
    <w:p w14:paraId="45ACB50C" w14:textId="77777777" w:rsidR="00392D14" w:rsidRPr="00167128" w:rsidRDefault="00392D14" w:rsidP="006C7511">
      <w:pPr>
        <w:ind w:right="-318"/>
        <w:rPr>
          <w:bCs/>
          <w:sz w:val="22"/>
          <w:szCs w:val="22"/>
        </w:rPr>
      </w:pPr>
    </w:p>
    <w:sectPr w:rsidR="00392D14" w:rsidRPr="00167128" w:rsidSect="00081959">
      <w:footerReference w:type="default" r:id="rId9"/>
      <w:footerReference w:type="first" r:id="rId10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22F4" w14:textId="77777777" w:rsidR="0076205F" w:rsidRDefault="0076205F">
      <w:r>
        <w:separator/>
      </w:r>
    </w:p>
  </w:endnote>
  <w:endnote w:type="continuationSeparator" w:id="0">
    <w:p w14:paraId="73DB701A" w14:textId="77777777" w:rsidR="0076205F" w:rsidRDefault="0076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2439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98A8FC1" w14:textId="77777777" w:rsidR="00D33EDC" w:rsidRDefault="00E45EA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E7BA0">
      <w:instrText xml:space="preserve"> PAGE  \* MERGEFORMAT </w:instrText>
    </w:r>
    <w:r>
      <w:fldChar w:fldCharType="separate"/>
    </w:r>
    <w:r w:rsidR="00967CD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E665" w14:textId="77777777" w:rsidR="00D33EDC" w:rsidRDefault="00D33EDC">
    <w:pPr>
      <w:pStyle w:val="Zpat"/>
      <w:tabs>
        <w:tab w:val="clear" w:pos="8930"/>
        <w:tab w:val="right" w:pos="8931"/>
      </w:tabs>
    </w:pPr>
  </w:p>
  <w:p w14:paraId="089A9B9E" w14:textId="77777777" w:rsidR="00D33EDC" w:rsidRDefault="00E45EA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BE7BA0">
      <w:instrText xml:space="preserve"> PAGE  \* MERGEFORMAT </w:instrText>
    </w:r>
    <w:r>
      <w:fldChar w:fldCharType="separate"/>
    </w:r>
    <w:r w:rsidR="00967C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E605" w14:textId="77777777" w:rsidR="0076205F" w:rsidRDefault="0076205F">
      <w:r>
        <w:separator/>
      </w:r>
    </w:p>
  </w:footnote>
  <w:footnote w:type="continuationSeparator" w:id="0">
    <w:p w14:paraId="6121BAA9" w14:textId="77777777" w:rsidR="0076205F" w:rsidRDefault="0076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F01A6"/>
    <w:multiLevelType w:val="multilevel"/>
    <w:tmpl w:val="EA3829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8701B6"/>
    <w:multiLevelType w:val="multilevel"/>
    <w:tmpl w:val="C7B06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21350B"/>
    <w:multiLevelType w:val="hybridMultilevel"/>
    <w:tmpl w:val="59E62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C0E2DB5"/>
    <w:multiLevelType w:val="multilevel"/>
    <w:tmpl w:val="758260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1" w15:restartNumberingAfterBreak="0">
    <w:nsid w:val="7A6E2FF9"/>
    <w:multiLevelType w:val="multilevel"/>
    <w:tmpl w:val="2BB29F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E247035"/>
    <w:multiLevelType w:val="hybridMultilevel"/>
    <w:tmpl w:val="D5C8132E"/>
    <w:lvl w:ilvl="0" w:tplc="4606BB0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1E9BC0">
      <w:numFmt w:val="none"/>
      <w:lvlText w:val=""/>
      <w:lvlJc w:val="left"/>
      <w:pPr>
        <w:tabs>
          <w:tab w:val="num" w:pos="360"/>
        </w:tabs>
      </w:pPr>
    </w:lvl>
    <w:lvl w:ilvl="2" w:tplc="9878D228">
      <w:numFmt w:val="none"/>
      <w:lvlText w:val=""/>
      <w:lvlJc w:val="left"/>
      <w:pPr>
        <w:tabs>
          <w:tab w:val="num" w:pos="360"/>
        </w:tabs>
      </w:pPr>
    </w:lvl>
    <w:lvl w:ilvl="3" w:tplc="04D816CA">
      <w:numFmt w:val="none"/>
      <w:lvlText w:val=""/>
      <w:lvlJc w:val="left"/>
      <w:pPr>
        <w:tabs>
          <w:tab w:val="num" w:pos="360"/>
        </w:tabs>
      </w:pPr>
    </w:lvl>
    <w:lvl w:ilvl="4" w:tplc="99A85464">
      <w:numFmt w:val="none"/>
      <w:lvlText w:val=""/>
      <w:lvlJc w:val="left"/>
      <w:pPr>
        <w:tabs>
          <w:tab w:val="num" w:pos="360"/>
        </w:tabs>
      </w:pPr>
    </w:lvl>
    <w:lvl w:ilvl="5" w:tplc="EE502CEC">
      <w:numFmt w:val="none"/>
      <w:lvlText w:val=""/>
      <w:lvlJc w:val="left"/>
      <w:pPr>
        <w:tabs>
          <w:tab w:val="num" w:pos="360"/>
        </w:tabs>
      </w:pPr>
    </w:lvl>
    <w:lvl w:ilvl="6" w:tplc="C7C8FBAC">
      <w:numFmt w:val="none"/>
      <w:lvlText w:val=""/>
      <w:lvlJc w:val="left"/>
      <w:pPr>
        <w:tabs>
          <w:tab w:val="num" w:pos="360"/>
        </w:tabs>
      </w:pPr>
    </w:lvl>
    <w:lvl w:ilvl="7" w:tplc="A566A3AA">
      <w:numFmt w:val="none"/>
      <w:lvlText w:val=""/>
      <w:lvlJc w:val="left"/>
      <w:pPr>
        <w:tabs>
          <w:tab w:val="num" w:pos="360"/>
        </w:tabs>
      </w:pPr>
    </w:lvl>
    <w:lvl w:ilvl="8" w:tplc="45A2DA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6"/>
  </w:num>
  <w:num w:numId="6">
    <w:abstractNumId w:val="14"/>
  </w:num>
  <w:num w:numId="7">
    <w:abstractNumId w:val="24"/>
  </w:num>
  <w:num w:numId="8">
    <w:abstractNumId w:val="23"/>
  </w:num>
  <w:num w:numId="9">
    <w:abstractNumId w:val="7"/>
  </w:num>
  <w:num w:numId="10">
    <w:abstractNumId w:val="34"/>
  </w:num>
  <w:num w:numId="11">
    <w:abstractNumId w:val="35"/>
  </w:num>
  <w:num w:numId="12">
    <w:abstractNumId w:val="19"/>
  </w:num>
  <w:num w:numId="13">
    <w:abstractNumId w:val="16"/>
  </w:num>
  <w:num w:numId="14">
    <w:abstractNumId w:val="3"/>
  </w:num>
  <w:num w:numId="15">
    <w:abstractNumId w:val="33"/>
  </w:num>
  <w:num w:numId="16">
    <w:abstractNumId w:val="21"/>
  </w:num>
  <w:num w:numId="17">
    <w:abstractNumId w:val="39"/>
  </w:num>
  <w:num w:numId="18">
    <w:abstractNumId w:val="8"/>
  </w:num>
  <w:num w:numId="19">
    <w:abstractNumId w:val="1"/>
  </w:num>
  <w:num w:numId="20">
    <w:abstractNumId w:val="20"/>
  </w:num>
  <w:num w:numId="21">
    <w:abstractNumId w:val="4"/>
  </w:num>
  <w:num w:numId="22">
    <w:abstractNumId w:val="6"/>
  </w:num>
  <w:num w:numId="23">
    <w:abstractNumId w:val="27"/>
  </w:num>
  <w:num w:numId="24">
    <w:abstractNumId w:val="12"/>
  </w:num>
  <w:num w:numId="25">
    <w:abstractNumId w:val="32"/>
  </w:num>
  <w:num w:numId="26">
    <w:abstractNumId w:val="26"/>
  </w:num>
  <w:num w:numId="27">
    <w:abstractNumId w:val="15"/>
  </w:num>
  <w:num w:numId="28">
    <w:abstractNumId w:val="10"/>
  </w:num>
  <w:num w:numId="29">
    <w:abstractNumId w:val="22"/>
  </w:num>
  <w:num w:numId="30">
    <w:abstractNumId w:val="25"/>
  </w:num>
  <w:num w:numId="31">
    <w:abstractNumId w:val="17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8"/>
  </w:num>
  <w:num w:numId="37">
    <w:abstractNumId w:val="5"/>
  </w:num>
  <w:num w:numId="38">
    <w:abstractNumId w:val="40"/>
  </w:num>
  <w:num w:numId="39">
    <w:abstractNumId w:val="13"/>
  </w:num>
  <w:num w:numId="40">
    <w:abstractNumId w:val="2"/>
  </w:num>
  <w:num w:numId="41">
    <w:abstractNumId w:val="11"/>
  </w:num>
  <w:num w:numId="42">
    <w:abstractNumId w:val="37"/>
  </w:num>
  <w:num w:numId="43">
    <w:abstractNumId w:val="4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47CF"/>
    <w:rsid w:val="0000522E"/>
    <w:rsid w:val="00005294"/>
    <w:rsid w:val="00024D7C"/>
    <w:rsid w:val="00031BC2"/>
    <w:rsid w:val="00034CE8"/>
    <w:rsid w:val="00034D62"/>
    <w:rsid w:val="00080D21"/>
    <w:rsid w:val="00081959"/>
    <w:rsid w:val="00096689"/>
    <w:rsid w:val="000A539E"/>
    <w:rsid w:val="000B5C5B"/>
    <w:rsid w:val="000D6483"/>
    <w:rsid w:val="000E6CA7"/>
    <w:rsid w:val="00103623"/>
    <w:rsid w:val="00106B61"/>
    <w:rsid w:val="00114B5C"/>
    <w:rsid w:val="001415B4"/>
    <w:rsid w:val="00147218"/>
    <w:rsid w:val="00150404"/>
    <w:rsid w:val="001569F7"/>
    <w:rsid w:val="00167128"/>
    <w:rsid w:val="001729AD"/>
    <w:rsid w:val="001A40C0"/>
    <w:rsid w:val="001A6B1F"/>
    <w:rsid w:val="001B68CE"/>
    <w:rsid w:val="001B7044"/>
    <w:rsid w:val="001E5952"/>
    <w:rsid w:val="001F2126"/>
    <w:rsid w:val="001F61EE"/>
    <w:rsid w:val="00201EB1"/>
    <w:rsid w:val="00204243"/>
    <w:rsid w:val="00224C8A"/>
    <w:rsid w:val="00225DAB"/>
    <w:rsid w:val="00227FCF"/>
    <w:rsid w:val="002444C3"/>
    <w:rsid w:val="00284BBC"/>
    <w:rsid w:val="0029764C"/>
    <w:rsid w:val="00306A35"/>
    <w:rsid w:val="00310353"/>
    <w:rsid w:val="00313FD6"/>
    <w:rsid w:val="003152B2"/>
    <w:rsid w:val="00322466"/>
    <w:rsid w:val="003322EA"/>
    <w:rsid w:val="00346E01"/>
    <w:rsid w:val="00375D5A"/>
    <w:rsid w:val="00381C7E"/>
    <w:rsid w:val="00392D14"/>
    <w:rsid w:val="003B4F4F"/>
    <w:rsid w:val="003B637E"/>
    <w:rsid w:val="003D2053"/>
    <w:rsid w:val="003D2C96"/>
    <w:rsid w:val="003D3F7A"/>
    <w:rsid w:val="004208A4"/>
    <w:rsid w:val="00420A3D"/>
    <w:rsid w:val="00461106"/>
    <w:rsid w:val="004804C6"/>
    <w:rsid w:val="00494ECC"/>
    <w:rsid w:val="00497FAB"/>
    <w:rsid w:val="004A188E"/>
    <w:rsid w:val="004C5595"/>
    <w:rsid w:val="004D728A"/>
    <w:rsid w:val="004D774E"/>
    <w:rsid w:val="005154AC"/>
    <w:rsid w:val="00533BBD"/>
    <w:rsid w:val="005451B4"/>
    <w:rsid w:val="005603D3"/>
    <w:rsid w:val="00571FAE"/>
    <w:rsid w:val="0058154D"/>
    <w:rsid w:val="005900F1"/>
    <w:rsid w:val="005A274B"/>
    <w:rsid w:val="005A2EB1"/>
    <w:rsid w:val="005B25DC"/>
    <w:rsid w:val="005C24F2"/>
    <w:rsid w:val="005D5EA5"/>
    <w:rsid w:val="005F00BA"/>
    <w:rsid w:val="005F40BF"/>
    <w:rsid w:val="00633353"/>
    <w:rsid w:val="006347DB"/>
    <w:rsid w:val="006505D7"/>
    <w:rsid w:val="0065140F"/>
    <w:rsid w:val="006529EF"/>
    <w:rsid w:val="00667304"/>
    <w:rsid w:val="00680708"/>
    <w:rsid w:val="006822EE"/>
    <w:rsid w:val="006855D6"/>
    <w:rsid w:val="006958DD"/>
    <w:rsid w:val="006A35A6"/>
    <w:rsid w:val="006C22FB"/>
    <w:rsid w:val="006C23B5"/>
    <w:rsid w:val="006C7511"/>
    <w:rsid w:val="006C753A"/>
    <w:rsid w:val="006C7B6A"/>
    <w:rsid w:val="006E0170"/>
    <w:rsid w:val="006F1A9B"/>
    <w:rsid w:val="00700E5D"/>
    <w:rsid w:val="00707F7D"/>
    <w:rsid w:val="007116AD"/>
    <w:rsid w:val="00761AB8"/>
    <w:rsid w:val="0076205F"/>
    <w:rsid w:val="00775AA7"/>
    <w:rsid w:val="00794964"/>
    <w:rsid w:val="007B3110"/>
    <w:rsid w:val="007E21F7"/>
    <w:rsid w:val="007E2CD1"/>
    <w:rsid w:val="007F6DB4"/>
    <w:rsid w:val="008015E8"/>
    <w:rsid w:val="00802B23"/>
    <w:rsid w:val="00837623"/>
    <w:rsid w:val="008426CF"/>
    <w:rsid w:val="00845B64"/>
    <w:rsid w:val="008579E0"/>
    <w:rsid w:val="00882587"/>
    <w:rsid w:val="00894A47"/>
    <w:rsid w:val="00896F7C"/>
    <w:rsid w:val="008A0106"/>
    <w:rsid w:val="008B2F26"/>
    <w:rsid w:val="008B52FD"/>
    <w:rsid w:val="008C2BEA"/>
    <w:rsid w:val="008C5941"/>
    <w:rsid w:val="008C71AD"/>
    <w:rsid w:val="008D5EFD"/>
    <w:rsid w:val="008E19B2"/>
    <w:rsid w:val="008E1B72"/>
    <w:rsid w:val="008F1561"/>
    <w:rsid w:val="008F76C4"/>
    <w:rsid w:val="009004EB"/>
    <w:rsid w:val="009020C1"/>
    <w:rsid w:val="00907026"/>
    <w:rsid w:val="00911DD3"/>
    <w:rsid w:val="0091268A"/>
    <w:rsid w:val="0091360C"/>
    <w:rsid w:val="00930E6D"/>
    <w:rsid w:val="0093503A"/>
    <w:rsid w:val="00942786"/>
    <w:rsid w:val="0094373C"/>
    <w:rsid w:val="00945FC7"/>
    <w:rsid w:val="009633D2"/>
    <w:rsid w:val="0096547A"/>
    <w:rsid w:val="00967CDD"/>
    <w:rsid w:val="0097053F"/>
    <w:rsid w:val="00970EB9"/>
    <w:rsid w:val="009968CC"/>
    <w:rsid w:val="009C1660"/>
    <w:rsid w:val="009C1ABF"/>
    <w:rsid w:val="009C3AD4"/>
    <w:rsid w:val="009E1927"/>
    <w:rsid w:val="009F1225"/>
    <w:rsid w:val="00A103AF"/>
    <w:rsid w:val="00A4537E"/>
    <w:rsid w:val="00A454AA"/>
    <w:rsid w:val="00A46D16"/>
    <w:rsid w:val="00A605CB"/>
    <w:rsid w:val="00A6158A"/>
    <w:rsid w:val="00A831C3"/>
    <w:rsid w:val="00A84C4F"/>
    <w:rsid w:val="00A85E1B"/>
    <w:rsid w:val="00A86052"/>
    <w:rsid w:val="00AA4FE2"/>
    <w:rsid w:val="00AA5784"/>
    <w:rsid w:val="00AA7DE7"/>
    <w:rsid w:val="00AB7C92"/>
    <w:rsid w:val="00AC3F48"/>
    <w:rsid w:val="00AC66D8"/>
    <w:rsid w:val="00AD4234"/>
    <w:rsid w:val="00AF588D"/>
    <w:rsid w:val="00B04F17"/>
    <w:rsid w:val="00B3181A"/>
    <w:rsid w:val="00B70CC8"/>
    <w:rsid w:val="00B71FC4"/>
    <w:rsid w:val="00B724D4"/>
    <w:rsid w:val="00B94211"/>
    <w:rsid w:val="00BB1E53"/>
    <w:rsid w:val="00BB4ACD"/>
    <w:rsid w:val="00BD232B"/>
    <w:rsid w:val="00BD25F2"/>
    <w:rsid w:val="00BE7BA0"/>
    <w:rsid w:val="00BF0E20"/>
    <w:rsid w:val="00BF7CDA"/>
    <w:rsid w:val="00C06B42"/>
    <w:rsid w:val="00C525AA"/>
    <w:rsid w:val="00C5355B"/>
    <w:rsid w:val="00C64EEA"/>
    <w:rsid w:val="00C66A18"/>
    <w:rsid w:val="00C7482B"/>
    <w:rsid w:val="00C901DA"/>
    <w:rsid w:val="00CA128E"/>
    <w:rsid w:val="00CC198A"/>
    <w:rsid w:val="00CC74DF"/>
    <w:rsid w:val="00CF0AD2"/>
    <w:rsid w:val="00D07258"/>
    <w:rsid w:val="00D12991"/>
    <w:rsid w:val="00D13FF9"/>
    <w:rsid w:val="00D22488"/>
    <w:rsid w:val="00D33761"/>
    <w:rsid w:val="00D33E56"/>
    <w:rsid w:val="00D33EDC"/>
    <w:rsid w:val="00D56F15"/>
    <w:rsid w:val="00D7248E"/>
    <w:rsid w:val="00D8670D"/>
    <w:rsid w:val="00D91360"/>
    <w:rsid w:val="00DA2F9A"/>
    <w:rsid w:val="00DC05BD"/>
    <w:rsid w:val="00DD1895"/>
    <w:rsid w:val="00DE4B45"/>
    <w:rsid w:val="00E02BF5"/>
    <w:rsid w:val="00E153F7"/>
    <w:rsid w:val="00E1699C"/>
    <w:rsid w:val="00E26F97"/>
    <w:rsid w:val="00E45EAF"/>
    <w:rsid w:val="00E535E9"/>
    <w:rsid w:val="00E66867"/>
    <w:rsid w:val="00E829A0"/>
    <w:rsid w:val="00E86ED3"/>
    <w:rsid w:val="00EA1C24"/>
    <w:rsid w:val="00EA46E7"/>
    <w:rsid w:val="00ED241B"/>
    <w:rsid w:val="00ED3ED7"/>
    <w:rsid w:val="00ED535F"/>
    <w:rsid w:val="00EE24C1"/>
    <w:rsid w:val="00F00FC4"/>
    <w:rsid w:val="00F60373"/>
    <w:rsid w:val="00F61AB4"/>
    <w:rsid w:val="00F674ED"/>
    <w:rsid w:val="00F83B3E"/>
    <w:rsid w:val="00FB18D6"/>
    <w:rsid w:val="00FD3B61"/>
    <w:rsid w:val="00FE28DE"/>
    <w:rsid w:val="00FE4695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EFDD"/>
  <w15:docId w15:val="{CA26230A-4F2C-4482-9B18-792ADCF5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E7BA0"/>
    <w:rPr>
      <w:sz w:val="24"/>
      <w:szCs w:val="24"/>
    </w:rPr>
  </w:style>
  <w:style w:type="paragraph" w:styleId="Nadpis1">
    <w:name w:val="heading 1"/>
    <w:basedOn w:val="Normln"/>
    <w:next w:val="Normln"/>
    <w:qFormat/>
    <w:rsid w:val="00BE7B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7BA0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1E595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BE7BA0"/>
    <w:rPr>
      <w:rFonts w:ascii="Arial" w:hAnsi="Arial"/>
      <w:color w:val="0000FF"/>
      <w:sz w:val="20"/>
    </w:rPr>
  </w:style>
  <w:style w:type="character" w:customStyle="1" w:styleId="erven">
    <w:name w:val="červený"/>
    <w:rsid w:val="00BE7BA0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BE7BA0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BE7BA0"/>
    <w:pPr>
      <w:spacing w:after="120"/>
    </w:pPr>
  </w:style>
  <w:style w:type="paragraph" w:customStyle="1" w:styleId="kurz">
    <w:name w:val="kurz"/>
    <w:basedOn w:val="Normln"/>
    <w:rsid w:val="00BE7BA0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BE7BA0"/>
    <w:pPr>
      <w:tabs>
        <w:tab w:val="num" w:pos="567"/>
      </w:tabs>
      <w:ind w:left="567" w:hanging="454"/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BE7BA0"/>
    <w:pPr>
      <w:tabs>
        <w:tab w:val="num" w:pos="720"/>
      </w:tabs>
      <w:spacing w:after="120"/>
      <w:ind w:left="284" w:hanging="284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BE7BA0"/>
    <w:pPr>
      <w:numPr>
        <w:ilvl w:val="1"/>
      </w:numPr>
      <w:tabs>
        <w:tab w:val="num" w:pos="360"/>
        <w:tab w:val="num" w:pos="72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E7BA0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BE7BA0"/>
    <w:pPr>
      <w:numPr>
        <w:ilvl w:val="3"/>
      </w:numPr>
      <w:tabs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E7BA0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BE7BA0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BE7BA0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7Char">
    <w:name w:val="Nadpis 7 Char"/>
    <w:link w:val="Nadpis7"/>
    <w:rsid w:val="001E5952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1E595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E5952"/>
    <w:rPr>
      <w:sz w:val="24"/>
      <w:szCs w:val="24"/>
    </w:rPr>
  </w:style>
  <w:style w:type="paragraph" w:styleId="Zkladntext3">
    <w:name w:val="Body Text 3"/>
    <w:basedOn w:val="Normln"/>
    <w:link w:val="Zkladntext3Char"/>
    <w:rsid w:val="001E59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E5952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1E595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E5952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B5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2FD"/>
    <w:rPr>
      <w:sz w:val="24"/>
      <w:szCs w:val="24"/>
    </w:rPr>
  </w:style>
  <w:style w:type="paragraph" w:styleId="Textbubliny">
    <w:name w:val="Balloon Text"/>
    <w:basedOn w:val="Normln"/>
    <w:link w:val="TextbublinyChar"/>
    <w:rsid w:val="0020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42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822EE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93503A"/>
    <w:pPr>
      <w:ind w:left="720"/>
      <w:contextualSpacing/>
    </w:pPr>
  </w:style>
  <w:style w:type="paragraph" w:customStyle="1" w:styleId="Style1">
    <w:name w:val="Style1"/>
    <w:basedOn w:val="Normln"/>
    <w:qFormat/>
    <w:rsid w:val="008A0106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Normlnweb">
    <w:name w:val="Normal (Web)"/>
    <w:basedOn w:val="Normln"/>
    <w:rsid w:val="005A274B"/>
    <w:pPr>
      <w:spacing w:before="100" w:beforeAutospacing="1" w:after="100" w:afterAutospacing="1"/>
    </w:pPr>
    <w:rPr>
      <w:lang w:val="sk-SK" w:eastAsia="sk-SK"/>
    </w:rPr>
  </w:style>
  <w:style w:type="paragraph" w:styleId="Revize">
    <w:name w:val="Revision"/>
    <w:hidden/>
    <w:semiHidden/>
    <w:rsid w:val="00A4537E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671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671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712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67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712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92D14"/>
    <w:rPr>
      <w:color w:val="605E5C"/>
      <w:shd w:val="clear" w:color="auto" w:fill="E1DFDD"/>
    </w:rPr>
  </w:style>
  <w:style w:type="paragraph" w:customStyle="1" w:styleId="Default">
    <w:name w:val="Default"/>
    <w:rsid w:val="00E169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977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Nepejchalová Leona</cp:lastModifiedBy>
  <cp:revision>34</cp:revision>
  <cp:lastPrinted>2025-04-04T15:11:00Z</cp:lastPrinted>
  <dcterms:created xsi:type="dcterms:W3CDTF">2024-03-21T08:11:00Z</dcterms:created>
  <dcterms:modified xsi:type="dcterms:W3CDTF">2025-04-04T15:11:00Z</dcterms:modified>
</cp:coreProperties>
</file>