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ABA80" w14:textId="77777777" w:rsidR="00C114FF" w:rsidRPr="00080926" w:rsidRDefault="00C114FF" w:rsidP="00A9226B">
      <w:pPr>
        <w:tabs>
          <w:tab w:val="clear" w:pos="567"/>
        </w:tabs>
        <w:spacing w:line="240" w:lineRule="auto"/>
        <w:rPr>
          <w:szCs w:val="22"/>
        </w:rPr>
      </w:pPr>
    </w:p>
    <w:p w14:paraId="43D17506" w14:textId="77777777" w:rsidR="00C114FF" w:rsidRPr="00080926" w:rsidRDefault="00C114FF" w:rsidP="00A9226B">
      <w:pPr>
        <w:tabs>
          <w:tab w:val="clear" w:pos="567"/>
        </w:tabs>
        <w:spacing w:line="240" w:lineRule="auto"/>
        <w:rPr>
          <w:szCs w:val="22"/>
        </w:rPr>
      </w:pPr>
    </w:p>
    <w:p w14:paraId="55834DAE" w14:textId="77777777" w:rsidR="00C114FF" w:rsidRPr="00080926" w:rsidRDefault="00C114FF" w:rsidP="00A9226B">
      <w:pPr>
        <w:tabs>
          <w:tab w:val="clear" w:pos="567"/>
        </w:tabs>
        <w:spacing w:line="240" w:lineRule="auto"/>
        <w:rPr>
          <w:szCs w:val="22"/>
        </w:rPr>
      </w:pPr>
    </w:p>
    <w:p w14:paraId="2947F8A2" w14:textId="77777777" w:rsidR="00C114FF" w:rsidRPr="00080926" w:rsidRDefault="00C114FF" w:rsidP="00A9226B">
      <w:pPr>
        <w:tabs>
          <w:tab w:val="clear" w:pos="567"/>
        </w:tabs>
        <w:spacing w:line="240" w:lineRule="auto"/>
        <w:rPr>
          <w:szCs w:val="22"/>
        </w:rPr>
      </w:pPr>
    </w:p>
    <w:p w14:paraId="491A3252" w14:textId="77777777" w:rsidR="00C114FF" w:rsidRPr="00080926" w:rsidRDefault="00C114FF" w:rsidP="00A9226B">
      <w:pPr>
        <w:tabs>
          <w:tab w:val="clear" w:pos="567"/>
        </w:tabs>
        <w:spacing w:line="240" w:lineRule="auto"/>
        <w:rPr>
          <w:szCs w:val="22"/>
        </w:rPr>
      </w:pPr>
    </w:p>
    <w:p w14:paraId="0D095AF8" w14:textId="77777777" w:rsidR="00C114FF" w:rsidRPr="00080926" w:rsidRDefault="00C114FF" w:rsidP="00A9226B">
      <w:pPr>
        <w:tabs>
          <w:tab w:val="clear" w:pos="567"/>
        </w:tabs>
        <w:spacing w:line="240" w:lineRule="auto"/>
        <w:rPr>
          <w:szCs w:val="22"/>
        </w:rPr>
      </w:pPr>
    </w:p>
    <w:p w14:paraId="3AF39424" w14:textId="77777777" w:rsidR="00C114FF" w:rsidRPr="00080926" w:rsidRDefault="00C114FF" w:rsidP="00A9226B">
      <w:pPr>
        <w:tabs>
          <w:tab w:val="clear" w:pos="567"/>
        </w:tabs>
        <w:spacing w:line="240" w:lineRule="auto"/>
        <w:rPr>
          <w:szCs w:val="22"/>
        </w:rPr>
      </w:pPr>
    </w:p>
    <w:p w14:paraId="2D86FDD3" w14:textId="77777777" w:rsidR="00C114FF" w:rsidRPr="00080926" w:rsidRDefault="00C114FF" w:rsidP="00A9226B">
      <w:pPr>
        <w:tabs>
          <w:tab w:val="clear" w:pos="567"/>
        </w:tabs>
        <w:spacing w:line="240" w:lineRule="auto"/>
        <w:rPr>
          <w:szCs w:val="22"/>
        </w:rPr>
      </w:pPr>
    </w:p>
    <w:p w14:paraId="2EC44BD7" w14:textId="77777777" w:rsidR="00C114FF" w:rsidRPr="00080926" w:rsidRDefault="00C114FF" w:rsidP="00A9226B">
      <w:pPr>
        <w:tabs>
          <w:tab w:val="clear" w:pos="567"/>
        </w:tabs>
        <w:spacing w:line="240" w:lineRule="auto"/>
        <w:rPr>
          <w:szCs w:val="22"/>
        </w:rPr>
      </w:pPr>
    </w:p>
    <w:p w14:paraId="3B9E35D2" w14:textId="77777777" w:rsidR="00C114FF" w:rsidRPr="00080926" w:rsidRDefault="00C114FF" w:rsidP="00A9226B">
      <w:pPr>
        <w:tabs>
          <w:tab w:val="clear" w:pos="567"/>
        </w:tabs>
        <w:spacing w:line="240" w:lineRule="auto"/>
        <w:rPr>
          <w:szCs w:val="22"/>
        </w:rPr>
      </w:pPr>
    </w:p>
    <w:p w14:paraId="3F839467" w14:textId="77777777" w:rsidR="00C114FF" w:rsidRPr="00080926" w:rsidRDefault="00C114FF" w:rsidP="00A9226B">
      <w:pPr>
        <w:tabs>
          <w:tab w:val="clear" w:pos="567"/>
        </w:tabs>
        <w:spacing w:line="240" w:lineRule="auto"/>
        <w:rPr>
          <w:szCs w:val="22"/>
        </w:rPr>
      </w:pPr>
    </w:p>
    <w:p w14:paraId="35E10876" w14:textId="77777777" w:rsidR="00C114FF" w:rsidRPr="00080926" w:rsidRDefault="00C114FF" w:rsidP="00A9226B">
      <w:pPr>
        <w:tabs>
          <w:tab w:val="clear" w:pos="567"/>
        </w:tabs>
        <w:spacing w:line="240" w:lineRule="auto"/>
        <w:rPr>
          <w:szCs w:val="22"/>
        </w:rPr>
      </w:pPr>
    </w:p>
    <w:p w14:paraId="150E76EE" w14:textId="77777777" w:rsidR="00C114FF" w:rsidRPr="00080926" w:rsidRDefault="00C114FF" w:rsidP="00A9226B">
      <w:pPr>
        <w:tabs>
          <w:tab w:val="clear" w:pos="567"/>
        </w:tabs>
        <w:spacing w:line="240" w:lineRule="auto"/>
        <w:rPr>
          <w:szCs w:val="22"/>
        </w:rPr>
      </w:pPr>
    </w:p>
    <w:p w14:paraId="66F536B1" w14:textId="77777777" w:rsidR="00C114FF" w:rsidRPr="00080926" w:rsidRDefault="00C114FF" w:rsidP="00A9226B">
      <w:pPr>
        <w:tabs>
          <w:tab w:val="clear" w:pos="567"/>
        </w:tabs>
        <w:spacing w:line="240" w:lineRule="auto"/>
        <w:rPr>
          <w:szCs w:val="22"/>
        </w:rPr>
      </w:pPr>
    </w:p>
    <w:p w14:paraId="684000E9" w14:textId="77777777" w:rsidR="00C114FF" w:rsidRPr="00080926" w:rsidRDefault="00C114FF" w:rsidP="00A9226B">
      <w:pPr>
        <w:tabs>
          <w:tab w:val="clear" w:pos="567"/>
        </w:tabs>
        <w:spacing w:line="240" w:lineRule="auto"/>
        <w:rPr>
          <w:szCs w:val="22"/>
        </w:rPr>
      </w:pPr>
    </w:p>
    <w:p w14:paraId="7A6FD7F6" w14:textId="77777777" w:rsidR="00C114FF" w:rsidRPr="00080926" w:rsidRDefault="00C114FF" w:rsidP="00A9226B">
      <w:pPr>
        <w:tabs>
          <w:tab w:val="clear" w:pos="567"/>
        </w:tabs>
        <w:spacing w:line="240" w:lineRule="auto"/>
        <w:rPr>
          <w:szCs w:val="22"/>
        </w:rPr>
      </w:pPr>
    </w:p>
    <w:p w14:paraId="2FBCF918" w14:textId="77777777" w:rsidR="00C114FF" w:rsidRPr="00080926" w:rsidRDefault="00C114FF" w:rsidP="00A9226B">
      <w:pPr>
        <w:tabs>
          <w:tab w:val="clear" w:pos="567"/>
        </w:tabs>
        <w:spacing w:line="240" w:lineRule="auto"/>
        <w:rPr>
          <w:szCs w:val="22"/>
        </w:rPr>
      </w:pPr>
    </w:p>
    <w:p w14:paraId="7FACE9F4" w14:textId="77777777" w:rsidR="00C114FF" w:rsidRPr="00080926" w:rsidRDefault="00C114FF" w:rsidP="00A9226B">
      <w:pPr>
        <w:tabs>
          <w:tab w:val="clear" w:pos="567"/>
        </w:tabs>
        <w:spacing w:line="240" w:lineRule="auto"/>
        <w:rPr>
          <w:szCs w:val="22"/>
        </w:rPr>
      </w:pPr>
    </w:p>
    <w:p w14:paraId="2798267C" w14:textId="77777777" w:rsidR="00C114FF" w:rsidRPr="00080926" w:rsidRDefault="00C114FF" w:rsidP="00A9226B">
      <w:pPr>
        <w:tabs>
          <w:tab w:val="clear" w:pos="567"/>
        </w:tabs>
        <w:spacing w:line="240" w:lineRule="auto"/>
        <w:rPr>
          <w:szCs w:val="22"/>
        </w:rPr>
      </w:pPr>
    </w:p>
    <w:p w14:paraId="13092BCE" w14:textId="77777777" w:rsidR="00C114FF" w:rsidRPr="00080926" w:rsidRDefault="00C114FF" w:rsidP="00A9226B">
      <w:pPr>
        <w:tabs>
          <w:tab w:val="clear" w:pos="567"/>
        </w:tabs>
        <w:spacing w:line="240" w:lineRule="auto"/>
        <w:rPr>
          <w:szCs w:val="22"/>
        </w:rPr>
      </w:pPr>
    </w:p>
    <w:p w14:paraId="61E23F9F" w14:textId="77777777" w:rsidR="00C114FF" w:rsidRPr="00080926" w:rsidRDefault="00C114FF" w:rsidP="00A9226B">
      <w:pPr>
        <w:tabs>
          <w:tab w:val="clear" w:pos="567"/>
        </w:tabs>
        <w:spacing w:line="240" w:lineRule="auto"/>
        <w:rPr>
          <w:szCs w:val="22"/>
        </w:rPr>
      </w:pPr>
    </w:p>
    <w:p w14:paraId="3FAFA309" w14:textId="77777777" w:rsidR="00C114FF" w:rsidRPr="00080926" w:rsidRDefault="00C114FF" w:rsidP="00A9226B">
      <w:pPr>
        <w:tabs>
          <w:tab w:val="clear" w:pos="567"/>
        </w:tabs>
        <w:spacing w:line="240" w:lineRule="auto"/>
        <w:rPr>
          <w:szCs w:val="22"/>
        </w:rPr>
      </w:pPr>
    </w:p>
    <w:p w14:paraId="500E55CD" w14:textId="77777777" w:rsidR="00C114FF" w:rsidRPr="00080926" w:rsidRDefault="00C605FD" w:rsidP="00A9226B">
      <w:pPr>
        <w:tabs>
          <w:tab w:val="clear" w:pos="567"/>
        </w:tabs>
        <w:spacing w:line="240" w:lineRule="auto"/>
        <w:jc w:val="center"/>
        <w:rPr>
          <w:b/>
          <w:szCs w:val="22"/>
        </w:rPr>
      </w:pPr>
      <w:r w:rsidRPr="00080926">
        <w:rPr>
          <w:b/>
          <w:szCs w:val="22"/>
        </w:rPr>
        <w:t>PŘÍLOHA I</w:t>
      </w:r>
    </w:p>
    <w:p w14:paraId="50FE88E4" w14:textId="77777777" w:rsidR="00C114FF" w:rsidRPr="00080926" w:rsidRDefault="00C114FF" w:rsidP="00A9226B">
      <w:pPr>
        <w:tabs>
          <w:tab w:val="clear" w:pos="567"/>
        </w:tabs>
        <w:spacing w:line="240" w:lineRule="auto"/>
        <w:rPr>
          <w:szCs w:val="22"/>
        </w:rPr>
      </w:pPr>
    </w:p>
    <w:p w14:paraId="4FD6707D" w14:textId="77777777" w:rsidR="00C114FF" w:rsidRPr="00080926" w:rsidRDefault="00C605FD" w:rsidP="00A9226B">
      <w:pPr>
        <w:tabs>
          <w:tab w:val="clear" w:pos="567"/>
        </w:tabs>
        <w:spacing w:line="240" w:lineRule="auto"/>
        <w:jc w:val="center"/>
        <w:rPr>
          <w:b/>
          <w:szCs w:val="22"/>
        </w:rPr>
      </w:pPr>
      <w:r w:rsidRPr="00080926">
        <w:rPr>
          <w:b/>
          <w:szCs w:val="22"/>
        </w:rPr>
        <w:t>SOUHRN ÚDAJŮ O PŘÍPRAVKU</w:t>
      </w:r>
    </w:p>
    <w:p w14:paraId="70A64732" w14:textId="77777777" w:rsidR="00C114FF" w:rsidRPr="00080926" w:rsidRDefault="00C605FD" w:rsidP="00B13B6D">
      <w:pPr>
        <w:pStyle w:val="Style1"/>
      </w:pPr>
      <w:r w:rsidRPr="00080926">
        <w:br w:type="page"/>
      </w:r>
      <w:r w:rsidRPr="00080926">
        <w:lastRenderedPageBreak/>
        <w:t>1.</w:t>
      </w:r>
      <w:r w:rsidRPr="00080926">
        <w:tab/>
        <w:t>NÁZEV VETERINÁRNÍHO LÉČIVÉHO PŘÍPRAVKU</w:t>
      </w:r>
    </w:p>
    <w:p w14:paraId="3606368F" w14:textId="77777777" w:rsidR="00C114FF" w:rsidRPr="00080926" w:rsidRDefault="00C114FF" w:rsidP="00A9226B">
      <w:pPr>
        <w:tabs>
          <w:tab w:val="clear" w:pos="567"/>
        </w:tabs>
        <w:spacing w:line="240" w:lineRule="auto"/>
        <w:rPr>
          <w:szCs w:val="22"/>
        </w:rPr>
      </w:pPr>
    </w:p>
    <w:p w14:paraId="220F9482" w14:textId="77777777" w:rsidR="00D72375" w:rsidRPr="00080926" w:rsidRDefault="00D72375" w:rsidP="00D72375">
      <w:pPr>
        <w:widowControl w:val="0"/>
        <w:tabs>
          <w:tab w:val="left" w:pos="-6237"/>
          <w:tab w:val="left" w:pos="0"/>
        </w:tabs>
        <w:spacing w:line="240" w:lineRule="auto"/>
        <w:jc w:val="both"/>
        <w:rPr>
          <w:szCs w:val="22"/>
        </w:rPr>
      </w:pPr>
      <w:r w:rsidRPr="00080926">
        <w:rPr>
          <w:szCs w:val="22"/>
        </w:rPr>
        <w:t>Fungiconazol 200 mg tablety pro psy</w:t>
      </w:r>
    </w:p>
    <w:p w14:paraId="7245778A" w14:textId="77777777" w:rsidR="00C114FF" w:rsidRPr="00080926" w:rsidRDefault="00C114FF" w:rsidP="00A9226B">
      <w:pPr>
        <w:tabs>
          <w:tab w:val="clear" w:pos="567"/>
        </w:tabs>
        <w:spacing w:line="240" w:lineRule="auto"/>
        <w:rPr>
          <w:szCs w:val="22"/>
        </w:rPr>
      </w:pPr>
    </w:p>
    <w:p w14:paraId="309207A4" w14:textId="77777777" w:rsidR="00D72375" w:rsidRPr="00080926" w:rsidRDefault="00D72375" w:rsidP="00A9226B">
      <w:pPr>
        <w:tabs>
          <w:tab w:val="clear" w:pos="567"/>
        </w:tabs>
        <w:spacing w:line="240" w:lineRule="auto"/>
        <w:rPr>
          <w:szCs w:val="22"/>
        </w:rPr>
      </w:pPr>
    </w:p>
    <w:p w14:paraId="6E07DCD2" w14:textId="77777777" w:rsidR="00C114FF" w:rsidRPr="00080926" w:rsidRDefault="00C605FD" w:rsidP="00B13B6D">
      <w:pPr>
        <w:pStyle w:val="Style1"/>
      </w:pPr>
      <w:r w:rsidRPr="00080926">
        <w:t>2.</w:t>
      </w:r>
      <w:r w:rsidRPr="00080926">
        <w:tab/>
        <w:t>KVALITATIVNÍ A KVANTITATIVNÍ SLOŽENÍ</w:t>
      </w:r>
    </w:p>
    <w:p w14:paraId="3EAF4F83" w14:textId="77777777" w:rsidR="00C114FF" w:rsidRPr="00080926" w:rsidRDefault="00C114FF" w:rsidP="00A9226B">
      <w:pPr>
        <w:tabs>
          <w:tab w:val="clear" w:pos="567"/>
        </w:tabs>
        <w:spacing w:line="240" w:lineRule="auto"/>
        <w:rPr>
          <w:szCs w:val="22"/>
        </w:rPr>
      </w:pPr>
    </w:p>
    <w:p w14:paraId="3548E87E" w14:textId="77777777" w:rsidR="00D72375" w:rsidRPr="00080926" w:rsidRDefault="00D72375" w:rsidP="00D72375">
      <w:pPr>
        <w:widowControl w:val="0"/>
        <w:tabs>
          <w:tab w:val="left" w:pos="0"/>
        </w:tabs>
        <w:spacing w:line="240" w:lineRule="auto"/>
        <w:jc w:val="both"/>
        <w:rPr>
          <w:szCs w:val="22"/>
        </w:rPr>
      </w:pPr>
      <w:r w:rsidRPr="00080926">
        <w:rPr>
          <w:szCs w:val="22"/>
        </w:rPr>
        <w:t>Každá tableta obsahuje:</w:t>
      </w:r>
    </w:p>
    <w:p w14:paraId="59A1F535" w14:textId="77777777" w:rsidR="00D72375" w:rsidRPr="00080926" w:rsidRDefault="00D72375" w:rsidP="00A9226B">
      <w:pPr>
        <w:tabs>
          <w:tab w:val="clear" w:pos="567"/>
        </w:tabs>
        <w:spacing w:line="240" w:lineRule="auto"/>
        <w:rPr>
          <w:szCs w:val="22"/>
        </w:rPr>
      </w:pPr>
    </w:p>
    <w:p w14:paraId="668A2BBB" w14:textId="4A21D7CC" w:rsidR="00C114FF" w:rsidRPr="00080926" w:rsidRDefault="00C605FD" w:rsidP="00A9226B">
      <w:pPr>
        <w:tabs>
          <w:tab w:val="clear" w:pos="567"/>
        </w:tabs>
        <w:spacing w:line="240" w:lineRule="auto"/>
        <w:rPr>
          <w:b/>
          <w:szCs w:val="22"/>
        </w:rPr>
      </w:pPr>
      <w:r w:rsidRPr="00080926">
        <w:rPr>
          <w:b/>
          <w:szCs w:val="22"/>
        </w:rPr>
        <w:t>Léčivá látka:</w:t>
      </w:r>
    </w:p>
    <w:p w14:paraId="57C01A7F" w14:textId="77777777" w:rsidR="00D72375" w:rsidRPr="00080926" w:rsidRDefault="00D72375" w:rsidP="00D72375">
      <w:pPr>
        <w:widowControl w:val="0"/>
        <w:tabs>
          <w:tab w:val="left" w:pos="-3119"/>
          <w:tab w:val="left" w:pos="-2977"/>
          <w:tab w:val="left" w:pos="0"/>
          <w:tab w:val="right" w:pos="3402"/>
        </w:tabs>
        <w:spacing w:line="240" w:lineRule="auto"/>
        <w:jc w:val="both"/>
        <w:rPr>
          <w:szCs w:val="22"/>
        </w:rPr>
      </w:pPr>
      <w:r w:rsidRPr="00080926">
        <w:rPr>
          <w:szCs w:val="22"/>
        </w:rPr>
        <w:t>Ketoconazolum</w:t>
      </w:r>
      <w:r w:rsidRPr="00080926">
        <w:rPr>
          <w:szCs w:val="22"/>
        </w:rPr>
        <w:tab/>
        <w:t>200 mg</w:t>
      </w:r>
    </w:p>
    <w:p w14:paraId="5DBC8849" w14:textId="77777777" w:rsidR="00C114FF" w:rsidRPr="00080926" w:rsidRDefault="00C114FF" w:rsidP="00A9226B">
      <w:pPr>
        <w:tabs>
          <w:tab w:val="clear" w:pos="567"/>
        </w:tabs>
        <w:spacing w:line="240" w:lineRule="auto"/>
        <w:rPr>
          <w:iCs/>
          <w:szCs w:val="22"/>
        </w:rPr>
      </w:pPr>
    </w:p>
    <w:p w14:paraId="55F42F38" w14:textId="6EFA701E" w:rsidR="00C114FF" w:rsidRPr="00080926" w:rsidRDefault="00C605FD" w:rsidP="00A9226B">
      <w:pPr>
        <w:tabs>
          <w:tab w:val="clear" w:pos="567"/>
        </w:tabs>
        <w:spacing w:line="240" w:lineRule="auto"/>
        <w:rPr>
          <w:szCs w:val="22"/>
        </w:rPr>
      </w:pPr>
      <w:r w:rsidRPr="00080926">
        <w:rPr>
          <w:b/>
          <w:szCs w:val="22"/>
        </w:rPr>
        <w:t>Pomocné látky: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tblGrid>
      <w:tr w:rsidR="00D72375" w:rsidRPr="00080926" w14:paraId="402487B1" w14:textId="77777777" w:rsidTr="00D72375">
        <w:tc>
          <w:tcPr>
            <w:tcW w:w="4527" w:type="dxa"/>
            <w:shd w:val="clear" w:color="auto" w:fill="auto"/>
            <w:vAlign w:val="center"/>
          </w:tcPr>
          <w:p w14:paraId="665C36FC" w14:textId="27353821" w:rsidR="00D72375" w:rsidRPr="00080926" w:rsidRDefault="00D72375" w:rsidP="007E686B">
            <w:pPr>
              <w:spacing w:before="60" w:after="60"/>
              <w:rPr>
                <w:b/>
                <w:bCs/>
                <w:iCs/>
                <w:szCs w:val="22"/>
              </w:rPr>
            </w:pPr>
            <w:r w:rsidRPr="00080926">
              <w:rPr>
                <w:b/>
                <w:bCs/>
                <w:iCs/>
                <w:szCs w:val="22"/>
              </w:rPr>
              <w:t>Kvalitativní složení pomocných látek a dalších složek</w:t>
            </w:r>
          </w:p>
        </w:tc>
      </w:tr>
      <w:tr w:rsidR="00D72375" w:rsidRPr="00080926" w14:paraId="5B376C5B" w14:textId="77777777" w:rsidTr="00CF1D66">
        <w:tc>
          <w:tcPr>
            <w:tcW w:w="4527" w:type="dxa"/>
            <w:shd w:val="clear" w:color="auto" w:fill="auto"/>
          </w:tcPr>
          <w:p w14:paraId="54766AFD" w14:textId="17E7FEEF" w:rsidR="00D72375" w:rsidRPr="00080926" w:rsidRDefault="00D72375" w:rsidP="00D72375">
            <w:pPr>
              <w:spacing w:before="60" w:after="60"/>
              <w:ind w:left="567" w:hanging="567"/>
              <w:rPr>
                <w:iCs/>
                <w:szCs w:val="22"/>
              </w:rPr>
            </w:pPr>
            <w:r w:rsidRPr="00080926">
              <w:rPr>
                <w:szCs w:val="22"/>
              </w:rPr>
              <w:t>Mikrokrystalická celulosa</w:t>
            </w:r>
          </w:p>
        </w:tc>
      </w:tr>
      <w:tr w:rsidR="00D72375" w:rsidRPr="00080926" w14:paraId="6B570F98" w14:textId="77777777" w:rsidTr="00CF1D66">
        <w:tc>
          <w:tcPr>
            <w:tcW w:w="4527" w:type="dxa"/>
            <w:shd w:val="clear" w:color="auto" w:fill="auto"/>
          </w:tcPr>
          <w:p w14:paraId="7844D2E5" w14:textId="3A2BDAB6" w:rsidR="00D72375" w:rsidRPr="00080926" w:rsidRDefault="00D72375" w:rsidP="00D72375">
            <w:pPr>
              <w:spacing w:before="60" w:after="60"/>
              <w:rPr>
                <w:iCs/>
                <w:szCs w:val="22"/>
              </w:rPr>
            </w:pPr>
            <w:r w:rsidRPr="00080926">
              <w:rPr>
                <w:szCs w:val="22"/>
              </w:rPr>
              <w:t>Sodná sůl karboxymethylškrobu (typ A)</w:t>
            </w:r>
          </w:p>
        </w:tc>
      </w:tr>
      <w:tr w:rsidR="00D72375" w:rsidRPr="00080926" w14:paraId="69DF3140" w14:textId="77777777" w:rsidTr="00CF1D66">
        <w:tc>
          <w:tcPr>
            <w:tcW w:w="4527" w:type="dxa"/>
            <w:shd w:val="clear" w:color="auto" w:fill="auto"/>
          </w:tcPr>
          <w:p w14:paraId="57621C29" w14:textId="3F724153" w:rsidR="00D72375" w:rsidRPr="00080926" w:rsidRDefault="00D72375" w:rsidP="00D72375">
            <w:pPr>
              <w:spacing w:before="60" w:after="60"/>
              <w:rPr>
                <w:iCs/>
                <w:szCs w:val="22"/>
              </w:rPr>
            </w:pPr>
            <w:r w:rsidRPr="00080926">
              <w:rPr>
                <w:szCs w:val="22"/>
              </w:rPr>
              <w:t>Natrium-lauryl-sulfát</w:t>
            </w:r>
          </w:p>
        </w:tc>
      </w:tr>
      <w:tr w:rsidR="00D72375" w:rsidRPr="00080926" w14:paraId="1685BF47" w14:textId="77777777" w:rsidTr="00CF1D66">
        <w:tc>
          <w:tcPr>
            <w:tcW w:w="4527" w:type="dxa"/>
            <w:shd w:val="clear" w:color="auto" w:fill="auto"/>
          </w:tcPr>
          <w:p w14:paraId="2261A1B7" w14:textId="1D40D263" w:rsidR="00D72375" w:rsidRPr="00080926" w:rsidRDefault="00D72375" w:rsidP="00D72375">
            <w:pPr>
              <w:spacing w:before="60" w:after="60"/>
              <w:rPr>
                <w:iCs/>
                <w:szCs w:val="22"/>
              </w:rPr>
            </w:pPr>
            <w:r w:rsidRPr="00080926">
              <w:rPr>
                <w:szCs w:val="22"/>
              </w:rPr>
              <w:t>Sušené kvasnice</w:t>
            </w:r>
          </w:p>
        </w:tc>
      </w:tr>
      <w:tr w:rsidR="00D72375" w:rsidRPr="00080926" w14:paraId="65010AAC" w14:textId="77777777" w:rsidTr="00CF1D66">
        <w:tc>
          <w:tcPr>
            <w:tcW w:w="4527" w:type="dxa"/>
            <w:shd w:val="clear" w:color="auto" w:fill="auto"/>
          </w:tcPr>
          <w:p w14:paraId="05FE1E54" w14:textId="5AD3F382" w:rsidR="00D72375" w:rsidRPr="00080926" w:rsidRDefault="00D72375" w:rsidP="00D72375">
            <w:pPr>
              <w:spacing w:before="60" w:after="60"/>
              <w:rPr>
                <w:iCs/>
                <w:szCs w:val="22"/>
              </w:rPr>
            </w:pPr>
            <w:r w:rsidRPr="00080926">
              <w:rPr>
                <w:szCs w:val="22"/>
              </w:rPr>
              <w:t>Kuřecí aroma</w:t>
            </w:r>
          </w:p>
        </w:tc>
      </w:tr>
      <w:tr w:rsidR="00D72375" w:rsidRPr="00080926" w14:paraId="31F3255D" w14:textId="77777777" w:rsidTr="00CF1D66">
        <w:tc>
          <w:tcPr>
            <w:tcW w:w="4527" w:type="dxa"/>
            <w:shd w:val="clear" w:color="auto" w:fill="auto"/>
          </w:tcPr>
          <w:p w14:paraId="740343AC" w14:textId="1031B060" w:rsidR="00D72375" w:rsidRPr="00080926" w:rsidRDefault="00D72375" w:rsidP="00D72375">
            <w:pPr>
              <w:spacing w:before="60" w:after="60"/>
              <w:ind w:left="567" w:hanging="567"/>
              <w:rPr>
                <w:b/>
                <w:bCs/>
                <w:iCs/>
                <w:szCs w:val="22"/>
              </w:rPr>
            </w:pPr>
            <w:r w:rsidRPr="00080926">
              <w:rPr>
                <w:szCs w:val="22"/>
              </w:rPr>
              <w:t>Koloidní bezvodý oxid křemičitý</w:t>
            </w:r>
          </w:p>
        </w:tc>
      </w:tr>
      <w:tr w:rsidR="00D72375" w:rsidRPr="00080926" w14:paraId="611D0BD1" w14:textId="77777777" w:rsidTr="00CF1D66">
        <w:tc>
          <w:tcPr>
            <w:tcW w:w="4527" w:type="dxa"/>
            <w:shd w:val="clear" w:color="auto" w:fill="auto"/>
          </w:tcPr>
          <w:p w14:paraId="57ED2C03" w14:textId="5D4806CD" w:rsidR="00D72375" w:rsidRPr="00080926" w:rsidRDefault="00D72375" w:rsidP="00D72375">
            <w:pPr>
              <w:spacing w:before="60" w:after="60"/>
              <w:rPr>
                <w:iCs/>
                <w:szCs w:val="22"/>
              </w:rPr>
            </w:pPr>
            <w:r w:rsidRPr="00080926">
              <w:rPr>
                <w:szCs w:val="22"/>
              </w:rPr>
              <w:t>Magnesium-stearát</w:t>
            </w:r>
          </w:p>
        </w:tc>
      </w:tr>
    </w:tbl>
    <w:p w14:paraId="2E6CA329" w14:textId="77777777" w:rsidR="00C114FF" w:rsidRPr="00080926" w:rsidRDefault="00C114FF" w:rsidP="00A9226B">
      <w:pPr>
        <w:tabs>
          <w:tab w:val="clear" w:pos="567"/>
        </w:tabs>
        <w:spacing w:line="240" w:lineRule="auto"/>
        <w:rPr>
          <w:szCs w:val="22"/>
        </w:rPr>
      </w:pPr>
    </w:p>
    <w:p w14:paraId="26E151EA" w14:textId="77777777" w:rsidR="00D72375" w:rsidRPr="00080926" w:rsidRDefault="00D72375" w:rsidP="00D72375">
      <w:pPr>
        <w:widowControl w:val="0"/>
        <w:tabs>
          <w:tab w:val="left" w:pos="0"/>
        </w:tabs>
        <w:spacing w:line="240" w:lineRule="auto"/>
        <w:jc w:val="both"/>
        <w:rPr>
          <w:szCs w:val="22"/>
        </w:rPr>
      </w:pPr>
      <w:r w:rsidRPr="00080926">
        <w:rPr>
          <w:szCs w:val="22"/>
        </w:rPr>
        <w:t>Hnědé kulaté ochucené tablety s dělícím křížem, na jedné straně vypouklé.</w:t>
      </w:r>
    </w:p>
    <w:p w14:paraId="2D10421E" w14:textId="77777777" w:rsidR="00D72375" w:rsidRPr="00080926" w:rsidRDefault="00D72375" w:rsidP="00D72375">
      <w:pPr>
        <w:widowControl w:val="0"/>
        <w:tabs>
          <w:tab w:val="left" w:pos="-6237"/>
          <w:tab w:val="left" w:pos="0"/>
        </w:tabs>
        <w:spacing w:line="240" w:lineRule="auto"/>
        <w:jc w:val="both"/>
        <w:rPr>
          <w:szCs w:val="22"/>
        </w:rPr>
      </w:pPr>
      <w:r w:rsidRPr="00080926">
        <w:rPr>
          <w:szCs w:val="22"/>
        </w:rPr>
        <w:t>Tablety lze dělit na poloviny a čtvrtiny.</w:t>
      </w:r>
    </w:p>
    <w:p w14:paraId="5508129A" w14:textId="77777777" w:rsidR="000E6D68" w:rsidRPr="00080926" w:rsidRDefault="000E6D68" w:rsidP="00A9226B">
      <w:pPr>
        <w:tabs>
          <w:tab w:val="clear" w:pos="567"/>
        </w:tabs>
        <w:spacing w:line="240" w:lineRule="auto"/>
        <w:rPr>
          <w:szCs w:val="22"/>
        </w:rPr>
      </w:pPr>
    </w:p>
    <w:p w14:paraId="2D5C7176" w14:textId="77777777" w:rsidR="00D72375" w:rsidRPr="00080926" w:rsidRDefault="00D72375" w:rsidP="00A9226B">
      <w:pPr>
        <w:tabs>
          <w:tab w:val="clear" w:pos="567"/>
        </w:tabs>
        <w:spacing w:line="240" w:lineRule="auto"/>
        <w:rPr>
          <w:szCs w:val="22"/>
        </w:rPr>
      </w:pPr>
    </w:p>
    <w:p w14:paraId="18BC19A3" w14:textId="77777777" w:rsidR="00C114FF" w:rsidRPr="00080926" w:rsidRDefault="00C605FD" w:rsidP="00B13B6D">
      <w:pPr>
        <w:pStyle w:val="Style1"/>
      </w:pPr>
      <w:r w:rsidRPr="00080926">
        <w:t>3.</w:t>
      </w:r>
      <w:r w:rsidRPr="00080926">
        <w:tab/>
        <w:t>KLINICKÉ INFORMACE</w:t>
      </w:r>
    </w:p>
    <w:p w14:paraId="03304F78" w14:textId="77777777" w:rsidR="00C114FF" w:rsidRPr="00080926" w:rsidRDefault="00C114FF" w:rsidP="00A9226B">
      <w:pPr>
        <w:tabs>
          <w:tab w:val="clear" w:pos="567"/>
        </w:tabs>
        <w:spacing w:line="240" w:lineRule="auto"/>
        <w:rPr>
          <w:szCs w:val="22"/>
        </w:rPr>
      </w:pPr>
    </w:p>
    <w:p w14:paraId="6F656C7B" w14:textId="77777777" w:rsidR="00C114FF" w:rsidRPr="00080926" w:rsidRDefault="00C605FD" w:rsidP="00B13B6D">
      <w:pPr>
        <w:pStyle w:val="Style1"/>
      </w:pPr>
      <w:r w:rsidRPr="00080926">
        <w:t>3.1</w:t>
      </w:r>
      <w:r w:rsidRPr="00080926">
        <w:tab/>
        <w:t>Cílové druhy zvířat</w:t>
      </w:r>
    </w:p>
    <w:p w14:paraId="189FB211" w14:textId="77777777" w:rsidR="00D72375" w:rsidRPr="00080926" w:rsidRDefault="00D72375" w:rsidP="00D72375">
      <w:pPr>
        <w:widowControl w:val="0"/>
        <w:tabs>
          <w:tab w:val="left" w:pos="-6237"/>
          <w:tab w:val="left" w:pos="0"/>
        </w:tabs>
        <w:spacing w:line="240" w:lineRule="auto"/>
        <w:jc w:val="both"/>
        <w:rPr>
          <w:szCs w:val="22"/>
        </w:rPr>
      </w:pPr>
    </w:p>
    <w:p w14:paraId="299390E0" w14:textId="03957B16" w:rsidR="00D72375" w:rsidRPr="00080926" w:rsidRDefault="00D72375" w:rsidP="00D72375">
      <w:pPr>
        <w:widowControl w:val="0"/>
        <w:tabs>
          <w:tab w:val="left" w:pos="-6237"/>
          <w:tab w:val="left" w:pos="0"/>
        </w:tabs>
        <w:spacing w:line="240" w:lineRule="auto"/>
        <w:jc w:val="both"/>
        <w:rPr>
          <w:szCs w:val="22"/>
        </w:rPr>
      </w:pPr>
      <w:r w:rsidRPr="00080926">
        <w:rPr>
          <w:szCs w:val="22"/>
        </w:rPr>
        <w:t>Psi.</w:t>
      </w:r>
    </w:p>
    <w:p w14:paraId="20FFAC3D" w14:textId="77777777" w:rsidR="00C114FF" w:rsidRPr="00080926" w:rsidRDefault="00C114FF" w:rsidP="00A9226B">
      <w:pPr>
        <w:tabs>
          <w:tab w:val="clear" w:pos="567"/>
        </w:tabs>
        <w:spacing w:line="240" w:lineRule="auto"/>
        <w:rPr>
          <w:szCs w:val="22"/>
        </w:rPr>
      </w:pPr>
    </w:p>
    <w:p w14:paraId="0B7F6CD1" w14:textId="595DDA74" w:rsidR="00C114FF" w:rsidRPr="00080926" w:rsidRDefault="00C605FD" w:rsidP="00B13B6D">
      <w:pPr>
        <w:pStyle w:val="Style1"/>
      </w:pPr>
      <w:r w:rsidRPr="00080926">
        <w:t>3.2</w:t>
      </w:r>
      <w:r w:rsidRPr="00080926">
        <w:tab/>
        <w:t xml:space="preserve">Indikace pro použití pro každý cílový druh </w:t>
      </w:r>
      <w:r w:rsidR="0043586F" w:rsidRPr="00080926">
        <w:t>zvířat</w:t>
      </w:r>
    </w:p>
    <w:p w14:paraId="327E3A6F" w14:textId="77777777" w:rsidR="00C114FF" w:rsidRPr="00080926" w:rsidRDefault="00C114FF" w:rsidP="00A9226B">
      <w:pPr>
        <w:tabs>
          <w:tab w:val="clear" w:pos="567"/>
        </w:tabs>
        <w:spacing w:line="240" w:lineRule="auto"/>
        <w:rPr>
          <w:szCs w:val="22"/>
        </w:rPr>
      </w:pPr>
    </w:p>
    <w:p w14:paraId="0E0D259C" w14:textId="77777777" w:rsidR="00D72375" w:rsidRPr="00080926" w:rsidRDefault="00D72375" w:rsidP="00D72375">
      <w:pPr>
        <w:widowControl w:val="0"/>
        <w:tabs>
          <w:tab w:val="left" w:pos="-6237"/>
          <w:tab w:val="left" w:pos="0"/>
        </w:tabs>
        <w:spacing w:line="240" w:lineRule="auto"/>
        <w:jc w:val="both"/>
        <w:rPr>
          <w:i/>
          <w:szCs w:val="22"/>
        </w:rPr>
      </w:pPr>
      <w:r w:rsidRPr="00080926">
        <w:rPr>
          <w:szCs w:val="22"/>
        </w:rPr>
        <w:t>Léčba dermatomykóz vyvolaných následujícími dermatofyty:</w:t>
      </w:r>
    </w:p>
    <w:p w14:paraId="29689962" w14:textId="77777777" w:rsidR="00D72375" w:rsidRPr="00080926" w:rsidRDefault="00D72375" w:rsidP="00D72375">
      <w:pPr>
        <w:widowControl w:val="0"/>
        <w:numPr>
          <w:ilvl w:val="0"/>
          <w:numId w:val="41"/>
        </w:numPr>
        <w:tabs>
          <w:tab w:val="clear" w:pos="567"/>
          <w:tab w:val="left" w:pos="-6237"/>
          <w:tab w:val="left" w:pos="0"/>
        </w:tabs>
        <w:spacing w:line="240" w:lineRule="auto"/>
        <w:ind w:left="0" w:firstLine="0"/>
        <w:jc w:val="both"/>
        <w:rPr>
          <w:i/>
          <w:szCs w:val="22"/>
        </w:rPr>
      </w:pPr>
      <w:r w:rsidRPr="00080926">
        <w:rPr>
          <w:i/>
          <w:szCs w:val="22"/>
        </w:rPr>
        <w:t>Microsporum canis,</w:t>
      </w:r>
    </w:p>
    <w:p w14:paraId="2CD10890" w14:textId="77777777" w:rsidR="00D72375" w:rsidRPr="00080926" w:rsidRDefault="00D72375" w:rsidP="00D72375">
      <w:pPr>
        <w:widowControl w:val="0"/>
        <w:numPr>
          <w:ilvl w:val="0"/>
          <w:numId w:val="41"/>
        </w:numPr>
        <w:tabs>
          <w:tab w:val="clear" w:pos="567"/>
          <w:tab w:val="left" w:pos="-6237"/>
          <w:tab w:val="left" w:pos="0"/>
        </w:tabs>
        <w:spacing w:line="240" w:lineRule="auto"/>
        <w:ind w:left="0" w:firstLine="0"/>
        <w:jc w:val="both"/>
        <w:rPr>
          <w:i/>
          <w:szCs w:val="22"/>
        </w:rPr>
      </w:pPr>
      <w:r w:rsidRPr="00080926">
        <w:rPr>
          <w:i/>
          <w:szCs w:val="22"/>
        </w:rPr>
        <w:t>Microsporum gypseum,</w:t>
      </w:r>
    </w:p>
    <w:p w14:paraId="6A424C7C" w14:textId="77777777" w:rsidR="00D72375" w:rsidRPr="00080926" w:rsidRDefault="00D72375" w:rsidP="00D72375">
      <w:pPr>
        <w:widowControl w:val="0"/>
        <w:numPr>
          <w:ilvl w:val="0"/>
          <w:numId w:val="41"/>
        </w:numPr>
        <w:tabs>
          <w:tab w:val="clear" w:pos="567"/>
          <w:tab w:val="left" w:pos="-6237"/>
          <w:tab w:val="left" w:pos="0"/>
        </w:tabs>
        <w:spacing w:line="240" w:lineRule="auto"/>
        <w:ind w:left="0" w:firstLine="0"/>
        <w:jc w:val="both"/>
        <w:rPr>
          <w:i/>
          <w:szCs w:val="22"/>
        </w:rPr>
      </w:pPr>
      <w:r w:rsidRPr="00080926">
        <w:rPr>
          <w:i/>
          <w:szCs w:val="22"/>
        </w:rPr>
        <w:t>Trichophyton mentagrophytes</w:t>
      </w:r>
    </w:p>
    <w:p w14:paraId="45A9E78C" w14:textId="77777777" w:rsidR="00E86CEE" w:rsidRPr="00080926" w:rsidRDefault="00E86CEE" w:rsidP="00145C3F">
      <w:pPr>
        <w:tabs>
          <w:tab w:val="clear" w:pos="567"/>
        </w:tabs>
        <w:spacing w:line="240" w:lineRule="auto"/>
        <w:rPr>
          <w:szCs w:val="22"/>
        </w:rPr>
      </w:pPr>
    </w:p>
    <w:p w14:paraId="2224B702" w14:textId="77777777" w:rsidR="00C114FF" w:rsidRPr="00080926" w:rsidRDefault="00C605FD" w:rsidP="00B13B6D">
      <w:pPr>
        <w:pStyle w:val="Style1"/>
      </w:pPr>
      <w:r w:rsidRPr="00080926">
        <w:t>3.3</w:t>
      </w:r>
      <w:r w:rsidRPr="00080926">
        <w:tab/>
        <w:t>Kontraindikace</w:t>
      </w:r>
    </w:p>
    <w:p w14:paraId="758D96B3" w14:textId="77777777" w:rsidR="00C114FF" w:rsidRPr="00080926" w:rsidRDefault="00C114FF" w:rsidP="00145C3F">
      <w:pPr>
        <w:tabs>
          <w:tab w:val="clear" w:pos="567"/>
        </w:tabs>
        <w:spacing w:line="240" w:lineRule="auto"/>
        <w:rPr>
          <w:szCs w:val="22"/>
        </w:rPr>
      </w:pPr>
    </w:p>
    <w:p w14:paraId="29CF2596" w14:textId="77777777" w:rsidR="00D72375" w:rsidRPr="00080926" w:rsidRDefault="00D72375" w:rsidP="00D72375">
      <w:pPr>
        <w:widowControl w:val="0"/>
        <w:tabs>
          <w:tab w:val="left" w:pos="-6237"/>
          <w:tab w:val="left" w:pos="0"/>
        </w:tabs>
        <w:spacing w:line="240" w:lineRule="auto"/>
        <w:jc w:val="both"/>
        <w:rPr>
          <w:szCs w:val="22"/>
        </w:rPr>
      </w:pPr>
      <w:r w:rsidRPr="00080926">
        <w:rPr>
          <w:szCs w:val="22"/>
        </w:rPr>
        <w:t>Nepoužívat u zvířat se selháním jater.</w:t>
      </w:r>
    </w:p>
    <w:p w14:paraId="0AE1ADF5" w14:textId="77777777" w:rsidR="00D72375" w:rsidRPr="00080926" w:rsidRDefault="00D72375" w:rsidP="00D72375">
      <w:pPr>
        <w:widowControl w:val="0"/>
        <w:tabs>
          <w:tab w:val="left" w:pos="-6237"/>
          <w:tab w:val="left" w:pos="0"/>
        </w:tabs>
        <w:spacing w:line="240" w:lineRule="auto"/>
        <w:jc w:val="both"/>
        <w:rPr>
          <w:szCs w:val="22"/>
        </w:rPr>
      </w:pPr>
      <w:r w:rsidRPr="00080926">
        <w:rPr>
          <w:bCs/>
          <w:szCs w:val="22"/>
        </w:rPr>
        <w:t>Nepoužívat v případech přecitlivělosti na léčivou látku nebo na některou z pomocných látek</w:t>
      </w:r>
      <w:r w:rsidRPr="00080926">
        <w:t>.</w:t>
      </w:r>
    </w:p>
    <w:p w14:paraId="54C2FA76" w14:textId="77777777" w:rsidR="00C114FF" w:rsidRPr="00080926" w:rsidRDefault="00C114FF" w:rsidP="00A9226B">
      <w:pPr>
        <w:tabs>
          <w:tab w:val="clear" w:pos="567"/>
        </w:tabs>
        <w:spacing w:line="240" w:lineRule="auto"/>
        <w:rPr>
          <w:szCs w:val="22"/>
        </w:rPr>
      </w:pPr>
    </w:p>
    <w:p w14:paraId="570F6F03" w14:textId="77777777" w:rsidR="00C114FF" w:rsidRPr="00080926" w:rsidRDefault="00C605FD" w:rsidP="00B13B6D">
      <w:pPr>
        <w:pStyle w:val="Style1"/>
      </w:pPr>
      <w:r w:rsidRPr="00080926">
        <w:t>3.4</w:t>
      </w:r>
      <w:r w:rsidRPr="00080926">
        <w:tab/>
        <w:t>Zvláštní upozornění</w:t>
      </w:r>
    </w:p>
    <w:p w14:paraId="0622A062" w14:textId="77777777" w:rsidR="00C114FF" w:rsidRPr="00080926" w:rsidRDefault="00C114FF" w:rsidP="00145C3F">
      <w:pPr>
        <w:tabs>
          <w:tab w:val="clear" w:pos="567"/>
        </w:tabs>
        <w:spacing w:line="240" w:lineRule="auto"/>
        <w:rPr>
          <w:szCs w:val="22"/>
        </w:rPr>
      </w:pPr>
    </w:p>
    <w:p w14:paraId="56A06DB1" w14:textId="77777777" w:rsidR="00D72375" w:rsidRPr="00080926" w:rsidRDefault="00D72375" w:rsidP="00D72375">
      <w:pPr>
        <w:widowControl w:val="0"/>
        <w:tabs>
          <w:tab w:val="left" w:pos="-6237"/>
          <w:tab w:val="left" w:pos="0"/>
        </w:tabs>
        <w:spacing w:line="240" w:lineRule="auto"/>
        <w:jc w:val="both"/>
        <w:rPr>
          <w:szCs w:val="22"/>
        </w:rPr>
      </w:pPr>
      <w:r w:rsidRPr="00080926">
        <w:rPr>
          <w:szCs w:val="22"/>
        </w:rPr>
        <w:t>Opakované používání ketokonazolu může v ojedinělých případech vyvolat zkříženou rezistenci na ostatní azoly.</w:t>
      </w:r>
    </w:p>
    <w:p w14:paraId="7D798E15" w14:textId="77777777" w:rsidR="00E86CEE" w:rsidRPr="00080926" w:rsidRDefault="00E86CEE">
      <w:pPr>
        <w:tabs>
          <w:tab w:val="clear" w:pos="567"/>
        </w:tabs>
        <w:spacing w:line="240" w:lineRule="auto"/>
        <w:rPr>
          <w:szCs w:val="22"/>
        </w:rPr>
      </w:pPr>
    </w:p>
    <w:p w14:paraId="3B4CC7AC" w14:textId="77777777" w:rsidR="00C114FF" w:rsidRPr="00080926" w:rsidRDefault="00C605FD" w:rsidP="00B13B6D">
      <w:pPr>
        <w:pStyle w:val="Style1"/>
      </w:pPr>
      <w:r w:rsidRPr="00080926">
        <w:t>3.5</w:t>
      </w:r>
      <w:r w:rsidRPr="00080926">
        <w:tab/>
        <w:t>Zvláštní opatření pro použití</w:t>
      </w:r>
    </w:p>
    <w:p w14:paraId="0B94D7B2" w14:textId="77777777" w:rsidR="00C114FF" w:rsidRPr="00080926" w:rsidRDefault="00C114FF" w:rsidP="00145C3F">
      <w:pPr>
        <w:tabs>
          <w:tab w:val="clear" w:pos="567"/>
        </w:tabs>
        <w:spacing w:line="240" w:lineRule="auto"/>
        <w:rPr>
          <w:szCs w:val="22"/>
        </w:rPr>
      </w:pPr>
    </w:p>
    <w:p w14:paraId="682382B5" w14:textId="77777777" w:rsidR="00C114FF" w:rsidRPr="00080926" w:rsidRDefault="00C605FD" w:rsidP="00BF00EF">
      <w:pPr>
        <w:tabs>
          <w:tab w:val="clear" w:pos="567"/>
        </w:tabs>
        <w:spacing w:line="240" w:lineRule="auto"/>
        <w:rPr>
          <w:szCs w:val="22"/>
          <w:u w:val="single"/>
        </w:rPr>
      </w:pPr>
      <w:r w:rsidRPr="00080926">
        <w:rPr>
          <w:szCs w:val="22"/>
          <w:u w:val="single"/>
        </w:rPr>
        <w:lastRenderedPageBreak/>
        <w:t>Zvláštní opatření pro bezpečné použití u cílových druhů zvířat:</w:t>
      </w:r>
    </w:p>
    <w:p w14:paraId="0CE08A31" w14:textId="77777777" w:rsidR="0055231A" w:rsidRPr="00080926" w:rsidRDefault="0055231A" w:rsidP="00D72375">
      <w:pPr>
        <w:widowControl w:val="0"/>
        <w:tabs>
          <w:tab w:val="left" w:pos="0"/>
        </w:tabs>
        <w:spacing w:line="240" w:lineRule="auto"/>
        <w:jc w:val="both"/>
        <w:rPr>
          <w:szCs w:val="22"/>
          <w:shd w:val="clear" w:color="auto" w:fill="FFFFFF"/>
        </w:rPr>
      </w:pPr>
    </w:p>
    <w:p w14:paraId="126C3616" w14:textId="56FC29EF" w:rsidR="007219A6" w:rsidRDefault="007219A6" w:rsidP="007219A6">
      <w:pPr>
        <w:tabs>
          <w:tab w:val="left" w:pos="720"/>
        </w:tabs>
        <w:spacing w:line="240" w:lineRule="auto"/>
        <w:jc w:val="both"/>
      </w:pPr>
      <w:r w:rsidRPr="00BE49B6">
        <w:t xml:space="preserve">Použití přípravku </w:t>
      </w:r>
      <w:r>
        <w:t>by mělo</w:t>
      </w:r>
      <w:r w:rsidRPr="00BE49B6">
        <w:t xml:space="preserve"> být založeno na </w:t>
      </w:r>
      <w:r>
        <w:t xml:space="preserve">identifikaci a výsledku </w:t>
      </w:r>
      <w:r w:rsidR="001164E3">
        <w:t>stanovení</w:t>
      </w:r>
      <w:r w:rsidRPr="00BE49B6">
        <w:t xml:space="preserve"> </w:t>
      </w:r>
      <w:r>
        <w:t>citlivosti cílového patogenu (cílových patogenů)</w:t>
      </w:r>
      <w:r w:rsidRPr="00BE49B6">
        <w:t>. Pokud to není možné, je nutné založit terapii na epi</w:t>
      </w:r>
      <w:r>
        <w:t>zootologických</w:t>
      </w:r>
      <w:r w:rsidRPr="00BE49B6">
        <w:t xml:space="preserve"> informacích </w:t>
      </w:r>
      <w:r>
        <w:t xml:space="preserve">a na znalostech </w:t>
      </w:r>
      <w:r w:rsidRPr="00BE49B6">
        <w:t>o</w:t>
      </w:r>
      <w:r>
        <w:t> </w:t>
      </w:r>
      <w:r w:rsidRPr="00BE49B6">
        <w:t>citlivosti cílov</w:t>
      </w:r>
      <w:r>
        <w:t>ých</w:t>
      </w:r>
      <w:r w:rsidRPr="00BE49B6">
        <w:t xml:space="preserve"> </w:t>
      </w:r>
      <w:r>
        <w:t>patogenů na úrovni farmy nebo na místní/regionální úrovni</w:t>
      </w:r>
      <w:r w:rsidRPr="00BE49B6">
        <w:t xml:space="preserve">. </w:t>
      </w:r>
    </w:p>
    <w:p w14:paraId="5C639B85" w14:textId="77777777" w:rsidR="007219A6" w:rsidRDefault="007219A6" w:rsidP="007219A6">
      <w:pPr>
        <w:tabs>
          <w:tab w:val="left" w:pos="720"/>
        </w:tabs>
        <w:spacing w:line="240" w:lineRule="auto"/>
        <w:jc w:val="both"/>
      </w:pPr>
    </w:p>
    <w:p w14:paraId="745219A0" w14:textId="22E189AC" w:rsidR="007219A6" w:rsidRDefault="007219A6" w:rsidP="007219A6">
      <w:pPr>
        <w:tabs>
          <w:tab w:val="left" w:pos="720"/>
        </w:tabs>
        <w:spacing w:line="240" w:lineRule="auto"/>
        <w:jc w:val="both"/>
      </w:pPr>
      <w:r w:rsidRPr="002B10C4">
        <w:t>Veterinární léčivý přípravek by měl být používán v souladu s oficiálními, celostátními a místními pravidly anti</w:t>
      </w:r>
      <w:r w:rsidR="00C46ECE">
        <w:t>mikrobní</w:t>
      </w:r>
      <w:r w:rsidRPr="002B10C4">
        <w:t xml:space="preserve"> politiky</w:t>
      </w:r>
      <w:r w:rsidRPr="00BE49B6">
        <w:t>.</w:t>
      </w:r>
    </w:p>
    <w:p w14:paraId="2C53B598" w14:textId="77777777" w:rsidR="007219A6" w:rsidRDefault="007219A6" w:rsidP="00D72375">
      <w:pPr>
        <w:widowControl w:val="0"/>
        <w:tabs>
          <w:tab w:val="left" w:pos="0"/>
        </w:tabs>
        <w:spacing w:line="240" w:lineRule="auto"/>
        <w:jc w:val="both"/>
        <w:rPr>
          <w:szCs w:val="22"/>
          <w:shd w:val="clear" w:color="auto" w:fill="FFFFFF"/>
        </w:rPr>
      </w:pPr>
    </w:p>
    <w:p w14:paraId="555F08DB" w14:textId="416B48C7" w:rsidR="00D72375" w:rsidRPr="00080926" w:rsidRDefault="00D72375" w:rsidP="00D72375">
      <w:pPr>
        <w:widowControl w:val="0"/>
        <w:tabs>
          <w:tab w:val="left" w:pos="0"/>
        </w:tabs>
        <w:spacing w:line="240" w:lineRule="auto"/>
        <w:jc w:val="both"/>
        <w:rPr>
          <w:szCs w:val="22"/>
        </w:rPr>
      </w:pPr>
      <w:r w:rsidRPr="00080926">
        <w:rPr>
          <w:szCs w:val="22"/>
          <w:shd w:val="clear" w:color="auto" w:fill="FFFFFF"/>
        </w:rPr>
        <w:t xml:space="preserve">Léčba ketokonazolem snižuje koncentraci testosteronu a zvyšuje </w:t>
      </w:r>
      <w:r w:rsidR="005452FD" w:rsidRPr="00080926">
        <w:rPr>
          <w:szCs w:val="22"/>
          <w:shd w:val="clear" w:color="auto" w:fill="FFFFFF"/>
        </w:rPr>
        <w:t>koncentrac</w:t>
      </w:r>
      <w:r w:rsidR="005452FD">
        <w:rPr>
          <w:szCs w:val="22"/>
          <w:shd w:val="clear" w:color="auto" w:fill="FFFFFF"/>
        </w:rPr>
        <w:t>i</w:t>
      </w:r>
      <w:r w:rsidR="005452FD" w:rsidRPr="00080926">
        <w:rPr>
          <w:szCs w:val="22"/>
          <w:shd w:val="clear" w:color="auto" w:fill="FFFFFF"/>
        </w:rPr>
        <w:t xml:space="preserve"> </w:t>
      </w:r>
      <w:r w:rsidRPr="00080926">
        <w:rPr>
          <w:szCs w:val="22"/>
          <w:shd w:val="clear" w:color="auto" w:fill="FFFFFF"/>
        </w:rPr>
        <w:t>progesteronu a může u samců během léčby a několik týdnů po jejím ukončení negativně ovlivňovat reprodukci.</w:t>
      </w:r>
    </w:p>
    <w:p w14:paraId="694A30DB" w14:textId="0B2BD6CE" w:rsidR="00D72375" w:rsidRPr="00080926" w:rsidRDefault="00D72375" w:rsidP="00D72375">
      <w:pPr>
        <w:widowControl w:val="0"/>
        <w:tabs>
          <w:tab w:val="left" w:pos="0"/>
        </w:tabs>
        <w:spacing w:line="240" w:lineRule="auto"/>
        <w:jc w:val="both"/>
        <w:rPr>
          <w:szCs w:val="22"/>
        </w:rPr>
      </w:pPr>
      <w:r w:rsidRPr="00080926">
        <w:rPr>
          <w:szCs w:val="22"/>
        </w:rPr>
        <w:t>Léčba dermatofytózy by neměla být omezena pouze na léčbu infikovaného zvířete /</w:t>
      </w:r>
      <w:r w:rsidR="00C46ECE">
        <w:rPr>
          <w:szCs w:val="22"/>
        </w:rPr>
        <w:t xml:space="preserve"> </w:t>
      </w:r>
      <w:r w:rsidRPr="00080926">
        <w:rPr>
          <w:szCs w:val="22"/>
        </w:rPr>
        <w:t>infikovaných zvířat. Měla by dále zahrnovat dezinfekci prostředí, protože spory mohou v prostředí přežívat velmi dlouhou dobu. Další opatření, jako je časté vysávání, dezinfekce nástrojů určených pro péči o zvířata a odstraňování veškerého potenciálně kontaminovaného materiálu, který není možné dezinfikovat, může minimalizovat riziko opakované infekce nebo šíření infekce.</w:t>
      </w:r>
    </w:p>
    <w:p w14:paraId="5E4130C0" w14:textId="77777777" w:rsidR="00D72375" w:rsidRPr="00080926" w:rsidRDefault="00D72375" w:rsidP="00D72375">
      <w:pPr>
        <w:widowControl w:val="0"/>
        <w:tabs>
          <w:tab w:val="left" w:pos="0"/>
        </w:tabs>
        <w:spacing w:line="240" w:lineRule="auto"/>
        <w:jc w:val="both"/>
        <w:rPr>
          <w:szCs w:val="22"/>
        </w:rPr>
      </w:pPr>
      <w:r w:rsidRPr="00080926">
        <w:rPr>
          <w:szCs w:val="22"/>
        </w:rPr>
        <w:t xml:space="preserve">Doporučuje se kombinace systémové a topické léčby. </w:t>
      </w:r>
    </w:p>
    <w:p w14:paraId="05F824DF" w14:textId="7D45E4DE" w:rsidR="00D72375" w:rsidRPr="00080926" w:rsidRDefault="00D72375" w:rsidP="00D72375">
      <w:pPr>
        <w:widowControl w:val="0"/>
        <w:tabs>
          <w:tab w:val="left" w:pos="-6237"/>
          <w:tab w:val="left" w:pos="0"/>
        </w:tabs>
        <w:spacing w:line="240" w:lineRule="auto"/>
        <w:jc w:val="both"/>
        <w:rPr>
          <w:szCs w:val="22"/>
        </w:rPr>
      </w:pPr>
      <w:r w:rsidRPr="00080926">
        <w:rPr>
          <w:szCs w:val="22"/>
        </w:rPr>
        <w:t xml:space="preserve">V případě dlouhodobé léčby by </w:t>
      </w:r>
      <w:r w:rsidR="005452FD">
        <w:rPr>
          <w:szCs w:val="22"/>
        </w:rPr>
        <w:t xml:space="preserve">měla být </w:t>
      </w:r>
      <w:r w:rsidRPr="00080926">
        <w:rPr>
          <w:szCs w:val="22"/>
        </w:rPr>
        <w:t xml:space="preserve">pečlivě </w:t>
      </w:r>
      <w:r w:rsidR="005452FD" w:rsidRPr="00080926">
        <w:rPr>
          <w:szCs w:val="22"/>
        </w:rPr>
        <w:t>sledov</w:t>
      </w:r>
      <w:r w:rsidR="005452FD">
        <w:rPr>
          <w:szCs w:val="22"/>
        </w:rPr>
        <w:t xml:space="preserve">ána </w:t>
      </w:r>
      <w:r w:rsidRPr="00080926">
        <w:rPr>
          <w:szCs w:val="22"/>
        </w:rPr>
        <w:t>funkce jater. Pokud se objeví klinické příznaky ukazující na poškození funkce jater, musí být léčba neprodleně přerušena. Tablety jsou ochuceny, a proto by měly být uchovávány na bezpečném místě mimo dosah zvířat.</w:t>
      </w:r>
    </w:p>
    <w:p w14:paraId="117F609A" w14:textId="77777777" w:rsidR="00C114FF" w:rsidRPr="00080926" w:rsidRDefault="00C114FF" w:rsidP="00A9226B">
      <w:pPr>
        <w:tabs>
          <w:tab w:val="clear" w:pos="567"/>
        </w:tabs>
        <w:spacing w:line="240" w:lineRule="auto"/>
        <w:rPr>
          <w:szCs w:val="22"/>
        </w:rPr>
      </w:pPr>
    </w:p>
    <w:p w14:paraId="5EA9A9E4" w14:textId="77777777" w:rsidR="00C114FF" w:rsidRPr="00080926" w:rsidRDefault="00C605FD" w:rsidP="00454034">
      <w:pPr>
        <w:keepNext/>
        <w:tabs>
          <w:tab w:val="clear" w:pos="567"/>
        </w:tabs>
        <w:spacing w:line="240" w:lineRule="auto"/>
        <w:rPr>
          <w:szCs w:val="22"/>
          <w:u w:val="single"/>
        </w:rPr>
      </w:pPr>
      <w:r w:rsidRPr="00080926">
        <w:rPr>
          <w:szCs w:val="22"/>
          <w:u w:val="single"/>
        </w:rPr>
        <w:t>Zvláštní opatření pro osobu, která podává veterinární léčivý přípravek zvířatům:</w:t>
      </w:r>
    </w:p>
    <w:p w14:paraId="4204DBEA" w14:textId="77777777" w:rsidR="0055231A" w:rsidRPr="00080926" w:rsidRDefault="0055231A" w:rsidP="00454034">
      <w:pPr>
        <w:keepNext/>
        <w:tabs>
          <w:tab w:val="clear" w:pos="567"/>
        </w:tabs>
        <w:spacing w:line="240" w:lineRule="auto"/>
        <w:rPr>
          <w:szCs w:val="22"/>
        </w:rPr>
      </w:pPr>
    </w:p>
    <w:p w14:paraId="05DC0D26" w14:textId="7D6A237D" w:rsidR="00D72375" w:rsidRPr="00080926" w:rsidRDefault="00D72375" w:rsidP="00D72375">
      <w:pPr>
        <w:tabs>
          <w:tab w:val="clear" w:pos="567"/>
        </w:tabs>
        <w:spacing w:line="240" w:lineRule="auto"/>
        <w:rPr>
          <w:szCs w:val="22"/>
        </w:rPr>
      </w:pPr>
      <w:r w:rsidRPr="00080926">
        <w:rPr>
          <w:szCs w:val="22"/>
        </w:rPr>
        <w:t xml:space="preserve">Zabraňte náhodnému požití. Uchovávejte blistr v původním obalu, aby k němu neměly přístup děti. Části (půlky/čtvrtky) tablet uchovávejte v původním blistru a použijte pro další podání. V případě náhodného </w:t>
      </w:r>
      <w:r w:rsidR="007219A6">
        <w:rPr>
          <w:szCs w:val="22"/>
        </w:rPr>
        <w:t>požití</w:t>
      </w:r>
      <w:r w:rsidR="00F21FC7">
        <w:rPr>
          <w:szCs w:val="22"/>
        </w:rPr>
        <w:t>,</w:t>
      </w:r>
      <w:r w:rsidR="007219A6" w:rsidRPr="00080926">
        <w:rPr>
          <w:szCs w:val="22"/>
        </w:rPr>
        <w:t xml:space="preserve"> </w:t>
      </w:r>
      <w:r w:rsidRPr="00080926">
        <w:rPr>
          <w:szCs w:val="22"/>
        </w:rPr>
        <w:t>vyhledejte ihned lékařskou pomoc a ukažte příbalovou informaci nebo etiketu praktickému lékaři.</w:t>
      </w:r>
    </w:p>
    <w:p w14:paraId="65F11177" w14:textId="77777777" w:rsidR="00D72375" w:rsidRPr="00080926" w:rsidRDefault="00D72375" w:rsidP="00D72375">
      <w:pPr>
        <w:tabs>
          <w:tab w:val="clear" w:pos="567"/>
        </w:tabs>
        <w:spacing w:line="240" w:lineRule="auto"/>
        <w:rPr>
          <w:szCs w:val="22"/>
        </w:rPr>
      </w:pPr>
    </w:p>
    <w:p w14:paraId="2DE787A4" w14:textId="6C37F7F1" w:rsidR="00C114FF" w:rsidRPr="00080926" w:rsidRDefault="00D72375" w:rsidP="00D72375">
      <w:pPr>
        <w:tabs>
          <w:tab w:val="clear" w:pos="567"/>
        </w:tabs>
        <w:spacing w:line="240" w:lineRule="auto"/>
        <w:rPr>
          <w:szCs w:val="22"/>
        </w:rPr>
      </w:pPr>
      <w:r w:rsidRPr="00080926">
        <w:rPr>
          <w:szCs w:val="22"/>
        </w:rPr>
        <w:t>Lidé se známou přecitlivělostí na ketokonazol by se měli vyhnout kontaktu s veterinárním léčivým přípravkem. Po použití si umyjte ruce.</w:t>
      </w:r>
    </w:p>
    <w:p w14:paraId="7D364D19" w14:textId="77777777" w:rsidR="00C114FF" w:rsidRPr="00080926" w:rsidRDefault="00C114FF" w:rsidP="00A9226B">
      <w:pPr>
        <w:tabs>
          <w:tab w:val="clear" w:pos="567"/>
        </w:tabs>
        <w:spacing w:line="240" w:lineRule="auto"/>
        <w:rPr>
          <w:szCs w:val="22"/>
        </w:rPr>
      </w:pPr>
    </w:p>
    <w:p w14:paraId="2738C061" w14:textId="77777777" w:rsidR="00295140" w:rsidRPr="00080926" w:rsidRDefault="00C605FD" w:rsidP="00454034">
      <w:pPr>
        <w:keepNext/>
        <w:tabs>
          <w:tab w:val="clear" w:pos="567"/>
        </w:tabs>
        <w:spacing w:line="240" w:lineRule="auto"/>
        <w:rPr>
          <w:szCs w:val="22"/>
          <w:u w:val="single"/>
        </w:rPr>
      </w:pPr>
      <w:r w:rsidRPr="00080926">
        <w:rPr>
          <w:szCs w:val="22"/>
          <w:u w:val="single"/>
        </w:rPr>
        <w:t>Zvláštní opatření pro ochranu životního prostředí:</w:t>
      </w:r>
    </w:p>
    <w:p w14:paraId="47390C4D" w14:textId="77777777" w:rsidR="00295140" w:rsidRPr="00080926" w:rsidRDefault="00295140" w:rsidP="00454034">
      <w:pPr>
        <w:keepNext/>
        <w:tabs>
          <w:tab w:val="clear" w:pos="567"/>
        </w:tabs>
        <w:spacing w:line="240" w:lineRule="auto"/>
        <w:rPr>
          <w:szCs w:val="22"/>
        </w:rPr>
      </w:pPr>
    </w:p>
    <w:p w14:paraId="5744A99B" w14:textId="4FDB397D" w:rsidR="0055231A" w:rsidRDefault="007219A6" w:rsidP="00A9226B">
      <w:pPr>
        <w:tabs>
          <w:tab w:val="clear" w:pos="567"/>
        </w:tabs>
        <w:spacing w:line="240" w:lineRule="auto"/>
      </w:pPr>
      <w:r w:rsidRPr="00B41D57">
        <w:t>Neuplatňuje se.</w:t>
      </w:r>
    </w:p>
    <w:p w14:paraId="4AF70218" w14:textId="77777777" w:rsidR="007219A6" w:rsidRPr="00080926" w:rsidRDefault="007219A6" w:rsidP="00A9226B">
      <w:pPr>
        <w:tabs>
          <w:tab w:val="clear" w:pos="567"/>
        </w:tabs>
        <w:spacing w:line="240" w:lineRule="auto"/>
        <w:rPr>
          <w:szCs w:val="22"/>
        </w:rPr>
      </w:pPr>
    </w:p>
    <w:p w14:paraId="4C8F4D6D" w14:textId="443CC665" w:rsidR="00295140" w:rsidRPr="00080926" w:rsidRDefault="00C605FD" w:rsidP="00A9226B">
      <w:pPr>
        <w:tabs>
          <w:tab w:val="clear" w:pos="567"/>
        </w:tabs>
        <w:spacing w:line="240" w:lineRule="auto"/>
        <w:rPr>
          <w:szCs w:val="22"/>
        </w:rPr>
      </w:pPr>
      <w:r w:rsidRPr="00080926">
        <w:rPr>
          <w:szCs w:val="22"/>
          <w:u w:val="single"/>
        </w:rPr>
        <w:t>Další opatření</w:t>
      </w:r>
      <w:r w:rsidRPr="00080926">
        <w:t>:</w:t>
      </w:r>
    </w:p>
    <w:p w14:paraId="69BC00E6" w14:textId="77777777" w:rsidR="0055231A" w:rsidRPr="00080926" w:rsidRDefault="0055231A" w:rsidP="00D72375">
      <w:pPr>
        <w:tabs>
          <w:tab w:val="left" w:pos="0"/>
        </w:tabs>
        <w:spacing w:line="240" w:lineRule="auto"/>
        <w:jc w:val="both"/>
        <w:rPr>
          <w:szCs w:val="22"/>
        </w:rPr>
      </w:pPr>
    </w:p>
    <w:p w14:paraId="54E9807B" w14:textId="4F757FFE" w:rsidR="00D72375" w:rsidRPr="00080926" w:rsidRDefault="00D72375" w:rsidP="00D72375">
      <w:pPr>
        <w:tabs>
          <w:tab w:val="left" w:pos="0"/>
        </w:tabs>
        <w:spacing w:line="240" w:lineRule="auto"/>
        <w:jc w:val="both"/>
        <w:rPr>
          <w:szCs w:val="22"/>
        </w:rPr>
      </w:pPr>
      <w:r w:rsidRPr="00080926">
        <w:rPr>
          <w:szCs w:val="22"/>
        </w:rPr>
        <w:t>Dermatofyty uvedené v indikaci mají zoonotický potenciál s rizikem přenosu na člověka.  Dodržujte zásady správné osobní hygieny (mytí rukou po manipulaci se zvířetem a zabránění přímému kontaktu se zvířetem). Pokud se objeví známky kožních lézí, obraťte se na svého lékaře.</w:t>
      </w:r>
    </w:p>
    <w:p w14:paraId="309A1DB9" w14:textId="77777777" w:rsidR="00295140" w:rsidRPr="00080926" w:rsidRDefault="00295140" w:rsidP="00A9226B">
      <w:pPr>
        <w:tabs>
          <w:tab w:val="clear" w:pos="567"/>
        </w:tabs>
        <w:spacing w:line="240" w:lineRule="auto"/>
        <w:rPr>
          <w:szCs w:val="22"/>
        </w:rPr>
      </w:pPr>
    </w:p>
    <w:p w14:paraId="237314DB" w14:textId="77777777" w:rsidR="00C114FF" w:rsidRPr="00080926" w:rsidRDefault="00C605FD" w:rsidP="00B13B6D">
      <w:pPr>
        <w:pStyle w:val="Style1"/>
      </w:pPr>
      <w:r w:rsidRPr="00080926">
        <w:t>3.6</w:t>
      </w:r>
      <w:r w:rsidRPr="00080926">
        <w:tab/>
        <w:t>Nežádoucí účinky</w:t>
      </w:r>
    </w:p>
    <w:p w14:paraId="10F3D673" w14:textId="77777777" w:rsidR="00295140" w:rsidRPr="00080926" w:rsidRDefault="00295140" w:rsidP="00AD0710">
      <w:pPr>
        <w:tabs>
          <w:tab w:val="clear" w:pos="567"/>
        </w:tabs>
        <w:spacing w:line="240" w:lineRule="auto"/>
        <w:rPr>
          <w:szCs w:val="22"/>
        </w:rPr>
      </w:pPr>
    </w:p>
    <w:p w14:paraId="48AC99BD" w14:textId="2969AD1D" w:rsidR="007219A6" w:rsidRPr="006414D3" w:rsidRDefault="00505629" w:rsidP="007219A6">
      <w:pPr>
        <w:tabs>
          <w:tab w:val="clear" w:pos="567"/>
        </w:tabs>
        <w:spacing w:line="240" w:lineRule="auto"/>
        <w:rPr>
          <w:szCs w:val="22"/>
        </w:rPr>
      </w:pPr>
      <w:r>
        <w:rPr>
          <w:szCs w:val="22"/>
        </w:rPr>
        <w:t>Psi</w:t>
      </w:r>
      <w:r w:rsidR="007219A6" w:rsidRPr="006414D3">
        <w:rPr>
          <w:szCs w:val="22"/>
        </w:rPr>
        <w:t>:</w:t>
      </w:r>
    </w:p>
    <w:p w14:paraId="2092D55B" w14:textId="77777777" w:rsidR="007219A6" w:rsidRPr="006414D3" w:rsidRDefault="007219A6" w:rsidP="007219A6">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7219A6" w14:paraId="3B445659" w14:textId="77777777" w:rsidTr="009C2E37">
        <w:tc>
          <w:tcPr>
            <w:tcW w:w="1957" w:type="pct"/>
          </w:tcPr>
          <w:p w14:paraId="5CD0A884" w14:textId="77777777" w:rsidR="007219A6" w:rsidRPr="00B41D57" w:rsidRDefault="007219A6" w:rsidP="007219A6">
            <w:pPr>
              <w:spacing w:before="60" w:after="60"/>
              <w:rPr>
                <w:szCs w:val="22"/>
              </w:rPr>
            </w:pPr>
            <w:bookmarkStart w:id="0" w:name="_Hlk178082691"/>
            <w:r w:rsidRPr="00B41D57">
              <w:t>Vzácné</w:t>
            </w:r>
          </w:p>
          <w:p w14:paraId="474D9766" w14:textId="4BDDAD9D" w:rsidR="007219A6" w:rsidRPr="006369C1" w:rsidRDefault="007219A6" w:rsidP="007219A6">
            <w:pPr>
              <w:spacing w:before="60" w:after="60"/>
              <w:rPr>
                <w:szCs w:val="22"/>
                <w:highlight w:val="yellow"/>
              </w:rPr>
            </w:pPr>
            <w:r w:rsidRPr="00B41D57">
              <w:t>(1 až 10 zvířat / 10 000 ošetřených zvířat):</w:t>
            </w:r>
          </w:p>
        </w:tc>
        <w:tc>
          <w:tcPr>
            <w:tcW w:w="3043" w:type="pct"/>
          </w:tcPr>
          <w:p w14:paraId="06B608D6" w14:textId="2E2F2C11" w:rsidR="007219A6" w:rsidRPr="004C45A4" w:rsidRDefault="001D3ADF" w:rsidP="009C2E37">
            <w:pPr>
              <w:spacing w:before="60"/>
              <w:rPr>
                <w:iCs/>
              </w:rPr>
            </w:pPr>
            <w:r>
              <w:rPr>
                <w:iCs/>
              </w:rPr>
              <w:t>P</w:t>
            </w:r>
            <w:r w:rsidR="00ED6CB7">
              <w:rPr>
                <w:iCs/>
              </w:rPr>
              <w:t xml:space="preserve">oruchy </w:t>
            </w:r>
            <w:r>
              <w:rPr>
                <w:iCs/>
              </w:rPr>
              <w:t xml:space="preserve">nervového </w:t>
            </w:r>
            <w:proofErr w:type="spellStart"/>
            <w:r>
              <w:rPr>
                <w:iCs/>
              </w:rPr>
              <w:t>systému</w:t>
            </w:r>
            <w:r w:rsidR="007219A6" w:rsidRPr="004C45A4">
              <w:rPr>
                <w:iCs/>
                <w:vertAlign w:val="superscript"/>
              </w:rPr>
              <w:t>a</w:t>
            </w:r>
            <w:proofErr w:type="spellEnd"/>
            <w:r w:rsidR="007219A6" w:rsidRPr="004C45A4">
              <w:rPr>
                <w:iCs/>
              </w:rPr>
              <w:t xml:space="preserve"> </w:t>
            </w:r>
            <w:r w:rsidR="005630F3">
              <w:rPr>
                <w:iCs/>
              </w:rPr>
              <w:t>(</w:t>
            </w:r>
            <w:r>
              <w:rPr>
                <w:iCs/>
              </w:rPr>
              <w:t>např. ataxie</w:t>
            </w:r>
            <w:r w:rsidR="007219A6" w:rsidRPr="004C45A4">
              <w:rPr>
                <w:iCs/>
              </w:rPr>
              <w:t xml:space="preserve">, </w:t>
            </w:r>
            <w:r>
              <w:rPr>
                <w:iCs/>
              </w:rPr>
              <w:t>třes</w:t>
            </w:r>
            <w:r w:rsidR="007219A6" w:rsidRPr="004C45A4">
              <w:rPr>
                <w:iCs/>
              </w:rPr>
              <w:t>)</w:t>
            </w:r>
          </w:p>
          <w:p w14:paraId="107DB8FC" w14:textId="437C3DF6" w:rsidR="007219A6" w:rsidRPr="004C45A4" w:rsidRDefault="001D3ADF" w:rsidP="009C2E37">
            <w:pPr>
              <w:spacing w:before="60"/>
              <w:rPr>
                <w:iCs/>
              </w:rPr>
            </w:pPr>
            <w:r>
              <w:rPr>
                <w:iCs/>
              </w:rPr>
              <w:t>Apatie</w:t>
            </w:r>
            <w:r w:rsidR="007219A6" w:rsidRPr="004C45A4">
              <w:rPr>
                <w:iCs/>
                <w:vertAlign w:val="superscript"/>
              </w:rPr>
              <w:t>a</w:t>
            </w:r>
            <w:r w:rsidR="007219A6">
              <w:rPr>
                <w:iCs/>
              </w:rPr>
              <w:t xml:space="preserve">, </w:t>
            </w:r>
            <w:r>
              <w:rPr>
                <w:iCs/>
              </w:rPr>
              <w:t>anorexie</w:t>
            </w:r>
            <w:r w:rsidR="007219A6" w:rsidRPr="004C45A4">
              <w:rPr>
                <w:iCs/>
                <w:vertAlign w:val="superscript"/>
              </w:rPr>
              <w:t>a</w:t>
            </w:r>
            <w:r w:rsidR="007219A6" w:rsidRPr="004C45A4">
              <w:rPr>
                <w:iCs/>
              </w:rPr>
              <w:t xml:space="preserve"> </w:t>
            </w:r>
          </w:p>
          <w:p w14:paraId="422E5AB6" w14:textId="79DEB089" w:rsidR="007219A6" w:rsidRPr="004C45A4" w:rsidRDefault="001D3ADF" w:rsidP="009C2E37">
            <w:pPr>
              <w:spacing w:before="60"/>
              <w:rPr>
                <w:iCs/>
              </w:rPr>
            </w:pPr>
            <w:r>
              <w:rPr>
                <w:iCs/>
              </w:rPr>
              <w:t>Hepatotoxicita</w:t>
            </w:r>
          </w:p>
          <w:p w14:paraId="42EA8D87" w14:textId="626B7032" w:rsidR="007219A6" w:rsidRPr="006414D3" w:rsidRDefault="001D3ADF" w:rsidP="009C2E37">
            <w:pPr>
              <w:spacing w:before="60"/>
              <w:rPr>
                <w:iCs/>
                <w:szCs w:val="22"/>
              </w:rPr>
            </w:pPr>
            <w:r>
              <w:rPr>
                <w:iCs/>
              </w:rPr>
              <w:t>Zvracení</w:t>
            </w:r>
            <w:r w:rsidR="007219A6" w:rsidRPr="004C45A4">
              <w:rPr>
                <w:iCs/>
                <w:vertAlign w:val="superscript"/>
              </w:rPr>
              <w:t>a</w:t>
            </w:r>
            <w:r w:rsidR="007219A6" w:rsidRPr="004C45A4">
              <w:rPr>
                <w:iCs/>
              </w:rPr>
              <w:t xml:space="preserve">, </w:t>
            </w:r>
            <w:r>
              <w:rPr>
                <w:iCs/>
              </w:rPr>
              <w:t>průjem</w:t>
            </w:r>
            <w:r w:rsidR="007219A6" w:rsidRPr="004C45A4">
              <w:rPr>
                <w:iCs/>
                <w:vertAlign w:val="superscript"/>
              </w:rPr>
              <w:t>a</w:t>
            </w:r>
          </w:p>
        </w:tc>
      </w:tr>
      <w:tr w:rsidR="007219A6" w14:paraId="48ACE2FA" w14:textId="77777777" w:rsidTr="009C2E37">
        <w:tc>
          <w:tcPr>
            <w:tcW w:w="1957" w:type="pct"/>
          </w:tcPr>
          <w:p w14:paraId="1B087441" w14:textId="77777777" w:rsidR="007219A6" w:rsidRPr="00B41D57" w:rsidRDefault="007219A6" w:rsidP="007219A6">
            <w:pPr>
              <w:spacing w:before="60" w:after="60"/>
              <w:rPr>
                <w:szCs w:val="22"/>
              </w:rPr>
            </w:pPr>
            <w:r w:rsidRPr="00B41D57">
              <w:t>Velmi vzácné</w:t>
            </w:r>
          </w:p>
          <w:p w14:paraId="7EA84AF6" w14:textId="62BA4F0E" w:rsidR="007219A6" w:rsidRPr="006369C1" w:rsidRDefault="007219A6" w:rsidP="007219A6">
            <w:pPr>
              <w:spacing w:before="60" w:after="60"/>
              <w:rPr>
                <w:szCs w:val="22"/>
                <w:highlight w:val="yellow"/>
              </w:rPr>
            </w:pPr>
            <w:r w:rsidRPr="001B7B38">
              <w:t>(&lt;1 zvíře</w:t>
            </w:r>
            <w:r w:rsidRPr="00B41D57">
              <w:t xml:space="preserve"> / 10 000 ošetřených zvířat, včetně ojedinělých hlášení):</w:t>
            </w:r>
          </w:p>
        </w:tc>
        <w:tc>
          <w:tcPr>
            <w:tcW w:w="3043" w:type="pct"/>
            <w:hideMark/>
          </w:tcPr>
          <w:p w14:paraId="1950B7EE" w14:textId="0F608DB2" w:rsidR="007219A6" w:rsidRPr="00024552" w:rsidRDefault="001D3ADF" w:rsidP="009C2E37">
            <w:pPr>
              <w:spacing w:before="60" w:after="60"/>
              <w:rPr>
                <w:iCs/>
                <w:vertAlign w:val="superscript"/>
              </w:rPr>
            </w:pPr>
            <w:r>
              <w:rPr>
                <w:iCs/>
              </w:rPr>
              <w:t>Porucha</w:t>
            </w:r>
            <w:r w:rsidR="007219A6" w:rsidRPr="007034BC">
              <w:rPr>
                <w:iCs/>
              </w:rPr>
              <w:t xml:space="preserve"> </w:t>
            </w:r>
            <w:r>
              <w:rPr>
                <w:iCs/>
              </w:rPr>
              <w:t>endokrinního systému</w:t>
            </w:r>
            <w:r w:rsidR="007219A6" w:rsidRPr="007034BC">
              <w:rPr>
                <w:iCs/>
              </w:rPr>
              <w:t xml:space="preserve"> </w:t>
            </w:r>
            <w:r w:rsidR="007219A6">
              <w:rPr>
                <w:iCs/>
              </w:rPr>
              <w:t>(a</w:t>
            </w:r>
            <w:r w:rsidR="007219A6" w:rsidRPr="004C45A4">
              <w:rPr>
                <w:iCs/>
              </w:rPr>
              <w:t>nti</w:t>
            </w:r>
            <w:r>
              <w:rPr>
                <w:iCs/>
              </w:rPr>
              <w:t>androgenní</w:t>
            </w:r>
            <w:r w:rsidR="007219A6" w:rsidRPr="004C45A4">
              <w:rPr>
                <w:iCs/>
              </w:rPr>
              <w:t xml:space="preserve"> </w:t>
            </w:r>
            <w:proofErr w:type="gramStart"/>
            <w:r>
              <w:rPr>
                <w:iCs/>
              </w:rPr>
              <w:t>účinek</w:t>
            </w:r>
            <w:r w:rsidR="007219A6" w:rsidRPr="004C45A4">
              <w:rPr>
                <w:iCs/>
                <w:vertAlign w:val="superscript"/>
              </w:rPr>
              <w:t>b,c</w:t>
            </w:r>
            <w:proofErr w:type="gramEnd"/>
            <w:r w:rsidR="007219A6">
              <w:rPr>
                <w:iCs/>
              </w:rPr>
              <w:t>, a</w:t>
            </w:r>
            <w:r w:rsidR="007219A6" w:rsidRPr="004C45A4">
              <w:rPr>
                <w:iCs/>
              </w:rPr>
              <w:t>nti</w:t>
            </w:r>
            <w:r>
              <w:rPr>
                <w:iCs/>
              </w:rPr>
              <w:t>glukokortikoidní</w:t>
            </w:r>
            <w:r w:rsidR="007219A6" w:rsidRPr="004C45A4">
              <w:rPr>
                <w:iCs/>
              </w:rPr>
              <w:t xml:space="preserve"> </w:t>
            </w:r>
            <w:r>
              <w:rPr>
                <w:iCs/>
              </w:rPr>
              <w:t>účinek</w:t>
            </w:r>
            <w:r w:rsidR="007219A6" w:rsidRPr="004C45A4">
              <w:rPr>
                <w:iCs/>
                <w:vertAlign w:val="superscript"/>
              </w:rPr>
              <w:t>b</w:t>
            </w:r>
            <w:r w:rsidR="007219A6">
              <w:rPr>
                <w:iCs/>
                <w:szCs w:val="22"/>
              </w:rPr>
              <w:t>)</w:t>
            </w:r>
          </w:p>
        </w:tc>
      </w:tr>
    </w:tbl>
    <w:bookmarkEnd w:id="0"/>
    <w:p w14:paraId="0EEAB616" w14:textId="5263B95E" w:rsidR="007219A6" w:rsidRPr="00584AB2" w:rsidRDefault="007219A6" w:rsidP="007219A6">
      <w:pPr>
        <w:spacing w:before="80"/>
        <w:rPr>
          <w:szCs w:val="22"/>
        </w:rPr>
      </w:pPr>
      <w:r w:rsidRPr="00584AB2">
        <w:rPr>
          <w:szCs w:val="22"/>
          <w:vertAlign w:val="superscript"/>
        </w:rPr>
        <w:t>a</w:t>
      </w:r>
      <w:r w:rsidRPr="00584AB2">
        <w:rPr>
          <w:szCs w:val="22"/>
        </w:rPr>
        <w:t xml:space="preserve"> </w:t>
      </w:r>
      <w:r w:rsidR="001D3ADF">
        <w:rPr>
          <w:szCs w:val="22"/>
        </w:rPr>
        <w:t>Mohou být pozorovány při doporučených dávkách</w:t>
      </w:r>
      <w:r w:rsidRPr="00584AB2">
        <w:rPr>
          <w:szCs w:val="22"/>
        </w:rPr>
        <w:t>.</w:t>
      </w:r>
    </w:p>
    <w:p w14:paraId="5D5810A7" w14:textId="446AF73A" w:rsidR="007219A6" w:rsidRPr="00584AB2" w:rsidRDefault="007219A6" w:rsidP="007219A6">
      <w:pPr>
        <w:spacing w:before="80"/>
        <w:jc w:val="both"/>
        <w:rPr>
          <w:iCs/>
          <w:szCs w:val="22"/>
        </w:rPr>
      </w:pPr>
      <w:r w:rsidRPr="00584AB2">
        <w:rPr>
          <w:szCs w:val="22"/>
          <w:vertAlign w:val="superscript"/>
        </w:rPr>
        <w:lastRenderedPageBreak/>
        <w:t>b</w:t>
      </w:r>
      <w:r w:rsidR="001D3ADF">
        <w:rPr>
          <w:szCs w:val="22"/>
          <w:vertAlign w:val="superscript"/>
        </w:rPr>
        <w:t xml:space="preserve"> </w:t>
      </w:r>
      <w:r w:rsidR="001D3ADF">
        <w:rPr>
          <w:szCs w:val="22"/>
        </w:rPr>
        <w:t>Přechodné</w:t>
      </w:r>
      <w:r w:rsidRPr="00584AB2">
        <w:rPr>
          <w:iCs/>
          <w:szCs w:val="22"/>
        </w:rPr>
        <w:t xml:space="preserve">. </w:t>
      </w:r>
      <w:r w:rsidR="001D3ADF">
        <w:rPr>
          <w:iCs/>
          <w:szCs w:val="22"/>
        </w:rPr>
        <w:t>Ketokonazol</w:t>
      </w:r>
      <w:r w:rsidRPr="00584AB2">
        <w:rPr>
          <w:iCs/>
          <w:szCs w:val="22"/>
        </w:rPr>
        <w:t xml:space="preserve"> </w:t>
      </w:r>
      <w:r w:rsidR="001D3ADF" w:rsidRPr="00080926">
        <w:rPr>
          <w:szCs w:val="22"/>
        </w:rPr>
        <w:t>inhibuje přeměnu cholesterolu na steroidní hormony</w:t>
      </w:r>
      <w:r w:rsidR="001D3ADF">
        <w:rPr>
          <w:szCs w:val="22"/>
        </w:rPr>
        <w:t>,</w:t>
      </w:r>
      <w:r w:rsidR="001D3ADF" w:rsidRPr="00080926">
        <w:rPr>
          <w:szCs w:val="22"/>
        </w:rPr>
        <w:t xml:space="preserve"> jako je testosteron a</w:t>
      </w:r>
      <w:r w:rsidR="001D3ADF">
        <w:rPr>
          <w:szCs w:val="22"/>
        </w:rPr>
        <w:t> </w:t>
      </w:r>
      <w:r w:rsidR="001D3ADF" w:rsidRPr="00080926">
        <w:rPr>
          <w:szCs w:val="22"/>
        </w:rPr>
        <w:t>kortisol, a</w:t>
      </w:r>
      <w:r w:rsidR="001D3ADF">
        <w:rPr>
          <w:szCs w:val="22"/>
        </w:rPr>
        <w:t> </w:t>
      </w:r>
      <w:r w:rsidR="001D3ADF" w:rsidRPr="00080926">
        <w:rPr>
          <w:szCs w:val="22"/>
        </w:rPr>
        <w:t>to v závislosti na dávce a době působení</w:t>
      </w:r>
      <w:r w:rsidRPr="00584AB2">
        <w:rPr>
          <w:iCs/>
          <w:szCs w:val="22"/>
        </w:rPr>
        <w:t>.</w:t>
      </w:r>
    </w:p>
    <w:p w14:paraId="1683CC62" w14:textId="0E81E3A3" w:rsidR="007219A6" w:rsidRPr="00494DEE" w:rsidRDefault="007219A6" w:rsidP="007219A6">
      <w:pPr>
        <w:tabs>
          <w:tab w:val="clear" w:pos="567"/>
        </w:tabs>
        <w:spacing w:line="240" w:lineRule="auto"/>
        <w:rPr>
          <w:szCs w:val="22"/>
          <w:u w:val="single"/>
        </w:rPr>
      </w:pPr>
      <w:bookmarkStart w:id="1" w:name="_Hlk164176784"/>
      <w:r w:rsidRPr="00584AB2">
        <w:rPr>
          <w:iCs/>
          <w:szCs w:val="22"/>
          <w:vertAlign w:val="superscript"/>
        </w:rPr>
        <w:t>c</w:t>
      </w:r>
      <w:bookmarkStart w:id="2" w:name="_Hlk164176793"/>
      <w:r w:rsidRPr="00584AB2">
        <w:rPr>
          <w:iCs/>
          <w:szCs w:val="22"/>
        </w:rPr>
        <w:t xml:space="preserve"> </w:t>
      </w:r>
      <w:r w:rsidR="001D3ADF" w:rsidRPr="00080926">
        <w:rPr>
          <w:szCs w:val="22"/>
        </w:rPr>
        <w:t xml:space="preserve">Viz rovněž bod </w:t>
      </w:r>
      <w:r w:rsidR="001D3ADF" w:rsidRPr="00DD1A4B">
        <w:rPr>
          <w:i/>
          <w:iCs/>
          <w:szCs w:val="22"/>
        </w:rPr>
        <w:t>Zvláštní opatření pro bezpečné použití u</w:t>
      </w:r>
      <w:r w:rsidR="001D3ADF">
        <w:rPr>
          <w:i/>
          <w:iCs/>
          <w:szCs w:val="22"/>
        </w:rPr>
        <w:t> </w:t>
      </w:r>
      <w:r w:rsidR="001D3ADF" w:rsidRPr="00DD1A4B">
        <w:rPr>
          <w:i/>
          <w:iCs/>
          <w:szCs w:val="22"/>
        </w:rPr>
        <w:t>cílových druhů zvířat</w:t>
      </w:r>
      <w:r w:rsidR="001D3ADF" w:rsidRPr="001D3ADF">
        <w:rPr>
          <w:szCs w:val="22"/>
        </w:rPr>
        <w:t>,</w:t>
      </w:r>
      <w:r w:rsidRPr="00DD1A4B">
        <w:rPr>
          <w:szCs w:val="22"/>
        </w:rPr>
        <w:t xml:space="preserve"> </w:t>
      </w:r>
      <w:r w:rsidR="001D3ADF" w:rsidRPr="00080926">
        <w:rPr>
          <w:szCs w:val="22"/>
        </w:rPr>
        <w:t>kde jsou popisovány účinky na reprodukční schopnost u</w:t>
      </w:r>
      <w:r w:rsidR="001D3ADF">
        <w:rPr>
          <w:szCs w:val="22"/>
        </w:rPr>
        <w:t> </w:t>
      </w:r>
      <w:r w:rsidR="001D3ADF" w:rsidRPr="00080926">
        <w:rPr>
          <w:szCs w:val="22"/>
        </w:rPr>
        <w:t>chovných psů</w:t>
      </w:r>
      <w:r w:rsidRPr="00584AB2">
        <w:rPr>
          <w:iCs/>
          <w:szCs w:val="22"/>
        </w:rPr>
        <w:t>.</w:t>
      </w:r>
      <w:bookmarkEnd w:id="2"/>
    </w:p>
    <w:bookmarkEnd w:id="1"/>
    <w:p w14:paraId="6871F765" w14:textId="77777777" w:rsidR="00247A48" w:rsidRDefault="00247A48" w:rsidP="00AD0710">
      <w:pPr>
        <w:tabs>
          <w:tab w:val="clear" w:pos="567"/>
        </w:tabs>
        <w:spacing w:line="240" w:lineRule="auto"/>
        <w:rPr>
          <w:szCs w:val="22"/>
        </w:rPr>
      </w:pPr>
    </w:p>
    <w:p w14:paraId="608C7F0D" w14:textId="659FFDC2" w:rsidR="007219A6" w:rsidRDefault="007219A6" w:rsidP="00AD0710">
      <w:pPr>
        <w:tabs>
          <w:tab w:val="clear" w:pos="567"/>
        </w:tabs>
        <w:spacing w:line="240" w:lineRule="auto"/>
      </w:pPr>
      <w:r w:rsidRPr="00B41D57">
        <w:t>Hlášení nežádoucích účinků je důležité. Umožňuje nepřetržité sledování bezpečnosti veterinárního léčivého přípravku. Hlášení je třeba zaslat, pokud možno, prostřednictvím veterinárního lékaře, buď držiteli rozhodnutí o registraci</w:t>
      </w:r>
      <w:r>
        <w:t>,</w:t>
      </w:r>
      <w:r w:rsidR="00DD1A4B">
        <w:t xml:space="preserve"> </w:t>
      </w:r>
      <w:r w:rsidRPr="00B41D57">
        <w:t>nebo jeho místnímu zástupci, nebo příslušnému vnitrostátnímu orgánu prostřednictvím národního systému hlášení. Podrobné kontaktní údaje naleznete v</w:t>
      </w:r>
      <w:r>
        <w:t> </w:t>
      </w:r>
      <w:r w:rsidRPr="00B41D57">
        <w:t>příbalové informac</w:t>
      </w:r>
      <w:r>
        <w:t>i</w:t>
      </w:r>
      <w:r w:rsidRPr="00B41D57">
        <w:t>.</w:t>
      </w:r>
    </w:p>
    <w:p w14:paraId="6EE6A513" w14:textId="77777777" w:rsidR="007219A6" w:rsidRPr="00080926" w:rsidRDefault="007219A6" w:rsidP="00AD0710">
      <w:pPr>
        <w:tabs>
          <w:tab w:val="clear" w:pos="567"/>
        </w:tabs>
        <w:spacing w:line="240" w:lineRule="auto"/>
        <w:rPr>
          <w:szCs w:val="22"/>
        </w:rPr>
      </w:pPr>
    </w:p>
    <w:p w14:paraId="772CD533" w14:textId="77777777" w:rsidR="00C114FF" w:rsidRPr="00080926" w:rsidRDefault="00C605FD" w:rsidP="00B13B6D">
      <w:pPr>
        <w:pStyle w:val="Style1"/>
      </w:pPr>
      <w:r w:rsidRPr="00080926">
        <w:t>3.7</w:t>
      </w:r>
      <w:r w:rsidRPr="00080926">
        <w:tab/>
        <w:t>Použití v průběhu březosti, laktace nebo snášky</w:t>
      </w:r>
    </w:p>
    <w:p w14:paraId="0DFBFADE" w14:textId="77777777" w:rsidR="00C114FF" w:rsidRDefault="00C114FF" w:rsidP="00145C3F">
      <w:pPr>
        <w:tabs>
          <w:tab w:val="clear" w:pos="567"/>
        </w:tabs>
        <w:spacing w:line="240" w:lineRule="auto"/>
        <w:rPr>
          <w:szCs w:val="22"/>
        </w:rPr>
      </w:pPr>
    </w:p>
    <w:p w14:paraId="5DB8E990" w14:textId="545B63A8" w:rsidR="007219A6" w:rsidRDefault="007219A6" w:rsidP="00145C3F">
      <w:pPr>
        <w:tabs>
          <w:tab w:val="clear" w:pos="567"/>
        </w:tabs>
        <w:spacing w:line="240" w:lineRule="auto"/>
      </w:pPr>
      <w:r w:rsidRPr="00B41D57">
        <w:t>Nebyla stanovena bezpečnost veterinárního léčivého přípravku pro použití během březosti</w:t>
      </w:r>
      <w:r>
        <w:t xml:space="preserve"> nebo </w:t>
      </w:r>
      <w:r w:rsidRPr="00B41D57">
        <w:t>laktace</w:t>
      </w:r>
      <w:r>
        <w:t>.</w:t>
      </w:r>
    </w:p>
    <w:p w14:paraId="02BEEFB5" w14:textId="77777777" w:rsidR="007219A6" w:rsidRPr="00080926" w:rsidRDefault="007219A6" w:rsidP="00145C3F">
      <w:pPr>
        <w:tabs>
          <w:tab w:val="clear" w:pos="567"/>
        </w:tabs>
        <w:spacing w:line="240" w:lineRule="auto"/>
        <w:rPr>
          <w:szCs w:val="22"/>
        </w:rPr>
      </w:pPr>
    </w:p>
    <w:p w14:paraId="43E1F227" w14:textId="77777777" w:rsidR="00D72375" w:rsidRPr="00080926" w:rsidRDefault="00C605FD" w:rsidP="00E74050">
      <w:pPr>
        <w:tabs>
          <w:tab w:val="clear" w:pos="567"/>
        </w:tabs>
        <w:spacing w:line="240" w:lineRule="auto"/>
      </w:pPr>
      <w:r w:rsidRPr="00080926">
        <w:rPr>
          <w:u w:val="single"/>
        </w:rPr>
        <w:t>Březost</w:t>
      </w:r>
      <w:r w:rsidRPr="00080926">
        <w:t>:</w:t>
      </w:r>
    </w:p>
    <w:p w14:paraId="1F92A36B" w14:textId="383BF38F" w:rsidR="007219A6" w:rsidRDefault="00AA2A27" w:rsidP="00D72375">
      <w:pPr>
        <w:widowControl w:val="0"/>
        <w:tabs>
          <w:tab w:val="left" w:pos="-6237"/>
          <w:tab w:val="left" w:pos="0"/>
        </w:tabs>
        <w:spacing w:line="240" w:lineRule="auto"/>
        <w:jc w:val="both"/>
      </w:pPr>
      <w:r>
        <w:t>Nedoporučuje se p</w:t>
      </w:r>
      <w:r w:rsidR="007219A6" w:rsidRPr="00B41D57">
        <w:t>oužití během březosti</w:t>
      </w:r>
      <w:r w:rsidR="007219A6">
        <w:t>.</w:t>
      </w:r>
    </w:p>
    <w:p w14:paraId="7837D4EC" w14:textId="2AE48C86" w:rsidR="00D72375" w:rsidRPr="00080926" w:rsidRDefault="00D72375" w:rsidP="00D72375">
      <w:pPr>
        <w:widowControl w:val="0"/>
        <w:tabs>
          <w:tab w:val="left" w:pos="-6237"/>
          <w:tab w:val="left" w:pos="0"/>
        </w:tabs>
        <w:spacing w:line="240" w:lineRule="auto"/>
        <w:jc w:val="both"/>
      </w:pPr>
      <w:r w:rsidRPr="00080926">
        <w:t>Studie u laboratorních zvířat prokázaly teratogenní a embryotoxické účinky.</w:t>
      </w:r>
    </w:p>
    <w:p w14:paraId="45A16993" w14:textId="77777777" w:rsidR="00C114FF" w:rsidRPr="00080926" w:rsidRDefault="00C114FF" w:rsidP="00A9226B">
      <w:pPr>
        <w:tabs>
          <w:tab w:val="clear" w:pos="567"/>
        </w:tabs>
        <w:spacing w:line="240" w:lineRule="auto"/>
        <w:rPr>
          <w:szCs w:val="22"/>
        </w:rPr>
      </w:pPr>
    </w:p>
    <w:p w14:paraId="5C5C1959" w14:textId="77777777" w:rsidR="00C114FF" w:rsidRPr="00080926" w:rsidRDefault="00C605FD" w:rsidP="00B13B6D">
      <w:pPr>
        <w:pStyle w:val="Style1"/>
      </w:pPr>
      <w:r w:rsidRPr="00080926">
        <w:t>3.8</w:t>
      </w:r>
      <w:r w:rsidRPr="00080926">
        <w:tab/>
        <w:t>Interakce s jinými léčivými přípravky a další formy interakce</w:t>
      </w:r>
    </w:p>
    <w:p w14:paraId="54454937" w14:textId="77777777" w:rsidR="00C114FF" w:rsidRPr="00080926" w:rsidRDefault="00C114FF" w:rsidP="00145C3F">
      <w:pPr>
        <w:tabs>
          <w:tab w:val="clear" w:pos="567"/>
        </w:tabs>
        <w:spacing w:line="240" w:lineRule="auto"/>
        <w:rPr>
          <w:szCs w:val="22"/>
        </w:rPr>
      </w:pPr>
    </w:p>
    <w:p w14:paraId="62268C80" w14:textId="77777777" w:rsidR="00D72375" w:rsidRPr="00080926" w:rsidRDefault="00D72375" w:rsidP="00D72375">
      <w:pPr>
        <w:widowControl w:val="0"/>
        <w:tabs>
          <w:tab w:val="left" w:pos="0"/>
        </w:tabs>
        <w:spacing w:line="240" w:lineRule="auto"/>
        <w:jc w:val="both"/>
        <w:rPr>
          <w:rFonts w:cs="Arial"/>
        </w:rPr>
      </w:pPr>
      <w:r w:rsidRPr="00080926">
        <w:rPr>
          <w:szCs w:val="22"/>
        </w:rPr>
        <w:t xml:space="preserve">Nepodávejte společně s antacidy nebo antagonisty </w:t>
      </w:r>
      <w:r w:rsidRPr="00080926">
        <w:rPr>
          <w:rFonts w:cs="Arial"/>
          <w:szCs w:val="22"/>
          <w:shd w:val="clear" w:color="auto" w:fill="FFFFFF"/>
        </w:rPr>
        <w:t>H2-receptorů (</w:t>
      </w:r>
      <w:proofErr w:type="spellStart"/>
      <w:r w:rsidRPr="00080926">
        <w:rPr>
          <w:rFonts w:cs="Arial"/>
          <w:szCs w:val="22"/>
          <w:shd w:val="clear" w:color="auto" w:fill="FFFFFF"/>
        </w:rPr>
        <w:t>cimetidin</w:t>
      </w:r>
      <w:proofErr w:type="spellEnd"/>
      <w:r w:rsidRPr="00080926">
        <w:rPr>
          <w:rFonts w:cs="Arial"/>
          <w:szCs w:val="22"/>
          <w:shd w:val="clear" w:color="auto" w:fill="FFFFFF"/>
        </w:rPr>
        <w:t>/</w:t>
      </w:r>
      <w:proofErr w:type="spellStart"/>
      <w:r w:rsidRPr="00080926">
        <w:rPr>
          <w:rFonts w:cs="Arial"/>
          <w:szCs w:val="22"/>
          <w:shd w:val="clear" w:color="auto" w:fill="FFFFFF"/>
        </w:rPr>
        <w:t>ranitidin</w:t>
      </w:r>
      <w:proofErr w:type="spellEnd"/>
      <w:r w:rsidRPr="00080926">
        <w:rPr>
          <w:rFonts w:cs="Arial"/>
          <w:szCs w:val="22"/>
          <w:shd w:val="clear" w:color="auto" w:fill="FFFFFF"/>
        </w:rPr>
        <w:t>) ani s inhibitory protonové pumpy (např. omeprazol), protože může dojít ke změnám v absorpci ketokonazolu (absorpce vyžaduje kyselé prostředí).</w:t>
      </w:r>
    </w:p>
    <w:p w14:paraId="7BE904AB" w14:textId="77777777" w:rsidR="00D72375" w:rsidRPr="00080926" w:rsidRDefault="00D72375" w:rsidP="00D72375">
      <w:pPr>
        <w:widowControl w:val="0"/>
        <w:tabs>
          <w:tab w:val="left" w:pos="0"/>
        </w:tabs>
        <w:spacing w:line="240" w:lineRule="auto"/>
        <w:jc w:val="both"/>
        <w:rPr>
          <w:rFonts w:cs="Arial"/>
        </w:rPr>
      </w:pPr>
    </w:p>
    <w:p w14:paraId="35650783" w14:textId="77777777" w:rsidR="00D72375" w:rsidRPr="00080926" w:rsidRDefault="00D72375" w:rsidP="00D72375">
      <w:pPr>
        <w:tabs>
          <w:tab w:val="left" w:pos="0"/>
        </w:tabs>
        <w:spacing w:line="240" w:lineRule="auto"/>
        <w:jc w:val="both"/>
        <w:rPr>
          <w:szCs w:val="22"/>
        </w:rPr>
      </w:pPr>
      <w:r w:rsidRPr="00080926">
        <w:rPr>
          <w:szCs w:val="22"/>
        </w:rPr>
        <w:t>Ketokonazol je substrát a silný inhibitor cytochromu P-450 3A4 (CYP3A4). Může snižovat vylučování léčiv metabolizovaných CYP3A4, a tím měnit jejich koncentraci v plazmě. To může mít za následek zvýšení plazmatické koncentrace např. cyklosporinu, makrocyklických laktonů (ivermektin, selamektin, milbemycin), midazolamu, cisapridu, blokátorů kalciových kanálů, fentanylu, digoxinu, makrolidů, methylprednisolonu nebo kumarinových antikoagulancií. Zvýšení plazmatické koncentrace výše uvedených léčiv může prodloužit trvání účinků nebo nežádoucích účinků.</w:t>
      </w:r>
    </w:p>
    <w:p w14:paraId="7FDDFBEF" w14:textId="77777777" w:rsidR="00D72375" w:rsidRPr="00080926" w:rsidRDefault="00D72375" w:rsidP="00D72375">
      <w:pPr>
        <w:tabs>
          <w:tab w:val="left" w:pos="0"/>
        </w:tabs>
        <w:spacing w:line="240" w:lineRule="auto"/>
        <w:jc w:val="both"/>
        <w:rPr>
          <w:szCs w:val="22"/>
        </w:rPr>
      </w:pPr>
      <w:r w:rsidRPr="00080926">
        <w:rPr>
          <w:szCs w:val="22"/>
        </w:rPr>
        <w:t>Induktory cytochromu P450 ale mohou zároveň zvyšovat rychlost metabolismu ketokonazolu. Např. barbituráty nebo fenytoin mohou zvyšovat rychlost metabolismu ketokonazolu, což má za následek nižší biologickou dostupnost, a tudíž i sníženou účinnost.</w:t>
      </w:r>
    </w:p>
    <w:p w14:paraId="02170DBE" w14:textId="77777777" w:rsidR="00D72375" w:rsidRPr="00080926" w:rsidRDefault="00D72375" w:rsidP="00D72375">
      <w:pPr>
        <w:tabs>
          <w:tab w:val="left" w:pos="0"/>
        </w:tabs>
        <w:spacing w:line="240" w:lineRule="auto"/>
        <w:jc w:val="both"/>
        <w:rPr>
          <w:szCs w:val="22"/>
        </w:rPr>
      </w:pPr>
      <w:r w:rsidRPr="00080926">
        <w:rPr>
          <w:szCs w:val="22"/>
        </w:rPr>
        <w:t>Ketokonazol může snižovat koncentraci teofylinu v séru.</w:t>
      </w:r>
    </w:p>
    <w:p w14:paraId="4976E6B3" w14:textId="47ED4071" w:rsidR="00D72375" w:rsidRPr="00080926" w:rsidRDefault="00D72375" w:rsidP="00D72375">
      <w:pPr>
        <w:widowControl w:val="0"/>
        <w:tabs>
          <w:tab w:val="left" w:pos="0"/>
        </w:tabs>
        <w:spacing w:line="240" w:lineRule="auto"/>
        <w:jc w:val="both"/>
        <w:rPr>
          <w:szCs w:val="22"/>
        </w:rPr>
      </w:pPr>
      <w:r w:rsidRPr="00080926">
        <w:rPr>
          <w:szCs w:val="22"/>
        </w:rPr>
        <w:t xml:space="preserve">Ketokonazol inhibuje přeměnu cholesterolu na kortizol, a může tak ovlivňovat dávkování </w:t>
      </w:r>
      <w:proofErr w:type="spellStart"/>
      <w:r w:rsidRPr="00080926">
        <w:rPr>
          <w:szCs w:val="22"/>
        </w:rPr>
        <w:t>trilostanu</w:t>
      </w:r>
      <w:proofErr w:type="spellEnd"/>
      <w:r w:rsidRPr="00080926">
        <w:rPr>
          <w:szCs w:val="22"/>
        </w:rPr>
        <w:t>/</w:t>
      </w:r>
      <w:proofErr w:type="spellStart"/>
      <w:r w:rsidRPr="00080926">
        <w:rPr>
          <w:szCs w:val="22"/>
        </w:rPr>
        <w:t>mitotanu</w:t>
      </w:r>
      <w:proofErr w:type="spellEnd"/>
      <w:r w:rsidRPr="00080926">
        <w:rPr>
          <w:szCs w:val="22"/>
        </w:rPr>
        <w:t xml:space="preserve"> u psů </w:t>
      </w:r>
      <w:r w:rsidR="005452FD">
        <w:rPr>
          <w:szCs w:val="22"/>
        </w:rPr>
        <w:t xml:space="preserve">současně </w:t>
      </w:r>
      <w:r w:rsidR="005452FD" w:rsidRPr="00E724BB">
        <w:rPr>
          <w:szCs w:val="22"/>
        </w:rPr>
        <w:t>léčených s</w:t>
      </w:r>
      <w:r w:rsidR="005452FD">
        <w:rPr>
          <w:szCs w:val="22"/>
        </w:rPr>
        <w:t> </w:t>
      </w:r>
      <w:proofErr w:type="spellStart"/>
      <w:proofErr w:type="gramStart"/>
      <w:r w:rsidR="005452FD" w:rsidRPr="00E724BB">
        <w:rPr>
          <w:szCs w:val="22"/>
        </w:rPr>
        <w:t>hyperadrenokorticismem</w:t>
      </w:r>
      <w:proofErr w:type="spellEnd"/>
      <w:r w:rsidR="005452FD">
        <w:rPr>
          <w:szCs w:val="22"/>
        </w:rPr>
        <w:t xml:space="preserve"> </w:t>
      </w:r>
      <w:r w:rsidRPr="00080926">
        <w:rPr>
          <w:szCs w:val="22"/>
        </w:rPr>
        <w:t>.</w:t>
      </w:r>
      <w:proofErr w:type="gramEnd"/>
    </w:p>
    <w:p w14:paraId="717D2F1A" w14:textId="77777777" w:rsidR="00D72375" w:rsidRPr="00080926" w:rsidRDefault="00D72375" w:rsidP="00D72375">
      <w:pPr>
        <w:widowControl w:val="0"/>
        <w:tabs>
          <w:tab w:val="left" w:pos="0"/>
        </w:tabs>
        <w:spacing w:line="240" w:lineRule="auto"/>
        <w:jc w:val="both"/>
        <w:rPr>
          <w:rFonts w:cs="Arial"/>
          <w:szCs w:val="22"/>
          <w:shd w:val="clear" w:color="auto" w:fill="FFFFFF"/>
        </w:rPr>
      </w:pPr>
    </w:p>
    <w:p w14:paraId="6A84F3A0" w14:textId="6AD8A764" w:rsidR="00D72375" w:rsidRPr="00080926" w:rsidRDefault="00D72375" w:rsidP="00D72375">
      <w:pPr>
        <w:widowControl w:val="0"/>
        <w:tabs>
          <w:tab w:val="left" w:pos="-6237"/>
          <w:tab w:val="left" w:pos="0"/>
        </w:tabs>
        <w:spacing w:line="240" w:lineRule="auto"/>
        <w:jc w:val="both"/>
        <w:rPr>
          <w:szCs w:val="22"/>
          <w:shd w:val="clear" w:color="auto" w:fill="FFFFFF"/>
        </w:rPr>
      </w:pPr>
      <w:r w:rsidRPr="00080926">
        <w:rPr>
          <w:szCs w:val="22"/>
          <w:shd w:val="clear" w:color="auto" w:fill="FFFFFF"/>
        </w:rPr>
        <w:t xml:space="preserve">Není známo, do jaké míry jsou tyto interakce relevantní pro psy a kočky, ale vzhledem k nedostatku údajů je třeba se vyvarovat současného podávání </w:t>
      </w:r>
      <w:r w:rsidR="007219A6">
        <w:rPr>
          <w:szCs w:val="22"/>
          <w:shd w:val="clear" w:color="auto" w:fill="FFFFFF"/>
        </w:rPr>
        <w:t xml:space="preserve">veterinárního léčivého </w:t>
      </w:r>
      <w:r w:rsidRPr="00080926">
        <w:rPr>
          <w:szCs w:val="22"/>
          <w:shd w:val="clear" w:color="auto" w:fill="FFFFFF"/>
        </w:rPr>
        <w:t>přípravku a těchto léčiv.</w:t>
      </w:r>
    </w:p>
    <w:p w14:paraId="0B86F3A7" w14:textId="77777777" w:rsidR="00C90EDA" w:rsidRPr="00080926" w:rsidRDefault="00C90EDA" w:rsidP="00A9226B">
      <w:pPr>
        <w:tabs>
          <w:tab w:val="clear" w:pos="567"/>
        </w:tabs>
        <w:spacing w:line="240" w:lineRule="auto"/>
        <w:rPr>
          <w:szCs w:val="22"/>
        </w:rPr>
      </w:pPr>
    </w:p>
    <w:p w14:paraId="533DFD79" w14:textId="77777777" w:rsidR="00C114FF" w:rsidRPr="00080926" w:rsidRDefault="00C605FD" w:rsidP="00B13B6D">
      <w:pPr>
        <w:pStyle w:val="Style1"/>
      </w:pPr>
      <w:r w:rsidRPr="00080926">
        <w:t>3.9</w:t>
      </w:r>
      <w:r w:rsidRPr="00080926">
        <w:tab/>
        <w:t>Cesty podání a dávkování</w:t>
      </w:r>
    </w:p>
    <w:p w14:paraId="0C31E074" w14:textId="77777777" w:rsidR="00145D34" w:rsidRPr="00080926" w:rsidRDefault="00145D34" w:rsidP="00145C3F">
      <w:pPr>
        <w:tabs>
          <w:tab w:val="clear" w:pos="567"/>
        </w:tabs>
        <w:spacing w:line="240" w:lineRule="auto"/>
        <w:rPr>
          <w:szCs w:val="22"/>
        </w:rPr>
      </w:pPr>
    </w:p>
    <w:p w14:paraId="66EB5E5B" w14:textId="73CE072A" w:rsidR="00D72375" w:rsidRPr="00080926" w:rsidRDefault="001E633A" w:rsidP="00D72375">
      <w:pPr>
        <w:widowControl w:val="0"/>
        <w:tabs>
          <w:tab w:val="left" w:pos="0"/>
        </w:tabs>
        <w:spacing w:line="240" w:lineRule="auto"/>
        <w:jc w:val="both"/>
        <w:rPr>
          <w:szCs w:val="22"/>
        </w:rPr>
      </w:pPr>
      <w:r>
        <w:rPr>
          <w:szCs w:val="22"/>
        </w:rPr>
        <w:t>Perorální</w:t>
      </w:r>
      <w:r w:rsidR="00D72375" w:rsidRPr="00080926">
        <w:rPr>
          <w:szCs w:val="22"/>
        </w:rPr>
        <w:t xml:space="preserve"> podání.</w:t>
      </w:r>
    </w:p>
    <w:p w14:paraId="6E8FB4E1" w14:textId="77777777" w:rsidR="00D72375" w:rsidRPr="00080926" w:rsidRDefault="00D72375" w:rsidP="00D72375">
      <w:pPr>
        <w:widowControl w:val="0"/>
        <w:tabs>
          <w:tab w:val="left" w:pos="0"/>
        </w:tabs>
        <w:spacing w:line="240" w:lineRule="auto"/>
        <w:jc w:val="both"/>
        <w:rPr>
          <w:szCs w:val="22"/>
        </w:rPr>
      </w:pPr>
      <w:r w:rsidRPr="00080926">
        <w:rPr>
          <w:szCs w:val="22"/>
        </w:rPr>
        <w:t xml:space="preserve">10 mg ketokonazolu </w:t>
      </w:r>
      <w:proofErr w:type="gramStart"/>
      <w:r w:rsidRPr="00080926">
        <w:rPr>
          <w:szCs w:val="22"/>
        </w:rPr>
        <w:t>/  kg</w:t>
      </w:r>
      <w:proofErr w:type="gramEnd"/>
      <w:r w:rsidRPr="00080926">
        <w:rPr>
          <w:szCs w:val="22"/>
        </w:rPr>
        <w:t xml:space="preserve"> ž. hm. jednou denně, perorálně. To odpovídá jedné tabletě / 20 kg ž. hm. jednou denně.</w:t>
      </w:r>
    </w:p>
    <w:p w14:paraId="1A1B0431" w14:textId="48393343" w:rsidR="00D72375" w:rsidRPr="00080926" w:rsidRDefault="00D72375" w:rsidP="00D72375">
      <w:pPr>
        <w:widowControl w:val="0"/>
        <w:tabs>
          <w:tab w:val="left" w:pos="0"/>
        </w:tabs>
        <w:spacing w:line="240" w:lineRule="auto"/>
        <w:jc w:val="both"/>
        <w:rPr>
          <w:szCs w:val="22"/>
        </w:rPr>
      </w:pPr>
      <w:r w:rsidRPr="00080926">
        <w:rPr>
          <w:szCs w:val="22"/>
        </w:rPr>
        <w:t xml:space="preserve">Během léčby </w:t>
      </w:r>
      <w:r w:rsidR="007141FE">
        <w:rPr>
          <w:szCs w:val="22"/>
        </w:rPr>
        <w:t>je doporučeno</w:t>
      </w:r>
      <w:r w:rsidRPr="00080926">
        <w:rPr>
          <w:szCs w:val="22"/>
        </w:rPr>
        <w:t xml:space="preserve"> jednou měsíčně odebírat od léčeného zvířete vzorky </w:t>
      </w:r>
      <w:r w:rsidR="007141FE">
        <w:rPr>
          <w:szCs w:val="22"/>
        </w:rPr>
        <w:t>na</w:t>
      </w:r>
      <w:r w:rsidR="007141FE" w:rsidRPr="00080926">
        <w:rPr>
          <w:szCs w:val="22"/>
        </w:rPr>
        <w:t> </w:t>
      </w:r>
      <w:r w:rsidRPr="00080926">
        <w:rPr>
          <w:szCs w:val="22"/>
        </w:rPr>
        <w:t>m</w:t>
      </w:r>
      <w:r w:rsidR="001364CE">
        <w:rPr>
          <w:szCs w:val="22"/>
        </w:rPr>
        <w:t>ykologické</w:t>
      </w:r>
      <w:r w:rsidRPr="00080926">
        <w:rPr>
          <w:szCs w:val="22"/>
        </w:rPr>
        <w:t xml:space="preserve"> vyšetření a v případě dvou negativních kultivací ukončit podávání antimykotického přípravku. Pokud mykologické sledování není možné, léčba by měla pokračovat po dostatečně dlouhou dobu, aby se zajistilo mykologické vyléčení (tj. zajišťující nepřítomnost patogenu).</w:t>
      </w:r>
      <w:r w:rsidRPr="00080926">
        <w:rPr>
          <w:rFonts w:ascii="Arial" w:hAnsi="Arial" w:cs="Arial"/>
          <w:bCs/>
          <w:spacing w:val="5"/>
          <w:sz w:val="20"/>
          <w:lang w:eastAsia="fr-FR"/>
        </w:rPr>
        <w:t xml:space="preserve"> </w:t>
      </w:r>
      <w:r w:rsidRPr="00080926">
        <w:rPr>
          <w:bCs/>
          <w:spacing w:val="5"/>
          <w:szCs w:val="22"/>
          <w:lang w:eastAsia="fr-FR"/>
        </w:rPr>
        <w:t>Pokud léze přetrvávají i po 8 týdnech léčby, měl by ošetřující veterinární lékař léčbu přehodnotit.</w:t>
      </w:r>
      <w:r w:rsidRPr="00080926">
        <w:rPr>
          <w:bCs/>
          <w:szCs w:val="22"/>
        </w:rPr>
        <w:t xml:space="preserve"> </w:t>
      </w:r>
    </w:p>
    <w:p w14:paraId="197C875F" w14:textId="77777777" w:rsidR="00D72375" w:rsidRPr="00080926" w:rsidRDefault="00D72375" w:rsidP="00D72375">
      <w:pPr>
        <w:widowControl w:val="0"/>
        <w:tabs>
          <w:tab w:val="left" w:pos="0"/>
        </w:tabs>
        <w:spacing w:line="240" w:lineRule="auto"/>
        <w:jc w:val="both"/>
        <w:rPr>
          <w:szCs w:val="22"/>
        </w:rPr>
      </w:pPr>
      <w:r w:rsidRPr="00080926">
        <w:rPr>
          <w:szCs w:val="22"/>
        </w:rPr>
        <w:t xml:space="preserve">K zajištění maximální absorpce podávejte nejlépe společně s potravou. </w:t>
      </w:r>
    </w:p>
    <w:p w14:paraId="59620A7F" w14:textId="77777777" w:rsidR="00D72375" w:rsidRPr="00080926" w:rsidRDefault="00D72375" w:rsidP="00D72375">
      <w:pPr>
        <w:widowControl w:val="0"/>
        <w:tabs>
          <w:tab w:val="left" w:pos="0"/>
        </w:tabs>
        <w:autoSpaceDE w:val="0"/>
        <w:autoSpaceDN w:val="0"/>
        <w:spacing w:line="240" w:lineRule="auto"/>
        <w:jc w:val="both"/>
        <w:rPr>
          <w:szCs w:val="22"/>
          <w:lang w:eastAsia="nl-NL"/>
        </w:rPr>
      </w:pPr>
      <w:r w:rsidRPr="00080926">
        <w:rPr>
          <w:szCs w:val="22"/>
        </w:rPr>
        <w:t xml:space="preserve">K zajištění správného dávkování lze tablety dělit na poloviny nebo čtvrtiny. Položte tabletu na rovný povrch, stranou se čtvrtícím křížem nahoru a vypouklou (zakulacenou) stranou směrem k podkladu. </w:t>
      </w:r>
    </w:p>
    <w:p w14:paraId="213992D0" w14:textId="77777777" w:rsidR="00D72375" w:rsidRPr="00080926" w:rsidRDefault="00D72375" w:rsidP="00D72375">
      <w:pPr>
        <w:pStyle w:val="Odstavecseseznamem"/>
        <w:widowControl w:val="0"/>
        <w:tabs>
          <w:tab w:val="left" w:pos="0"/>
        </w:tabs>
        <w:spacing w:line="240" w:lineRule="auto"/>
        <w:ind w:left="0"/>
        <w:rPr>
          <w:rFonts w:ascii="Times New Roman" w:hAnsi="Times New Roman"/>
          <w:sz w:val="22"/>
          <w:szCs w:val="22"/>
          <w:lang w:val="cs-CZ"/>
        </w:rPr>
      </w:pPr>
      <w:r w:rsidRPr="00080926">
        <w:rPr>
          <w:rFonts w:ascii="Times New Roman" w:hAnsi="Times New Roman"/>
          <w:sz w:val="22"/>
          <w:szCs w:val="22"/>
          <w:lang w:val="cs-CZ"/>
        </w:rPr>
        <w:t xml:space="preserve">Dělení na poloviny: Špičkami palců zlehka zatlačte na obě strany tablety a rozlomte ji na poloviny. </w:t>
      </w:r>
    </w:p>
    <w:p w14:paraId="38C205E3" w14:textId="77777777" w:rsidR="00D72375" w:rsidRPr="00080926" w:rsidRDefault="00D72375" w:rsidP="00D72375">
      <w:pPr>
        <w:pStyle w:val="Odstavecseseznamem"/>
        <w:widowControl w:val="0"/>
        <w:tabs>
          <w:tab w:val="left" w:pos="0"/>
        </w:tabs>
        <w:spacing w:line="240" w:lineRule="auto"/>
        <w:ind w:left="0"/>
        <w:rPr>
          <w:rFonts w:ascii="Times New Roman" w:hAnsi="Times New Roman"/>
          <w:sz w:val="22"/>
          <w:szCs w:val="22"/>
          <w:lang w:val="cs-CZ"/>
        </w:rPr>
      </w:pPr>
      <w:r w:rsidRPr="00080926">
        <w:rPr>
          <w:rFonts w:ascii="Times New Roman" w:hAnsi="Times New Roman"/>
          <w:sz w:val="22"/>
          <w:szCs w:val="22"/>
          <w:lang w:val="cs-CZ"/>
        </w:rPr>
        <w:t xml:space="preserve">Dělení na čtvrtiny: Špičkou palce zlehka zatlačte na prostředek tablety a rozlomte ji na čtvrtiny. </w:t>
      </w:r>
    </w:p>
    <w:p w14:paraId="777C27A1" w14:textId="3628BF8F" w:rsidR="00D72375" w:rsidRPr="00080926" w:rsidRDefault="00D72375" w:rsidP="00D72375">
      <w:pPr>
        <w:widowControl w:val="0"/>
        <w:tabs>
          <w:tab w:val="left" w:pos="-6237"/>
          <w:tab w:val="left" w:pos="0"/>
        </w:tabs>
        <w:spacing w:line="240" w:lineRule="auto"/>
        <w:jc w:val="center"/>
        <w:rPr>
          <w:szCs w:val="22"/>
        </w:rPr>
      </w:pPr>
      <w:r w:rsidRPr="00080926">
        <w:rPr>
          <w:noProof/>
          <w:szCs w:val="22"/>
          <w:lang w:eastAsia="cs-CZ"/>
        </w:rPr>
        <w:lastRenderedPageBreak/>
        <w:drawing>
          <wp:inline distT="0" distB="0" distL="0" distR="0" wp14:anchorId="688C3C1F" wp14:editId="2F0A3890">
            <wp:extent cx="3211195" cy="2286000"/>
            <wp:effectExtent l="0" t="0" r="8255" b="0"/>
            <wp:docPr id="97661551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11195" cy="2286000"/>
                    </a:xfrm>
                    <a:prstGeom prst="rect">
                      <a:avLst/>
                    </a:prstGeom>
                    <a:noFill/>
                    <a:ln>
                      <a:noFill/>
                    </a:ln>
                  </pic:spPr>
                </pic:pic>
              </a:graphicData>
            </a:graphic>
          </wp:inline>
        </w:drawing>
      </w:r>
    </w:p>
    <w:p w14:paraId="13504C24" w14:textId="77777777" w:rsidR="00247A48" w:rsidRDefault="00247A48" w:rsidP="00A9226B">
      <w:pPr>
        <w:tabs>
          <w:tab w:val="clear" w:pos="567"/>
        </w:tabs>
        <w:spacing w:line="240" w:lineRule="auto"/>
        <w:rPr>
          <w:szCs w:val="22"/>
        </w:rPr>
      </w:pPr>
    </w:p>
    <w:p w14:paraId="079DCC30" w14:textId="280C82DB" w:rsidR="001E633A" w:rsidRDefault="001E633A" w:rsidP="00A9226B">
      <w:pPr>
        <w:tabs>
          <w:tab w:val="clear" w:pos="567"/>
        </w:tabs>
        <w:spacing w:line="240" w:lineRule="auto"/>
      </w:pPr>
      <w:r w:rsidRPr="00B41D57">
        <w:t>Pro zajištění správného dávkování je třeba co nejpřesněji stanovit živou hmotnost</w:t>
      </w:r>
      <w:r>
        <w:t>.</w:t>
      </w:r>
    </w:p>
    <w:p w14:paraId="3831D6F4" w14:textId="77777777" w:rsidR="001E633A" w:rsidRPr="00080926" w:rsidRDefault="001E633A" w:rsidP="00A9226B">
      <w:pPr>
        <w:tabs>
          <w:tab w:val="clear" w:pos="567"/>
        </w:tabs>
        <w:spacing w:line="240" w:lineRule="auto"/>
        <w:rPr>
          <w:szCs w:val="22"/>
        </w:rPr>
      </w:pPr>
    </w:p>
    <w:p w14:paraId="0A85AF50" w14:textId="30FE799A" w:rsidR="00C114FF" w:rsidRPr="00080926" w:rsidRDefault="00C605FD" w:rsidP="00B13B6D">
      <w:pPr>
        <w:pStyle w:val="Style1"/>
      </w:pPr>
      <w:r w:rsidRPr="00080926">
        <w:t>3.10</w:t>
      </w:r>
      <w:r w:rsidRPr="00080926">
        <w:tab/>
        <w:t xml:space="preserve">Příznaky předávkování </w:t>
      </w:r>
      <w:r w:rsidR="00EC5045" w:rsidRPr="00080926">
        <w:t>(</w:t>
      </w:r>
      <w:r w:rsidRPr="00080926">
        <w:t xml:space="preserve">a </w:t>
      </w:r>
      <w:r w:rsidR="00202A85" w:rsidRPr="00080926">
        <w:t>kde</w:t>
      </w:r>
      <w:r w:rsidR="005E66FC" w:rsidRPr="00080926">
        <w:t xml:space="preserve"> </w:t>
      </w:r>
      <w:r w:rsidR="00202A85" w:rsidRPr="00080926">
        <w:t>je</w:t>
      </w:r>
      <w:r w:rsidR="005E66FC" w:rsidRPr="00080926">
        <w:t xml:space="preserve"> </w:t>
      </w:r>
      <w:r w:rsidR="00FB6F2F" w:rsidRPr="00080926">
        <w:t>relevantní</w:t>
      </w:r>
      <w:r w:rsidR="00202A85" w:rsidRPr="00080926">
        <w:t>, první pomoc</w:t>
      </w:r>
      <w:r w:rsidRPr="00080926">
        <w:t xml:space="preserve"> a </w:t>
      </w:r>
      <w:proofErr w:type="spellStart"/>
      <w:r w:rsidRPr="00080926">
        <w:t>antidota</w:t>
      </w:r>
      <w:proofErr w:type="spellEnd"/>
      <w:r w:rsidR="00202A85" w:rsidRPr="00080926">
        <w:t>)</w:t>
      </w:r>
      <w:r w:rsidRPr="00080926">
        <w:t xml:space="preserve"> </w:t>
      </w:r>
    </w:p>
    <w:p w14:paraId="45A34650" w14:textId="77777777" w:rsidR="00C114FF" w:rsidRPr="00080926" w:rsidRDefault="00C114FF" w:rsidP="00A9226B">
      <w:pPr>
        <w:tabs>
          <w:tab w:val="clear" w:pos="567"/>
        </w:tabs>
        <w:spacing w:line="240" w:lineRule="auto"/>
        <w:rPr>
          <w:szCs w:val="22"/>
        </w:rPr>
      </w:pPr>
    </w:p>
    <w:p w14:paraId="7AC0B927" w14:textId="55705D3E" w:rsidR="00D72375" w:rsidRPr="00080926" w:rsidRDefault="00D72375" w:rsidP="00D72375">
      <w:pPr>
        <w:widowControl w:val="0"/>
        <w:tabs>
          <w:tab w:val="left" w:pos="0"/>
        </w:tabs>
        <w:spacing w:line="240" w:lineRule="auto"/>
        <w:jc w:val="both"/>
        <w:rPr>
          <w:szCs w:val="22"/>
        </w:rPr>
      </w:pPr>
      <w:r w:rsidRPr="00080926">
        <w:rPr>
          <w:rStyle w:val="hps"/>
          <w:color w:val="222222"/>
          <w:szCs w:val="22"/>
        </w:rPr>
        <w:t>V případě</w:t>
      </w:r>
      <w:r w:rsidRPr="00080926">
        <w:rPr>
          <w:color w:val="222222"/>
          <w:szCs w:val="22"/>
        </w:rPr>
        <w:t xml:space="preserve"> </w:t>
      </w:r>
      <w:r w:rsidRPr="00080926">
        <w:rPr>
          <w:rStyle w:val="hps"/>
          <w:color w:val="222222"/>
          <w:szCs w:val="22"/>
        </w:rPr>
        <w:t>předávkování</w:t>
      </w:r>
      <w:r w:rsidRPr="00080926">
        <w:rPr>
          <w:color w:val="222222"/>
          <w:szCs w:val="22"/>
        </w:rPr>
        <w:t xml:space="preserve"> </w:t>
      </w:r>
      <w:r w:rsidRPr="00080926">
        <w:rPr>
          <w:rStyle w:val="hps"/>
          <w:color w:val="222222"/>
          <w:szCs w:val="22"/>
        </w:rPr>
        <w:t>mohou být</w:t>
      </w:r>
      <w:r w:rsidRPr="00080926">
        <w:rPr>
          <w:color w:val="222222"/>
          <w:szCs w:val="22"/>
        </w:rPr>
        <w:t xml:space="preserve"> </w:t>
      </w:r>
      <w:r w:rsidRPr="00080926">
        <w:rPr>
          <w:rStyle w:val="hps"/>
          <w:color w:val="222222"/>
          <w:szCs w:val="22"/>
        </w:rPr>
        <w:t>pozorovány následující</w:t>
      </w:r>
      <w:r w:rsidRPr="00080926">
        <w:rPr>
          <w:color w:val="222222"/>
          <w:szCs w:val="22"/>
        </w:rPr>
        <w:t xml:space="preserve"> </w:t>
      </w:r>
      <w:r w:rsidRPr="00080926">
        <w:rPr>
          <w:rStyle w:val="hps"/>
          <w:color w:val="222222"/>
          <w:szCs w:val="22"/>
        </w:rPr>
        <w:t>účinky</w:t>
      </w:r>
      <w:r w:rsidRPr="00080926">
        <w:rPr>
          <w:szCs w:val="22"/>
        </w:rPr>
        <w:t xml:space="preserve">: anorexie, </w:t>
      </w:r>
      <w:r w:rsidR="004C4519">
        <w:rPr>
          <w:szCs w:val="22"/>
        </w:rPr>
        <w:t>vomitus</w:t>
      </w:r>
      <w:r w:rsidRPr="00080926">
        <w:rPr>
          <w:szCs w:val="22"/>
        </w:rPr>
        <w:t>, pruritus, alopecie a zvýšení jaterní alaninaminotransferázy (ALT) a alkalické fosfatázy (ALP).</w:t>
      </w:r>
    </w:p>
    <w:p w14:paraId="54C2FBB6" w14:textId="77777777" w:rsidR="006764C6" w:rsidRPr="00080926" w:rsidRDefault="006764C6" w:rsidP="00A9226B">
      <w:pPr>
        <w:tabs>
          <w:tab w:val="clear" w:pos="567"/>
        </w:tabs>
        <w:spacing w:line="240" w:lineRule="auto"/>
        <w:rPr>
          <w:szCs w:val="22"/>
        </w:rPr>
      </w:pPr>
    </w:p>
    <w:p w14:paraId="23CD3206" w14:textId="294F4287" w:rsidR="009A6509" w:rsidRPr="00080926" w:rsidRDefault="00C605FD" w:rsidP="00B13B6D">
      <w:pPr>
        <w:pStyle w:val="Style1"/>
      </w:pPr>
      <w:r w:rsidRPr="00080926">
        <w:t>3.11</w:t>
      </w:r>
      <w:r w:rsidRPr="00080926">
        <w:tab/>
        <w:t>Zvláštní omezení pro použití a zvláštní podmínky pro použití, včetně omezení používání antimikrob</w:t>
      </w:r>
      <w:r w:rsidR="00202A85" w:rsidRPr="00080926">
        <w:t>ních</w:t>
      </w:r>
      <w:r w:rsidRPr="00080926">
        <w:t xml:space="preserve"> a antiparazitárních veterinárních léčivých přípravků, za účelem snížení rizika rozvoje rezistence</w:t>
      </w:r>
    </w:p>
    <w:p w14:paraId="1204C42F" w14:textId="77777777" w:rsidR="009A6509" w:rsidRPr="00080926" w:rsidRDefault="009A6509" w:rsidP="00A9226B">
      <w:pPr>
        <w:tabs>
          <w:tab w:val="clear" w:pos="567"/>
        </w:tabs>
        <w:spacing w:line="240" w:lineRule="auto"/>
        <w:rPr>
          <w:szCs w:val="22"/>
        </w:rPr>
      </w:pPr>
    </w:p>
    <w:p w14:paraId="23184928" w14:textId="6E91DBD7" w:rsidR="009A6509" w:rsidRDefault="001E633A" w:rsidP="009A6509">
      <w:pPr>
        <w:tabs>
          <w:tab w:val="clear" w:pos="567"/>
        </w:tabs>
        <w:spacing w:line="240" w:lineRule="auto"/>
        <w:rPr>
          <w:szCs w:val="22"/>
        </w:rPr>
      </w:pPr>
      <w:r>
        <w:rPr>
          <w:szCs w:val="22"/>
        </w:rPr>
        <w:t>Neuplatňuje se.</w:t>
      </w:r>
    </w:p>
    <w:p w14:paraId="36B328F3" w14:textId="77777777" w:rsidR="001E633A" w:rsidRPr="00080926" w:rsidRDefault="001E633A" w:rsidP="009A6509">
      <w:pPr>
        <w:tabs>
          <w:tab w:val="clear" w:pos="567"/>
        </w:tabs>
        <w:spacing w:line="240" w:lineRule="auto"/>
        <w:rPr>
          <w:szCs w:val="22"/>
        </w:rPr>
      </w:pPr>
    </w:p>
    <w:p w14:paraId="75BB4EC2" w14:textId="77777777" w:rsidR="00C114FF" w:rsidRPr="00080926" w:rsidRDefault="00C605FD" w:rsidP="00B13B6D">
      <w:pPr>
        <w:pStyle w:val="Style1"/>
      </w:pPr>
      <w:r w:rsidRPr="00080926">
        <w:t>3.12</w:t>
      </w:r>
      <w:r w:rsidRPr="00080926">
        <w:tab/>
        <w:t>Ochranné lhůty</w:t>
      </w:r>
    </w:p>
    <w:p w14:paraId="2DC95067" w14:textId="77777777" w:rsidR="00C114FF" w:rsidRPr="00080926" w:rsidRDefault="00C114FF" w:rsidP="00145C3F">
      <w:pPr>
        <w:tabs>
          <w:tab w:val="clear" w:pos="567"/>
        </w:tabs>
        <w:spacing w:line="240" w:lineRule="auto"/>
        <w:rPr>
          <w:szCs w:val="22"/>
        </w:rPr>
      </w:pPr>
    </w:p>
    <w:p w14:paraId="16EC8148" w14:textId="2862BA54" w:rsidR="00D72375" w:rsidRPr="00080926" w:rsidRDefault="001E633A" w:rsidP="00D72375">
      <w:pPr>
        <w:widowControl w:val="0"/>
        <w:tabs>
          <w:tab w:val="left" w:pos="-6237"/>
          <w:tab w:val="left" w:pos="0"/>
        </w:tabs>
        <w:spacing w:line="240" w:lineRule="auto"/>
        <w:jc w:val="both"/>
        <w:rPr>
          <w:szCs w:val="22"/>
        </w:rPr>
      </w:pPr>
      <w:r>
        <w:rPr>
          <w:szCs w:val="22"/>
        </w:rPr>
        <w:t>Neuplatňuje se.</w:t>
      </w:r>
    </w:p>
    <w:p w14:paraId="1A1B55BD" w14:textId="77777777" w:rsidR="00FC02F3" w:rsidRPr="00080926" w:rsidRDefault="00FC02F3" w:rsidP="00A9226B">
      <w:pPr>
        <w:tabs>
          <w:tab w:val="clear" w:pos="567"/>
        </w:tabs>
        <w:spacing w:line="240" w:lineRule="auto"/>
        <w:rPr>
          <w:szCs w:val="22"/>
        </w:rPr>
      </w:pPr>
    </w:p>
    <w:p w14:paraId="753F8915" w14:textId="77777777" w:rsidR="006764C6" w:rsidRPr="00080926" w:rsidRDefault="006764C6" w:rsidP="00A9226B">
      <w:pPr>
        <w:tabs>
          <w:tab w:val="clear" w:pos="567"/>
        </w:tabs>
        <w:spacing w:line="240" w:lineRule="auto"/>
        <w:rPr>
          <w:szCs w:val="22"/>
        </w:rPr>
      </w:pPr>
    </w:p>
    <w:p w14:paraId="25B50269" w14:textId="0BB8EB25" w:rsidR="00C114FF" w:rsidRPr="00080926" w:rsidRDefault="00C605FD" w:rsidP="00454034">
      <w:pPr>
        <w:pStyle w:val="Style1"/>
        <w:keepNext/>
      </w:pPr>
      <w:r w:rsidRPr="00080926">
        <w:t>4.</w:t>
      </w:r>
      <w:r w:rsidRPr="00080926">
        <w:tab/>
        <w:t>FARMAKOLOGICKÉ INFORMACE</w:t>
      </w:r>
    </w:p>
    <w:p w14:paraId="444C0A14" w14:textId="77777777" w:rsidR="00D72375" w:rsidRPr="00080926" w:rsidRDefault="00D72375" w:rsidP="00454034">
      <w:pPr>
        <w:keepNext/>
        <w:tabs>
          <w:tab w:val="clear" w:pos="567"/>
        </w:tabs>
        <w:spacing w:line="240" w:lineRule="auto"/>
        <w:rPr>
          <w:szCs w:val="22"/>
        </w:rPr>
      </w:pPr>
    </w:p>
    <w:p w14:paraId="6DBE6E8E" w14:textId="4FB7053F" w:rsidR="005B04A8" w:rsidRPr="00080926" w:rsidRDefault="00C605FD" w:rsidP="00B13B6D">
      <w:pPr>
        <w:pStyle w:val="Style1"/>
      </w:pPr>
      <w:r w:rsidRPr="00080926">
        <w:t>4.1</w:t>
      </w:r>
      <w:r w:rsidRPr="00080926">
        <w:tab/>
      </w:r>
      <w:proofErr w:type="spellStart"/>
      <w:r w:rsidRPr="00080926">
        <w:t>ATCvet</w:t>
      </w:r>
      <w:proofErr w:type="spellEnd"/>
      <w:r w:rsidRPr="00080926">
        <w:t xml:space="preserve"> kód:</w:t>
      </w:r>
      <w:r w:rsidR="00DD1A4B">
        <w:t xml:space="preserve"> </w:t>
      </w:r>
      <w:r w:rsidR="00D72375" w:rsidRPr="00080926">
        <w:rPr>
          <w:b w:val="0"/>
          <w:bCs/>
        </w:rPr>
        <w:t>QJ02AB02</w:t>
      </w:r>
    </w:p>
    <w:p w14:paraId="5C965196" w14:textId="77777777" w:rsidR="00C114FF" w:rsidRPr="00080926" w:rsidRDefault="00C114FF" w:rsidP="00A9226B">
      <w:pPr>
        <w:tabs>
          <w:tab w:val="clear" w:pos="567"/>
        </w:tabs>
        <w:spacing w:line="240" w:lineRule="auto"/>
        <w:rPr>
          <w:szCs w:val="22"/>
        </w:rPr>
      </w:pPr>
    </w:p>
    <w:p w14:paraId="0DC4C65B" w14:textId="48333686" w:rsidR="00C114FF" w:rsidRPr="00080926" w:rsidRDefault="00C605FD" w:rsidP="00B13B6D">
      <w:pPr>
        <w:pStyle w:val="Style1"/>
      </w:pPr>
      <w:r w:rsidRPr="00080926">
        <w:t>4.2</w:t>
      </w:r>
      <w:r w:rsidRPr="00080926">
        <w:tab/>
        <w:t>Farmakodynamika</w:t>
      </w:r>
    </w:p>
    <w:p w14:paraId="2DCE8896" w14:textId="77777777" w:rsidR="00D72375" w:rsidRPr="00080926" w:rsidRDefault="00D72375" w:rsidP="00D72375">
      <w:pPr>
        <w:pStyle w:val="Normlnweb"/>
        <w:widowControl w:val="0"/>
        <w:shd w:val="clear" w:color="auto" w:fill="FFFFFF"/>
        <w:tabs>
          <w:tab w:val="left" w:pos="0"/>
        </w:tabs>
        <w:spacing w:before="0" w:beforeAutospacing="0" w:after="0" w:afterAutospacing="0"/>
        <w:jc w:val="both"/>
        <w:rPr>
          <w:sz w:val="22"/>
          <w:szCs w:val="22"/>
          <w:lang w:val="cs-CZ"/>
        </w:rPr>
      </w:pPr>
    </w:p>
    <w:p w14:paraId="4C3E1F64" w14:textId="44B822E1" w:rsidR="00D72375" w:rsidRPr="00080926" w:rsidRDefault="00D72375" w:rsidP="00D72375">
      <w:pPr>
        <w:pStyle w:val="Normlnweb"/>
        <w:widowControl w:val="0"/>
        <w:shd w:val="clear" w:color="auto" w:fill="FFFFFF"/>
        <w:tabs>
          <w:tab w:val="left" w:pos="0"/>
        </w:tabs>
        <w:spacing w:before="0" w:beforeAutospacing="0" w:after="0" w:afterAutospacing="0"/>
        <w:jc w:val="both"/>
        <w:rPr>
          <w:sz w:val="22"/>
          <w:szCs w:val="22"/>
          <w:lang w:val="cs-CZ"/>
        </w:rPr>
      </w:pPr>
      <w:proofErr w:type="spellStart"/>
      <w:r w:rsidRPr="00080926">
        <w:rPr>
          <w:sz w:val="22"/>
          <w:szCs w:val="22"/>
          <w:lang w:val="cs-CZ"/>
        </w:rPr>
        <w:t>Ketokonazol</w:t>
      </w:r>
      <w:proofErr w:type="spellEnd"/>
      <w:r w:rsidRPr="00080926">
        <w:rPr>
          <w:sz w:val="22"/>
          <w:szCs w:val="22"/>
          <w:lang w:val="cs-CZ"/>
        </w:rPr>
        <w:t xml:space="preserve"> je širokospektré antimykotikum odvozené od imidazolu-</w:t>
      </w:r>
      <w:proofErr w:type="spellStart"/>
      <w:r w:rsidRPr="00080926">
        <w:rPr>
          <w:sz w:val="22"/>
          <w:szCs w:val="22"/>
          <w:lang w:val="cs-CZ"/>
        </w:rPr>
        <w:t>dioxolanu</w:t>
      </w:r>
      <w:proofErr w:type="spellEnd"/>
      <w:r w:rsidRPr="00080926">
        <w:rPr>
          <w:sz w:val="22"/>
          <w:szCs w:val="22"/>
          <w:lang w:val="cs-CZ"/>
        </w:rPr>
        <w:t xml:space="preserve">, </w:t>
      </w:r>
      <w:r w:rsidR="00971EBA" w:rsidRPr="00080926">
        <w:rPr>
          <w:sz w:val="22"/>
          <w:szCs w:val="22"/>
          <w:lang w:val="cs-CZ"/>
        </w:rPr>
        <w:t>kter</w:t>
      </w:r>
      <w:r w:rsidR="00971EBA">
        <w:rPr>
          <w:sz w:val="22"/>
          <w:szCs w:val="22"/>
          <w:lang w:val="cs-CZ"/>
        </w:rPr>
        <w:t>é</w:t>
      </w:r>
      <w:r w:rsidR="00971EBA" w:rsidRPr="00080926">
        <w:rPr>
          <w:sz w:val="22"/>
          <w:szCs w:val="22"/>
          <w:lang w:val="cs-CZ"/>
        </w:rPr>
        <w:t xml:space="preserve"> </w:t>
      </w:r>
      <w:r w:rsidRPr="00080926">
        <w:rPr>
          <w:sz w:val="22"/>
          <w:szCs w:val="22"/>
          <w:lang w:val="cs-CZ"/>
        </w:rPr>
        <w:t xml:space="preserve">má fungistatický a </w:t>
      </w:r>
      <w:proofErr w:type="spellStart"/>
      <w:r w:rsidRPr="00080926">
        <w:rPr>
          <w:sz w:val="22"/>
          <w:szCs w:val="22"/>
          <w:lang w:val="cs-CZ"/>
        </w:rPr>
        <w:t>sporicidní</w:t>
      </w:r>
      <w:proofErr w:type="spellEnd"/>
      <w:r w:rsidRPr="00080926">
        <w:rPr>
          <w:sz w:val="22"/>
          <w:szCs w:val="22"/>
          <w:lang w:val="cs-CZ"/>
        </w:rPr>
        <w:t xml:space="preserve"> účinek na </w:t>
      </w:r>
      <w:proofErr w:type="spellStart"/>
      <w:r w:rsidRPr="00080926">
        <w:rPr>
          <w:sz w:val="22"/>
          <w:szCs w:val="22"/>
          <w:lang w:val="cs-CZ"/>
        </w:rPr>
        <w:t>dermatofyt</w:t>
      </w:r>
      <w:r w:rsidR="0020053E">
        <w:rPr>
          <w:sz w:val="22"/>
          <w:szCs w:val="22"/>
          <w:lang w:val="cs-CZ"/>
        </w:rPr>
        <w:t>a</w:t>
      </w:r>
      <w:proofErr w:type="spellEnd"/>
      <w:r w:rsidRPr="00080926">
        <w:rPr>
          <w:sz w:val="22"/>
          <w:szCs w:val="22"/>
          <w:lang w:val="cs-CZ"/>
        </w:rPr>
        <w:t xml:space="preserve"> u psů.</w:t>
      </w:r>
    </w:p>
    <w:p w14:paraId="71C84AD7" w14:textId="671EF05F" w:rsidR="00D72375" w:rsidRPr="00080926" w:rsidRDefault="00D72375" w:rsidP="00D72375">
      <w:pPr>
        <w:pStyle w:val="Normlnweb"/>
        <w:widowControl w:val="0"/>
        <w:shd w:val="clear" w:color="auto" w:fill="FFFFFF"/>
        <w:tabs>
          <w:tab w:val="left" w:pos="0"/>
        </w:tabs>
        <w:spacing w:before="0" w:beforeAutospacing="0" w:after="0" w:afterAutospacing="0"/>
        <w:jc w:val="both"/>
        <w:rPr>
          <w:sz w:val="22"/>
          <w:szCs w:val="22"/>
          <w:lang w:val="cs-CZ"/>
        </w:rPr>
      </w:pPr>
      <w:r w:rsidRPr="00080926">
        <w:rPr>
          <w:sz w:val="22"/>
          <w:szCs w:val="22"/>
          <w:lang w:val="cs-CZ"/>
        </w:rPr>
        <w:t xml:space="preserve">Ketokonazol ve velké míře inhibuje systém cytochromu P450. Ketokonazol modifikuje propustnost buněčných membrán hub a </w:t>
      </w:r>
      <w:r w:rsidR="00971EBA">
        <w:rPr>
          <w:sz w:val="22"/>
          <w:szCs w:val="22"/>
          <w:lang w:val="cs-CZ"/>
        </w:rPr>
        <w:t>inhibuje</w:t>
      </w:r>
      <w:r w:rsidR="00971EBA" w:rsidRPr="00080926">
        <w:rPr>
          <w:sz w:val="22"/>
          <w:szCs w:val="22"/>
          <w:lang w:val="cs-CZ"/>
        </w:rPr>
        <w:t xml:space="preserve"> </w:t>
      </w:r>
      <w:r w:rsidRPr="00080926">
        <w:rPr>
          <w:sz w:val="22"/>
          <w:szCs w:val="22"/>
          <w:lang w:val="cs-CZ"/>
        </w:rPr>
        <w:t xml:space="preserve">konkrétně syntézu ergosterolu, který je základní složkou buněčné membrány hub, zejména inhibicí enzymu cytochrom P450 </w:t>
      </w:r>
      <w:proofErr w:type="gramStart"/>
      <w:r w:rsidRPr="00080926">
        <w:rPr>
          <w:sz w:val="22"/>
          <w:szCs w:val="22"/>
          <w:lang w:val="cs-CZ"/>
        </w:rPr>
        <w:t>14-alfa</w:t>
      </w:r>
      <w:proofErr w:type="gramEnd"/>
      <w:r w:rsidRPr="00080926">
        <w:rPr>
          <w:sz w:val="22"/>
          <w:szCs w:val="22"/>
          <w:lang w:val="cs-CZ"/>
        </w:rPr>
        <w:t xml:space="preserve">-demetylázy (P45014DM). </w:t>
      </w:r>
    </w:p>
    <w:p w14:paraId="1AABE69B" w14:textId="28F8562A" w:rsidR="00D72375" w:rsidRPr="00080926" w:rsidRDefault="00D72375" w:rsidP="00D72375">
      <w:pPr>
        <w:pStyle w:val="Normlnweb"/>
        <w:widowControl w:val="0"/>
        <w:shd w:val="clear" w:color="auto" w:fill="FFFFFF"/>
        <w:tabs>
          <w:tab w:val="left" w:pos="0"/>
        </w:tabs>
        <w:spacing w:before="0" w:beforeAutospacing="0" w:after="0" w:afterAutospacing="0"/>
        <w:jc w:val="both"/>
        <w:rPr>
          <w:sz w:val="22"/>
          <w:szCs w:val="22"/>
          <w:lang w:val="cs-CZ"/>
        </w:rPr>
      </w:pPr>
      <w:proofErr w:type="spellStart"/>
      <w:r w:rsidRPr="00080926">
        <w:rPr>
          <w:sz w:val="22"/>
          <w:szCs w:val="22"/>
          <w:lang w:val="cs-CZ"/>
        </w:rPr>
        <w:t>Ketokonazol</w:t>
      </w:r>
      <w:proofErr w:type="spellEnd"/>
      <w:r w:rsidRPr="00080926">
        <w:rPr>
          <w:sz w:val="22"/>
          <w:szCs w:val="22"/>
          <w:lang w:val="cs-CZ"/>
        </w:rPr>
        <w:t xml:space="preserve"> má </w:t>
      </w:r>
      <w:proofErr w:type="spellStart"/>
      <w:r w:rsidRPr="00080926">
        <w:rPr>
          <w:sz w:val="22"/>
          <w:szCs w:val="22"/>
          <w:lang w:val="cs-CZ"/>
        </w:rPr>
        <w:t>antiandrogenní</w:t>
      </w:r>
      <w:proofErr w:type="spellEnd"/>
      <w:r w:rsidRPr="00080926">
        <w:rPr>
          <w:sz w:val="22"/>
          <w:szCs w:val="22"/>
          <w:lang w:val="cs-CZ"/>
        </w:rPr>
        <w:t xml:space="preserve"> a </w:t>
      </w:r>
      <w:proofErr w:type="spellStart"/>
      <w:r w:rsidRPr="00080926">
        <w:rPr>
          <w:sz w:val="22"/>
          <w:szCs w:val="22"/>
          <w:lang w:val="cs-CZ"/>
        </w:rPr>
        <w:t>antiglukokortikoidní</w:t>
      </w:r>
      <w:proofErr w:type="spellEnd"/>
      <w:r w:rsidRPr="00080926">
        <w:rPr>
          <w:sz w:val="22"/>
          <w:szCs w:val="22"/>
          <w:lang w:val="cs-CZ"/>
        </w:rPr>
        <w:t xml:space="preserve"> účinek; </w:t>
      </w:r>
      <w:r w:rsidR="006856FD">
        <w:rPr>
          <w:sz w:val="22"/>
          <w:szCs w:val="22"/>
          <w:lang w:val="cs-CZ"/>
        </w:rPr>
        <w:t>inhibuje</w:t>
      </w:r>
      <w:r w:rsidR="006856FD" w:rsidRPr="00080926">
        <w:rPr>
          <w:sz w:val="22"/>
          <w:szCs w:val="22"/>
          <w:lang w:val="cs-CZ"/>
        </w:rPr>
        <w:t xml:space="preserve"> </w:t>
      </w:r>
      <w:r w:rsidRPr="00080926">
        <w:rPr>
          <w:sz w:val="22"/>
          <w:szCs w:val="22"/>
          <w:lang w:val="cs-CZ"/>
        </w:rPr>
        <w:t>přeměnu cholesterolu na steroidní hormony</w:t>
      </w:r>
      <w:r w:rsidR="007C616F">
        <w:rPr>
          <w:sz w:val="22"/>
          <w:szCs w:val="22"/>
          <w:lang w:val="cs-CZ"/>
        </w:rPr>
        <w:t>,</w:t>
      </w:r>
      <w:r w:rsidRPr="00080926">
        <w:rPr>
          <w:sz w:val="22"/>
          <w:szCs w:val="22"/>
          <w:lang w:val="cs-CZ"/>
        </w:rPr>
        <w:t xml:space="preserve"> jako je testosteron a kortisol. Tento účinek vzniká inhibicí enzymů cytochromu P450, které se účastní syntézy.</w:t>
      </w:r>
    </w:p>
    <w:p w14:paraId="41B56DF9" w14:textId="77777777" w:rsidR="00D72375" w:rsidRPr="00080926" w:rsidRDefault="00D72375" w:rsidP="00D72375">
      <w:pPr>
        <w:pStyle w:val="Normlnweb"/>
        <w:widowControl w:val="0"/>
        <w:shd w:val="clear" w:color="auto" w:fill="FFFFFF"/>
        <w:tabs>
          <w:tab w:val="left" w:pos="0"/>
        </w:tabs>
        <w:spacing w:before="0" w:beforeAutospacing="0" w:after="0" w:afterAutospacing="0"/>
        <w:jc w:val="both"/>
        <w:rPr>
          <w:sz w:val="22"/>
          <w:szCs w:val="22"/>
          <w:lang w:val="cs-CZ"/>
        </w:rPr>
      </w:pPr>
      <w:r w:rsidRPr="00080926">
        <w:rPr>
          <w:sz w:val="22"/>
          <w:szCs w:val="22"/>
          <w:lang w:val="cs-CZ"/>
        </w:rPr>
        <w:t>Inhibicí CYP3A4 se snižuje metabolismus celé řady léčiv a jejich</w:t>
      </w:r>
      <w:r w:rsidRPr="00080926">
        <w:rPr>
          <w:rFonts w:cs="Arial"/>
          <w:sz w:val="22"/>
          <w:szCs w:val="22"/>
          <w:lang w:val="cs-CZ"/>
        </w:rPr>
        <w:t xml:space="preserve"> </w:t>
      </w:r>
      <w:r w:rsidRPr="00080926">
        <w:rPr>
          <w:rFonts w:cs="Arial"/>
          <w:i/>
          <w:sz w:val="22"/>
          <w:szCs w:val="22"/>
          <w:lang w:val="cs-CZ"/>
        </w:rPr>
        <w:t>in-vivo</w:t>
      </w:r>
      <w:r w:rsidRPr="00080926">
        <w:rPr>
          <w:rFonts w:cs="Arial"/>
          <w:sz w:val="22"/>
          <w:szCs w:val="22"/>
          <w:lang w:val="cs-CZ"/>
        </w:rPr>
        <w:t xml:space="preserve"> biologická dostupnost</w:t>
      </w:r>
      <w:r w:rsidRPr="00080926">
        <w:rPr>
          <w:sz w:val="22"/>
          <w:szCs w:val="22"/>
          <w:lang w:val="cs-CZ"/>
        </w:rPr>
        <w:t xml:space="preserve"> se zvyšuje.</w:t>
      </w:r>
    </w:p>
    <w:p w14:paraId="6848CDB5" w14:textId="77777777" w:rsidR="00D72375" w:rsidRPr="00080926" w:rsidRDefault="00D72375" w:rsidP="00D72375">
      <w:pPr>
        <w:pStyle w:val="Normlnweb"/>
        <w:widowControl w:val="0"/>
        <w:shd w:val="clear" w:color="auto" w:fill="FFFFFF"/>
        <w:tabs>
          <w:tab w:val="left" w:pos="0"/>
        </w:tabs>
        <w:spacing w:before="0" w:beforeAutospacing="0" w:after="0" w:afterAutospacing="0"/>
        <w:jc w:val="both"/>
        <w:rPr>
          <w:sz w:val="22"/>
          <w:szCs w:val="22"/>
          <w:lang w:val="cs-CZ"/>
        </w:rPr>
      </w:pPr>
    </w:p>
    <w:p w14:paraId="4C089A4E" w14:textId="06110625" w:rsidR="00D72375" w:rsidRPr="00080926" w:rsidRDefault="00D72375" w:rsidP="00D72375">
      <w:pPr>
        <w:pStyle w:val="Normlnweb"/>
        <w:widowControl w:val="0"/>
        <w:shd w:val="clear" w:color="auto" w:fill="FFFFFF"/>
        <w:tabs>
          <w:tab w:val="left" w:pos="0"/>
        </w:tabs>
        <w:spacing w:before="0" w:beforeAutospacing="0" w:after="0" w:afterAutospacing="0"/>
        <w:jc w:val="both"/>
        <w:rPr>
          <w:sz w:val="22"/>
          <w:szCs w:val="22"/>
          <w:lang w:val="cs-CZ"/>
        </w:rPr>
      </w:pPr>
      <w:proofErr w:type="spellStart"/>
      <w:r w:rsidRPr="00080926">
        <w:rPr>
          <w:sz w:val="22"/>
          <w:szCs w:val="22"/>
          <w:lang w:val="cs-CZ"/>
        </w:rPr>
        <w:t>Ketokonazol</w:t>
      </w:r>
      <w:proofErr w:type="spellEnd"/>
      <w:r w:rsidRPr="00080926">
        <w:rPr>
          <w:sz w:val="22"/>
          <w:szCs w:val="22"/>
          <w:lang w:val="cs-CZ"/>
        </w:rPr>
        <w:t xml:space="preserve"> </w:t>
      </w:r>
      <w:r w:rsidR="0020053E">
        <w:rPr>
          <w:sz w:val="22"/>
          <w:szCs w:val="22"/>
          <w:lang w:val="cs-CZ"/>
        </w:rPr>
        <w:t xml:space="preserve">inhibuje </w:t>
      </w:r>
      <w:proofErr w:type="spellStart"/>
      <w:r w:rsidRPr="00080926">
        <w:rPr>
          <w:sz w:val="22"/>
          <w:szCs w:val="22"/>
          <w:lang w:val="cs-CZ"/>
        </w:rPr>
        <w:t>efluxní</w:t>
      </w:r>
      <w:proofErr w:type="spellEnd"/>
      <w:r w:rsidRPr="00080926">
        <w:rPr>
          <w:sz w:val="22"/>
          <w:szCs w:val="22"/>
          <w:lang w:val="cs-CZ"/>
        </w:rPr>
        <w:t xml:space="preserve"> p-glykoproteinovou pumpu a může zvyšovat </w:t>
      </w:r>
      <w:r w:rsidR="0020053E">
        <w:rPr>
          <w:sz w:val="22"/>
          <w:szCs w:val="22"/>
          <w:lang w:val="cs-CZ"/>
        </w:rPr>
        <w:t>per</w:t>
      </w:r>
      <w:r w:rsidRPr="00080926">
        <w:rPr>
          <w:sz w:val="22"/>
          <w:szCs w:val="22"/>
          <w:lang w:val="cs-CZ"/>
        </w:rPr>
        <w:t xml:space="preserve">orální absorpci a tkáňovou distribuci jiných léčiv, například </w:t>
      </w:r>
      <w:proofErr w:type="spellStart"/>
      <w:r w:rsidRPr="00080926">
        <w:rPr>
          <w:sz w:val="22"/>
          <w:szCs w:val="22"/>
          <w:lang w:val="cs-CZ"/>
        </w:rPr>
        <w:t>prednisolonu</w:t>
      </w:r>
      <w:proofErr w:type="spellEnd"/>
      <w:r w:rsidRPr="00080926">
        <w:rPr>
          <w:sz w:val="22"/>
          <w:szCs w:val="22"/>
          <w:lang w:val="cs-CZ"/>
        </w:rPr>
        <w:t xml:space="preserve">. </w:t>
      </w:r>
    </w:p>
    <w:p w14:paraId="50FA42E3" w14:textId="77777777" w:rsidR="00C114FF" w:rsidRPr="00080926" w:rsidRDefault="00C114FF" w:rsidP="00A9226B">
      <w:pPr>
        <w:tabs>
          <w:tab w:val="clear" w:pos="567"/>
        </w:tabs>
        <w:spacing w:line="240" w:lineRule="auto"/>
        <w:rPr>
          <w:szCs w:val="22"/>
        </w:rPr>
      </w:pPr>
    </w:p>
    <w:p w14:paraId="2BE4D04A" w14:textId="6FBF9A4E" w:rsidR="00C114FF" w:rsidRPr="00080926" w:rsidRDefault="00C605FD" w:rsidP="00B13B6D">
      <w:pPr>
        <w:pStyle w:val="Style1"/>
      </w:pPr>
      <w:r w:rsidRPr="00080926">
        <w:t>4.3</w:t>
      </w:r>
      <w:r w:rsidRPr="00080926">
        <w:tab/>
        <w:t>Farmakokinetika</w:t>
      </w:r>
    </w:p>
    <w:p w14:paraId="041767DA" w14:textId="77777777" w:rsidR="00C114FF" w:rsidRPr="00080926" w:rsidRDefault="00C114FF" w:rsidP="00A9226B">
      <w:pPr>
        <w:tabs>
          <w:tab w:val="clear" w:pos="567"/>
        </w:tabs>
        <w:spacing w:line="240" w:lineRule="auto"/>
        <w:rPr>
          <w:szCs w:val="22"/>
        </w:rPr>
      </w:pPr>
    </w:p>
    <w:p w14:paraId="21A40851" w14:textId="77777777" w:rsidR="00D72375" w:rsidRPr="00080926" w:rsidRDefault="00D72375" w:rsidP="00D72375">
      <w:pPr>
        <w:widowControl w:val="0"/>
        <w:tabs>
          <w:tab w:val="left" w:pos="0"/>
        </w:tabs>
        <w:spacing w:line="240" w:lineRule="auto"/>
        <w:jc w:val="both"/>
        <w:rPr>
          <w:szCs w:val="22"/>
          <w:lang w:eastAsia="fr-FR"/>
        </w:rPr>
      </w:pPr>
      <w:r w:rsidRPr="00080926">
        <w:rPr>
          <w:szCs w:val="22"/>
          <w:lang w:eastAsia="fr-FR"/>
        </w:rPr>
        <w:t xml:space="preserve">Po perorálním podání jsou maximální hladiny v plazmě </w:t>
      </w:r>
      <w:proofErr w:type="gramStart"/>
      <w:r w:rsidRPr="00080926">
        <w:rPr>
          <w:szCs w:val="22"/>
          <w:lang w:eastAsia="fr-FR"/>
        </w:rPr>
        <w:t>22 – 49</w:t>
      </w:r>
      <w:proofErr w:type="gramEnd"/>
      <w:r w:rsidRPr="00080926">
        <w:rPr>
          <w:szCs w:val="22"/>
          <w:lang w:eastAsia="fr-FR"/>
        </w:rPr>
        <w:t xml:space="preserve"> µg/ml (průměr 35 µg/ml) dosaženy během 1,5 až 4 hodin (průměr 2,9 hodin). </w:t>
      </w:r>
    </w:p>
    <w:p w14:paraId="2CDFC366" w14:textId="77777777" w:rsidR="00D72375" w:rsidRPr="00080926" w:rsidRDefault="00D72375" w:rsidP="00D72375">
      <w:pPr>
        <w:widowControl w:val="0"/>
        <w:tabs>
          <w:tab w:val="left" w:pos="0"/>
        </w:tabs>
        <w:spacing w:line="240" w:lineRule="auto"/>
        <w:jc w:val="both"/>
        <w:rPr>
          <w:szCs w:val="22"/>
          <w:lang w:eastAsia="fr-FR"/>
        </w:rPr>
      </w:pPr>
    </w:p>
    <w:p w14:paraId="1F57EDD5" w14:textId="315253BB" w:rsidR="00D72375" w:rsidRPr="00080926" w:rsidRDefault="00D72375" w:rsidP="00D72375">
      <w:pPr>
        <w:widowControl w:val="0"/>
        <w:tabs>
          <w:tab w:val="left" w:pos="0"/>
        </w:tabs>
        <w:spacing w:line="240" w:lineRule="auto"/>
        <w:jc w:val="both"/>
        <w:rPr>
          <w:color w:val="222222"/>
          <w:szCs w:val="22"/>
          <w:lang w:eastAsia="fr-FR"/>
        </w:rPr>
      </w:pPr>
      <w:r w:rsidRPr="00080926">
        <w:rPr>
          <w:szCs w:val="22"/>
          <w:lang w:eastAsia="fr-FR"/>
        </w:rPr>
        <w:t xml:space="preserve">Absorpce ketokonazolu se zvyšuje v kyselém prostředí a léčiva, která zvyšují pH žaludku, mohou jeho absorpci snižovat. </w:t>
      </w:r>
      <w:r w:rsidR="007C616F" w:rsidRPr="00080926">
        <w:rPr>
          <w:szCs w:val="22"/>
          <w:lang w:eastAsia="fr-FR"/>
        </w:rPr>
        <w:t>Vysok</w:t>
      </w:r>
      <w:r w:rsidR="007C616F">
        <w:rPr>
          <w:szCs w:val="22"/>
          <w:lang w:eastAsia="fr-FR"/>
        </w:rPr>
        <w:t>é</w:t>
      </w:r>
      <w:r w:rsidR="007C616F" w:rsidRPr="00080926">
        <w:rPr>
          <w:szCs w:val="22"/>
          <w:lang w:eastAsia="fr-FR"/>
        </w:rPr>
        <w:t xml:space="preserve"> </w:t>
      </w:r>
      <w:r w:rsidRPr="00080926">
        <w:rPr>
          <w:szCs w:val="22"/>
          <w:lang w:eastAsia="fr-FR"/>
        </w:rPr>
        <w:t xml:space="preserve">koncentrace léčiva </w:t>
      </w:r>
      <w:r w:rsidR="007C616F">
        <w:rPr>
          <w:szCs w:val="22"/>
          <w:lang w:eastAsia="fr-FR"/>
        </w:rPr>
        <w:t>byly zjištěny</w:t>
      </w:r>
      <w:r w:rsidRPr="00080926">
        <w:rPr>
          <w:szCs w:val="22"/>
          <w:lang w:eastAsia="fr-FR"/>
        </w:rPr>
        <w:t xml:space="preserve"> v játrech, nadledvinách a hypofýze, zatímco v ledvinách, plicích, močovém měchýři, kostní dřeni a myokardu </w:t>
      </w:r>
      <w:r w:rsidR="007C616F">
        <w:rPr>
          <w:szCs w:val="22"/>
          <w:lang w:eastAsia="fr-FR"/>
        </w:rPr>
        <w:t>byly zjištěny nižší</w:t>
      </w:r>
      <w:r w:rsidR="007C616F" w:rsidRPr="00080926">
        <w:rPr>
          <w:szCs w:val="22"/>
          <w:lang w:eastAsia="fr-FR"/>
        </w:rPr>
        <w:t xml:space="preserve"> </w:t>
      </w:r>
      <w:r w:rsidRPr="00080926">
        <w:rPr>
          <w:szCs w:val="22"/>
          <w:lang w:eastAsia="fr-FR"/>
        </w:rPr>
        <w:t xml:space="preserve">koncentrace. Při obvyklých dávkách (10 mg/kg) </w:t>
      </w:r>
      <w:r w:rsidR="00503726">
        <w:rPr>
          <w:szCs w:val="22"/>
          <w:lang w:eastAsia="fr-FR"/>
        </w:rPr>
        <w:t xml:space="preserve">jsou hladiny </w:t>
      </w:r>
      <w:r w:rsidRPr="00080926">
        <w:rPr>
          <w:szCs w:val="22"/>
          <w:lang w:eastAsia="fr-FR"/>
        </w:rPr>
        <w:t xml:space="preserve">léčiva </w:t>
      </w:r>
      <w:r w:rsidR="00503726">
        <w:rPr>
          <w:szCs w:val="22"/>
          <w:lang w:eastAsia="fr-FR"/>
        </w:rPr>
        <w:t xml:space="preserve">dosažené </w:t>
      </w:r>
      <w:r w:rsidRPr="00080926">
        <w:rPr>
          <w:szCs w:val="22"/>
          <w:lang w:eastAsia="fr-FR"/>
        </w:rPr>
        <w:t>v mozku, varlatech a očích pravděpodobně nedostatečn</w:t>
      </w:r>
      <w:r w:rsidR="00503726">
        <w:rPr>
          <w:szCs w:val="22"/>
          <w:lang w:eastAsia="fr-FR"/>
        </w:rPr>
        <w:t>é</w:t>
      </w:r>
      <w:r w:rsidRPr="00080926">
        <w:rPr>
          <w:szCs w:val="22"/>
          <w:lang w:eastAsia="fr-FR"/>
        </w:rPr>
        <w:t xml:space="preserve"> k léčbě většiny infekcí, proto jsou nezbytné vyšší dávky. </w:t>
      </w:r>
      <w:r w:rsidRPr="00080926">
        <w:rPr>
          <w:color w:val="222222"/>
          <w:szCs w:val="22"/>
          <w:lang w:eastAsia="fr-FR"/>
        </w:rPr>
        <w:t>Prochází placentou (u potkanů) a vylučuje se do mléka.</w:t>
      </w:r>
    </w:p>
    <w:p w14:paraId="0B4BCCB0" w14:textId="77777777" w:rsidR="00D72375" w:rsidRPr="00080926" w:rsidRDefault="00D72375" w:rsidP="00D72375">
      <w:pPr>
        <w:widowControl w:val="0"/>
        <w:tabs>
          <w:tab w:val="left" w:pos="0"/>
        </w:tabs>
        <w:spacing w:line="240" w:lineRule="auto"/>
        <w:jc w:val="both"/>
        <w:rPr>
          <w:szCs w:val="22"/>
          <w:lang w:eastAsia="fr-FR"/>
        </w:rPr>
      </w:pPr>
    </w:p>
    <w:p w14:paraId="44B643E5" w14:textId="2EA26B43" w:rsidR="00C114FF" w:rsidRPr="00080926" w:rsidRDefault="00D72375" w:rsidP="00334461">
      <w:pPr>
        <w:widowControl w:val="0"/>
        <w:tabs>
          <w:tab w:val="left" w:pos="0"/>
        </w:tabs>
        <w:spacing w:line="240" w:lineRule="auto"/>
        <w:jc w:val="both"/>
        <w:rPr>
          <w:szCs w:val="22"/>
        </w:rPr>
      </w:pPr>
      <w:r w:rsidRPr="00080926">
        <w:rPr>
          <w:szCs w:val="22"/>
          <w:lang w:eastAsia="fr-FR"/>
        </w:rPr>
        <w:t xml:space="preserve">Ketokonazol je z 84 až 99 % vázán na albuminovou frakci plazmatických proteinů. Ketokonazol je metabolizován játry na několik neaktivních metabolitů. Je vylučován především žlučí a v menší míře močí. </w:t>
      </w:r>
      <w:bookmarkStart w:id="3" w:name="_Hlk194655094"/>
      <w:r w:rsidR="00334461" w:rsidRPr="00334461">
        <w:rPr>
          <w:szCs w:val="22"/>
          <w:lang w:eastAsia="fr-FR"/>
        </w:rPr>
        <w:t>Terminální eliminační poločas se pohyboval v rozmezí 3 až 9 hodin</w:t>
      </w:r>
      <w:r w:rsidR="00334461">
        <w:rPr>
          <w:szCs w:val="22"/>
          <w:lang w:eastAsia="fr-FR"/>
        </w:rPr>
        <w:t xml:space="preserve"> (</w:t>
      </w:r>
      <w:r w:rsidR="00334461" w:rsidRPr="00334461">
        <w:rPr>
          <w:szCs w:val="22"/>
          <w:lang w:eastAsia="fr-FR"/>
        </w:rPr>
        <w:t>s průměrem 4,6 hodin</w:t>
      </w:r>
      <w:r w:rsidR="00334461">
        <w:rPr>
          <w:szCs w:val="22"/>
          <w:lang w:eastAsia="fr-FR"/>
        </w:rPr>
        <w:t>)</w:t>
      </w:r>
      <w:r w:rsidR="00334461" w:rsidRPr="00334461">
        <w:rPr>
          <w:szCs w:val="22"/>
          <w:lang w:eastAsia="fr-FR"/>
        </w:rPr>
        <w:t>.</w:t>
      </w:r>
      <w:bookmarkEnd w:id="3"/>
      <w:r w:rsidR="00334461">
        <w:rPr>
          <w:szCs w:val="22"/>
          <w:lang w:eastAsia="fr-FR"/>
        </w:rPr>
        <w:t xml:space="preserve"> </w:t>
      </w:r>
    </w:p>
    <w:p w14:paraId="52D4CDF7" w14:textId="77777777" w:rsidR="00D72375" w:rsidRPr="00080926" w:rsidRDefault="00D72375" w:rsidP="00A9226B">
      <w:pPr>
        <w:tabs>
          <w:tab w:val="clear" w:pos="567"/>
        </w:tabs>
        <w:spacing w:line="240" w:lineRule="auto"/>
        <w:rPr>
          <w:szCs w:val="22"/>
        </w:rPr>
      </w:pPr>
    </w:p>
    <w:p w14:paraId="1F57863B" w14:textId="77777777" w:rsidR="00C114FF" w:rsidRPr="00080926" w:rsidRDefault="00C605FD" w:rsidP="00B13B6D">
      <w:pPr>
        <w:pStyle w:val="Style1"/>
      </w:pPr>
      <w:r w:rsidRPr="00080926">
        <w:t>5.</w:t>
      </w:r>
      <w:r w:rsidRPr="00080926">
        <w:tab/>
        <w:t>FARMACEUTICKÉ ÚDAJE</w:t>
      </w:r>
    </w:p>
    <w:p w14:paraId="7BC53755" w14:textId="77777777" w:rsidR="00C114FF" w:rsidRPr="00080926" w:rsidRDefault="00C114FF" w:rsidP="00A9226B">
      <w:pPr>
        <w:tabs>
          <w:tab w:val="clear" w:pos="567"/>
        </w:tabs>
        <w:spacing w:line="240" w:lineRule="auto"/>
        <w:rPr>
          <w:szCs w:val="22"/>
        </w:rPr>
      </w:pPr>
    </w:p>
    <w:p w14:paraId="57E8B708" w14:textId="77777777" w:rsidR="00C114FF" w:rsidRPr="00080926" w:rsidRDefault="00C605FD" w:rsidP="00B13B6D">
      <w:pPr>
        <w:pStyle w:val="Style1"/>
      </w:pPr>
      <w:r w:rsidRPr="00080926">
        <w:t>5.1</w:t>
      </w:r>
      <w:r w:rsidRPr="00080926">
        <w:tab/>
        <w:t>Hlavní inkompatibility</w:t>
      </w:r>
    </w:p>
    <w:p w14:paraId="15C29130" w14:textId="77777777" w:rsidR="00C114FF" w:rsidRPr="00080926" w:rsidRDefault="00C114FF" w:rsidP="00145C3F">
      <w:pPr>
        <w:tabs>
          <w:tab w:val="clear" w:pos="567"/>
        </w:tabs>
        <w:spacing w:line="240" w:lineRule="auto"/>
        <w:rPr>
          <w:szCs w:val="22"/>
        </w:rPr>
      </w:pPr>
    </w:p>
    <w:p w14:paraId="7AFA6B04" w14:textId="77777777" w:rsidR="00D72375" w:rsidRPr="00080926" w:rsidRDefault="00D72375" w:rsidP="00D72375">
      <w:pPr>
        <w:widowControl w:val="0"/>
        <w:tabs>
          <w:tab w:val="left" w:pos="-6237"/>
          <w:tab w:val="left" w:pos="0"/>
        </w:tabs>
        <w:spacing w:line="240" w:lineRule="auto"/>
        <w:jc w:val="both"/>
        <w:rPr>
          <w:szCs w:val="22"/>
        </w:rPr>
      </w:pPr>
      <w:r w:rsidRPr="00080926">
        <w:rPr>
          <w:szCs w:val="22"/>
        </w:rPr>
        <w:t>Neuplatňuje se.</w:t>
      </w:r>
    </w:p>
    <w:p w14:paraId="288F0D5C" w14:textId="77777777" w:rsidR="00C114FF" w:rsidRPr="00080926" w:rsidRDefault="00C114FF" w:rsidP="00A9226B">
      <w:pPr>
        <w:tabs>
          <w:tab w:val="clear" w:pos="567"/>
        </w:tabs>
        <w:spacing w:line="240" w:lineRule="auto"/>
        <w:rPr>
          <w:szCs w:val="22"/>
        </w:rPr>
      </w:pPr>
    </w:p>
    <w:p w14:paraId="13005D63" w14:textId="77777777" w:rsidR="00C114FF" w:rsidRPr="00080926" w:rsidRDefault="00C605FD" w:rsidP="00B13B6D">
      <w:pPr>
        <w:pStyle w:val="Style1"/>
      </w:pPr>
      <w:r w:rsidRPr="00080926">
        <w:t>5.2</w:t>
      </w:r>
      <w:r w:rsidRPr="00080926">
        <w:tab/>
        <w:t>Doba použitelnosti</w:t>
      </w:r>
    </w:p>
    <w:p w14:paraId="100B6613" w14:textId="77777777" w:rsidR="00C114FF" w:rsidRPr="00080926" w:rsidRDefault="00C114FF" w:rsidP="00145C3F">
      <w:pPr>
        <w:tabs>
          <w:tab w:val="clear" w:pos="567"/>
        </w:tabs>
        <w:spacing w:line="240" w:lineRule="auto"/>
        <w:rPr>
          <w:szCs w:val="22"/>
        </w:rPr>
      </w:pPr>
    </w:p>
    <w:p w14:paraId="2E2C8D29" w14:textId="77777777" w:rsidR="00D72375" w:rsidRPr="00080926" w:rsidRDefault="00D72375" w:rsidP="00D72375">
      <w:pPr>
        <w:widowControl w:val="0"/>
        <w:tabs>
          <w:tab w:val="left" w:pos="-6237"/>
          <w:tab w:val="left" w:pos="0"/>
        </w:tabs>
        <w:spacing w:line="240" w:lineRule="auto"/>
        <w:jc w:val="both"/>
        <w:rPr>
          <w:szCs w:val="22"/>
        </w:rPr>
      </w:pPr>
      <w:r w:rsidRPr="00080926">
        <w:rPr>
          <w:szCs w:val="22"/>
        </w:rPr>
        <w:t>Doba použitelnosti veterinárního léčivého přípravku v neporušeném obalu: 2 roky.</w:t>
      </w:r>
    </w:p>
    <w:p w14:paraId="7E3026A5" w14:textId="27F9C488" w:rsidR="00D72375" w:rsidRPr="00080926" w:rsidRDefault="00D72375" w:rsidP="00D72375">
      <w:pPr>
        <w:widowControl w:val="0"/>
        <w:tabs>
          <w:tab w:val="left" w:pos="-6237"/>
          <w:tab w:val="left" w:pos="0"/>
        </w:tabs>
        <w:spacing w:line="240" w:lineRule="auto"/>
        <w:jc w:val="both"/>
        <w:rPr>
          <w:szCs w:val="22"/>
        </w:rPr>
      </w:pPr>
      <w:r w:rsidRPr="00080926">
        <w:rPr>
          <w:szCs w:val="22"/>
        </w:rPr>
        <w:t xml:space="preserve">Doba použitelnosti </w:t>
      </w:r>
      <w:r w:rsidRPr="006856FD">
        <w:rPr>
          <w:rFonts w:cs="Arial"/>
        </w:rPr>
        <w:t xml:space="preserve">zbylých částí </w:t>
      </w:r>
      <w:proofErr w:type="gramStart"/>
      <w:r w:rsidRPr="006856FD">
        <w:rPr>
          <w:rFonts w:cs="Arial"/>
        </w:rPr>
        <w:t>tablet</w:t>
      </w:r>
      <w:r w:rsidRPr="00080926">
        <w:rPr>
          <w:rFonts w:cs="Arial"/>
        </w:rPr>
        <w:t xml:space="preserve"> :</w:t>
      </w:r>
      <w:proofErr w:type="gramEnd"/>
      <w:r w:rsidRPr="00080926">
        <w:rPr>
          <w:rFonts w:cs="Arial"/>
        </w:rPr>
        <w:t xml:space="preserve"> 3 dny</w:t>
      </w:r>
      <w:r w:rsidRPr="00080926">
        <w:rPr>
          <w:szCs w:val="22"/>
        </w:rPr>
        <w:t>.</w:t>
      </w:r>
    </w:p>
    <w:p w14:paraId="4CD9C987" w14:textId="77777777" w:rsidR="00C114FF" w:rsidRPr="00080926" w:rsidRDefault="00C114FF" w:rsidP="00A9226B">
      <w:pPr>
        <w:tabs>
          <w:tab w:val="clear" w:pos="567"/>
        </w:tabs>
        <w:spacing w:line="240" w:lineRule="auto"/>
        <w:rPr>
          <w:szCs w:val="22"/>
        </w:rPr>
      </w:pPr>
    </w:p>
    <w:p w14:paraId="5A152485" w14:textId="77777777" w:rsidR="00C114FF" w:rsidRPr="00080926" w:rsidRDefault="00C605FD" w:rsidP="00B13B6D">
      <w:pPr>
        <w:pStyle w:val="Style1"/>
      </w:pPr>
      <w:r w:rsidRPr="00080926">
        <w:t>5.3</w:t>
      </w:r>
      <w:r w:rsidRPr="00080926">
        <w:tab/>
        <w:t>Zvláštní opatření pro uchovávání</w:t>
      </w:r>
    </w:p>
    <w:p w14:paraId="7826F268" w14:textId="77777777" w:rsidR="00C114FF" w:rsidRPr="00080926" w:rsidRDefault="00C114FF" w:rsidP="00145C3F">
      <w:pPr>
        <w:tabs>
          <w:tab w:val="clear" w:pos="567"/>
        </w:tabs>
        <w:spacing w:line="240" w:lineRule="auto"/>
        <w:rPr>
          <w:szCs w:val="22"/>
        </w:rPr>
      </w:pPr>
    </w:p>
    <w:p w14:paraId="079BFAB4" w14:textId="77777777" w:rsidR="00D72375" w:rsidRPr="00080926" w:rsidRDefault="00D72375" w:rsidP="00D72375">
      <w:pPr>
        <w:widowControl w:val="0"/>
        <w:tabs>
          <w:tab w:val="left" w:pos="-6237"/>
          <w:tab w:val="left" w:pos="0"/>
        </w:tabs>
        <w:spacing w:line="240" w:lineRule="auto"/>
        <w:jc w:val="both"/>
      </w:pPr>
      <w:r w:rsidRPr="00080926">
        <w:t>Tento veterinární léčivý přípravek nevyžaduje žádné zvláštní podmínky uchovávání</w:t>
      </w:r>
      <w:r w:rsidRPr="00080926">
        <w:rPr>
          <w:szCs w:val="22"/>
        </w:rPr>
        <w:t>.</w:t>
      </w:r>
      <w:r w:rsidRPr="00080926">
        <w:t xml:space="preserve"> </w:t>
      </w:r>
    </w:p>
    <w:p w14:paraId="205A4A8C" w14:textId="77777777" w:rsidR="00C114FF" w:rsidRPr="00080926" w:rsidRDefault="00C114FF" w:rsidP="00A9226B">
      <w:pPr>
        <w:tabs>
          <w:tab w:val="clear" w:pos="567"/>
        </w:tabs>
        <w:spacing w:line="240" w:lineRule="auto"/>
        <w:rPr>
          <w:szCs w:val="22"/>
        </w:rPr>
      </w:pPr>
    </w:p>
    <w:p w14:paraId="42EAA46B" w14:textId="56CE0F50" w:rsidR="00C114FF" w:rsidRPr="00080926" w:rsidRDefault="00C605FD" w:rsidP="00B13B6D">
      <w:pPr>
        <w:pStyle w:val="Style1"/>
      </w:pPr>
      <w:r w:rsidRPr="00080926">
        <w:t>5.4</w:t>
      </w:r>
      <w:r w:rsidRPr="00080926">
        <w:tab/>
        <w:t>Druh a složení vnitřního obalu</w:t>
      </w:r>
    </w:p>
    <w:p w14:paraId="3EB26241" w14:textId="77777777" w:rsidR="00C114FF" w:rsidRPr="00080926" w:rsidRDefault="00C114FF" w:rsidP="005E66FC">
      <w:pPr>
        <w:pStyle w:val="Style1"/>
      </w:pPr>
    </w:p>
    <w:p w14:paraId="007FB918" w14:textId="644D3405" w:rsidR="002550F6" w:rsidRDefault="002550F6" w:rsidP="00D72375">
      <w:pPr>
        <w:widowControl w:val="0"/>
        <w:tabs>
          <w:tab w:val="left" w:pos="-6237"/>
          <w:tab w:val="left" w:pos="0"/>
        </w:tabs>
        <w:spacing w:line="240" w:lineRule="auto"/>
        <w:jc w:val="both"/>
        <w:rPr>
          <w:szCs w:val="22"/>
        </w:rPr>
      </w:pPr>
      <w:r>
        <w:rPr>
          <w:szCs w:val="22"/>
        </w:rPr>
        <w:t>Blistry z</w:t>
      </w:r>
      <w:r w:rsidR="000E25EB">
        <w:rPr>
          <w:szCs w:val="22"/>
        </w:rPr>
        <w:t> </w:t>
      </w:r>
      <w:proofErr w:type="gramStart"/>
      <w:r>
        <w:rPr>
          <w:szCs w:val="22"/>
        </w:rPr>
        <w:t>hliníku</w:t>
      </w:r>
      <w:r w:rsidR="000E25EB">
        <w:rPr>
          <w:szCs w:val="22"/>
        </w:rPr>
        <w:t xml:space="preserve"> - </w:t>
      </w:r>
      <w:r>
        <w:rPr>
          <w:szCs w:val="22"/>
        </w:rPr>
        <w:t>PVC</w:t>
      </w:r>
      <w:proofErr w:type="gramEnd"/>
      <w:r>
        <w:rPr>
          <w:szCs w:val="22"/>
        </w:rPr>
        <w:t>/PE/PVDC.</w:t>
      </w:r>
    </w:p>
    <w:p w14:paraId="4626D529" w14:textId="0AA87A47" w:rsidR="00D72375" w:rsidRPr="00080926" w:rsidRDefault="00DC0AE9" w:rsidP="00D72375">
      <w:pPr>
        <w:widowControl w:val="0"/>
        <w:tabs>
          <w:tab w:val="left" w:pos="-6237"/>
          <w:tab w:val="left" w:pos="0"/>
        </w:tabs>
        <w:spacing w:line="240" w:lineRule="auto"/>
        <w:jc w:val="both"/>
        <w:rPr>
          <w:szCs w:val="22"/>
        </w:rPr>
      </w:pPr>
      <w:r>
        <w:rPr>
          <w:szCs w:val="22"/>
        </w:rPr>
        <w:t>Papír</w:t>
      </w:r>
      <w:r w:rsidR="00EC684C">
        <w:rPr>
          <w:szCs w:val="22"/>
        </w:rPr>
        <w:t>ová</w:t>
      </w:r>
      <w:r w:rsidR="002550F6" w:rsidRPr="00080926">
        <w:rPr>
          <w:szCs w:val="22"/>
        </w:rPr>
        <w:t xml:space="preserve"> </w:t>
      </w:r>
      <w:r w:rsidR="00D72375" w:rsidRPr="00080926">
        <w:rPr>
          <w:szCs w:val="22"/>
        </w:rPr>
        <w:t xml:space="preserve">krabička </w:t>
      </w:r>
      <w:r w:rsidR="002550F6">
        <w:rPr>
          <w:szCs w:val="22"/>
        </w:rPr>
        <w:t>s</w:t>
      </w:r>
      <w:r w:rsidR="002550F6" w:rsidRPr="00080926">
        <w:rPr>
          <w:szCs w:val="22"/>
        </w:rPr>
        <w:t xml:space="preserve"> </w:t>
      </w:r>
      <w:r w:rsidR="00D72375" w:rsidRPr="00080926">
        <w:rPr>
          <w:szCs w:val="22"/>
        </w:rPr>
        <w:t xml:space="preserve">1, 2, 3, 4, 5, 6, 7, 8, 9 nebo </w:t>
      </w:r>
      <w:r w:rsidR="002550F6" w:rsidRPr="00080926">
        <w:rPr>
          <w:szCs w:val="22"/>
        </w:rPr>
        <w:t>10</w:t>
      </w:r>
      <w:r w:rsidR="002550F6">
        <w:rPr>
          <w:szCs w:val="22"/>
        </w:rPr>
        <w:t> </w:t>
      </w:r>
      <w:r w:rsidR="002550F6" w:rsidRPr="00080926">
        <w:rPr>
          <w:szCs w:val="22"/>
        </w:rPr>
        <w:t>blistr</w:t>
      </w:r>
      <w:r w:rsidR="002550F6">
        <w:rPr>
          <w:szCs w:val="22"/>
        </w:rPr>
        <w:t>y</w:t>
      </w:r>
      <w:r w:rsidR="00D72375" w:rsidRPr="00080926">
        <w:rPr>
          <w:szCs w:val="22"/>
        </w:rPr>
        <w:t>, každý s obsahem 10 tablet.</w:t>
      </w:r>
    </w:p>
    <w:p w14:paraId="5ACC7157" w14:textId="77777777" w:rsidR="00D72375" w:rsidRPr="00080926" w:rsidRDefault="00D72375" w:rsidP="00D72375">
      <w:pPr>
        <w:widowControl w:val="0"/>
        <w:tabs>
          <w:tab w:val="left" w:pos="-6237"/>
          <w:tab w:val="left" w:pos="0"/>
        </w:tabs>
        <w:spacing w:line="240" w:lineRule="auto"/>
        <w:jc w:val="both"/>
        <w:rPr>
          <w:szCs w:val="22"/>
        </w:rPr>
      </w:pPr>
      <w:r w:rsidRPr="00080926">
        <w:rPr>
          <w:szCs w:val="22"/>
        </w:rPr>
        <w:t>Na trhu nemusí být všechny velikosti balení.</w:t>
      </w:r>
    </w:p>
    <w:p w14:paraId="584B339F" w14:textId="77777777" w:rsidR="00C114FF" w:rsidRPr="00080926" w:rsidRDefault="00C114FF" w:rsidP="00A9226B">
      <w:pPr>
        <w:tabs>
          <w:tab w:val="clear" w:pos="567"/>
        </w:tabs>
        <w:spacing w:line="240" w:lineRule="auto"/>
        <w:rPr>
          <w:szCs w:val="22"/>
        </w:rPr>
      </w:pPr>
    </w:p>
    <w:p w14:paraId="580835CC" w14:textId="74323501" w:rsidR="00C114FF" w:rsidRPr="00080926" w:rsidRDefault="00C605FD" w:rsidP="00454034">
      <w:pPr>
        <w:pStyle w:val="Style1"/>
        <w:keepNext/>
        <w:jc w:val="both"/>
      </w:pPr>
      <w:r w:rsidRPr="00080926">
        <w:t>5.5</w:t>
      </w:r>
      <w:r w:rsidRPr="00080926">
        <w:tab/>
        <w:t xml:space="preserve">Zvláštní opatření pro </w:t>
      </w:r>
      <w:r w:rsidR="00CF069C" w:rsidRPr="00080926">
        <w:t xml:space="preserve">likvidaci </w:t>
      </w:r>
      <w:r w:rsidRPr="00080926">
        <w:t>nepoužit</w:t>
      </w:r>
      <w:r w:rsidR="002F64C6" w:rsidRPr="00080926">
        <w:t>ých</w:t>
      </w:r>
      <w:r w:rsidR="00905CAB" w:rsidRPr="00080926">
        <w:t xml:space="preserve"> </w:t>
      </w:r>
      <w:r w:rsidRPr="00080926">
        <w:t>veterinární</w:t>
      </w:r>
      <w:r w:rsidR="002F64C6" w:rsidRPr="00080926">
        <w:t>ch</w:t>
      </w:r>
      <w:r w:rsidRPr="00080926">
        <w:t xml:space="preserve"> léčiv</w:t>
      </w:r>
      <w:r w:rsidR="002F64C6" w:rsidRPr="00080926">
        <w:t>ých</w:t>
      </w:r>
      <w:r w:rsidRPr="00080926">
        <w:t xml:space="preserve"> přípravk</w:t>
      </w:r>
      <w:r w:rsidR="002F64C6" w:rsidRPr="00080926">
        <w:t>ů</w:t>
      </w:r>
      <w:r w:rsidRPr="00080926">
        <w:t xml:space="preserve"> nebo odpad</w:t>
      </w:r>
      <w:r w:rsidR="00F84AED" w:rsidRPr="00080926">
        <w:t>ů</w:t>
      </w:r>
      <w:r w:rsidR="00B36E65" w:rsidRPr="00080926">
        <w:t>, kter</w:t>
      </w:r>
      <w:r w:rsidR="00F84AED" w:rsidRPr="00080926">
        <w:t>é</w:t>
      </w:r>
      <w:r w:rsidRPr="00080926">
        <w:t xml:space="preserve"> pocház</w:t>
      </w:r>
      <w:r w:rsidR="00B36E65" w:rsidRPr="00080926">
        <w:t>í</w:t>
      </w:r>
      <w:r w:rsidRPr="00080926">
        <w:t xml:space="preserve"> z</w:t>
      </w:r>
      <w:r w:rsidR="002F64C6" w:rsidRPr="00080926">
        <w:t> </w:t>
      </w:r>
      <w:r w:rsidRPr="00080926">
        <w:t>t</w:t>
      </w:r>
      <w:r w:rsidR="002F64C6" w:rsidRPr="00080926">
        <w:t xml:space="preserve">ěchto </w:t>
      </w:r>
      <w:r w:rsidRPr="00080926">
        <w:t>přípravk</w:t>
      </w:r>
      <w:r w:rsidR="002F64C6" w:rsidRPr="00080926">
        <w:t>ů</w:t>
      </w:r>
    </w:p>
    <w:p w14:paraId="4E04C78C" w14:textId="77777777" w:rsidR="00C114FF" w:rsidRPr="00080926" w:rsidRDefault="00C114FF" w:rsidP="00454034">
      <w:pPr>
        <w:keepNext/>
        <w:tabs>
          <w:tab w:val="clear" w:pos="567"/>
        </w:tabs>
        <w:spacing w:line="240" w:lineRule="auto"/>
        <w:jc w:val="both"/>
        <w:rPr>
          <w:szCs w:val="22"/>
        </w:rPr>
      </w:pPr>
    </w:p>
    <w:p w14:paraId="63401DE8" w14:textId="6FABF488" w:rsidR="002550F6" w:rsidRPr="00B41D57" w:rsidRDefault="002550F6" w:rsidP="00454034">
      <w:pPr>
        <w:jc w:val="both"/>
        <w:rPr>
          <w:szCs w:val="22"/>
        </w:rPr>
      </w:pPr>
      <w:r w:rsidRPr="00B41D57">
        <w:t>Léčivé přípravky se nesmí likvidovat prostřednictvím odpadní vody či domovního odpadu.</w:t>
      </w:r>
    </w:p>
    <w:p w14:paraId="2DC82D31" w14:textId="77777777" w:rsidR="002550F6" w:rsidRPr="00B41D57" w:rsidRDefault="002550F6" w:rsidP="00454034">
      <w:pPr>
        <w:tabs>
          <w:tab w:val="clear" w:pos="567"/>
        </w:tabs>
        <w:spacing w:line="240" w:lineRule="auto"/>
        <w:jc w:val="both"/>
        <w:rPr>
          <w:szCs w:val="22"/>
        </w:rPr>
      </w:pPr>
    </w:p>
    <w:p w14:paraId="575897A1" w14:textId="77777777" w:rsidR="002550F6" w:rsidRPr="00B41D57" w:rsidRDefault="002550F6" w:rsidP="00454034">
      <w:pPr>
        <w:tabs>
          <w:tab w:val="clear" w:pos="567"/>
        </w:tabs>
        <w:spacing w:line="240" w:lineRule="auto"/>
        <w:jc w:val="both"/>
        <w:rPr>
          <w:szCs w:val="22"/>
        </w:rPr>
      </w:pPr>
      <w:r w:rsidRPr="00B41D57">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06949C1A" w14:textId="77777777" w:rsidR="00C114FF" w:rsidRPr="00080926" w:rsidRDefault="00C114FF" w:rsidP="00A9226B">
      <w:pPr>
        <w:tabs>
          <w:tab w:val="clear" w:pos="567"/>
        </w:tabs>
        <w:spacing w:line="240" w:lineRule="auto"/>
        <w:rPr>
          <w:szCs w:val="22"/>
        </w:rPr>
      </w:pPr>
    </w:p>
    <w:p w14:paraId="2D9943FB" w14:textId="77777777" w:rsidR="00D72375" w:rsidRPr="00080926" w:rsidRDefault="00D72375" w:rsidP="00A9226B">
      <w:pPr>
        <w:tabs>
          <w:tab w:val="clear" w:pos="567"/>
        </w:tabs>
        <w:spacing w:line="240" w:lineRule="auto"/>
        <w:rPr>
          <w:szCs w:val="22"/>
        </w:rPr>
      </w:pPr>
    </w:p>
    <w:p w14:paraId="0E3550B0" w14:textId="77777777" w:rsidR="00C114FF" w:rsidRPr="00080926" w:rsidRDefault="00C605FD" w:rsidP="00B13B6D">
      <w:pPr>
        <w:pStyle w:val="Style1"/>
      </w:pPr>
      <w:r w:rsidRPr="00080926">
        <w:t>6.</w:t>
      </w:r>
      <w:r w:rsidRPr="00080926">
        <w:tab/>
        <w:t>JMÉNO DRŽITELE ROZHODNUTÍ O REGISTRACI</w:t>
      </w:r>
    </w:p>
    <w:p w14:paraId="2E652F1A" w14:textId="77777777" w:rsidR="00C114FF" w:rsidRPr="00080926" w:rsidRDefault="00C114FF" w:rsidP="00145C3F">
      <w:pPr>
        <w:tabs>
          <w:tab w:val="clear" w:pos="567"/>
        </w:tabs>
        <w:spacing w:line="240" w:lineRule="auto"/>
        <w:rPr>
          <w:szCs w:val="22"/>
        </w:rPr>
      </w:pPr>
    </w:p>
    <w:p w14:paraId="273EFBD9" w14:textId="022BE935" w:rsidR="00D72375" w:rsidRPr="00080926" w:rsidRDefault="00D72375" w:rsidP="00D72375">
      <w:pPr>
        <w:tabs>
          <w:tab w:val="left" w:pos="0"/>
        </w:tabs>
        <w:spacing w:line="240" w:lineRule="auto"/>
        <w:rPr>
          <w:szCs w:val="22"/>
          <w:lang w:eastAsia="de-DE"/>
        </w:rPr>
      </w:pPr>
      <w:proofErr w:type="spellStart"/>
      <w:r w:rsidRPr="00080926">
        <w:rPr>
          <w:szCs w:val="22"/>
        </w:rPr>
        <w:t>Dechra</w:t>
      </w:r>
      <w:proofErr w:type="spellEnd"/>
      <w:r w:rsidRPr="00080926">
        <w:rPr>
          <w:szCs w:val="22"/>
        </w:rPr>
        <w:t xml:space="preserve"> </w:t>
      </w:r>
      <w:proofErr w:type="spellStart"/>
      <w:r w:rsidRPr="00080926">
        <w:rPr>
          <w:szCs w:val="22"/>
        </w:rPr>
        <w:t>Regulatory</w:t>
      </w:r>
      <w:proofErr w:type="spellEnd"/>
      <w:r w:rsidRPr="00080926">
        <w:rPr>
          <w:szCs w:val="22"/>
        </w:rPr>
        <w:t xml:space="preserve"> B.V.</w:t>
      </w:r>
    </w:p>
    <w:p w14:paraId="6CB09C60" w14:textId="77777777" w:rsidR="00C114FF" w:rsidRPr="00080926" w:rsidRDefault="00C114FF" w:rsidP="00A9226B">
      <w:pPr>
        <w:tabs>
          <w:tab w:val="clear" w:pos="567"/>
        </w:tabs>
        <w:spacing w:line="240" w:lineRule="auto"/>
        <w:rPr>
          <w:szCs w:val="22"/>
        </w:rPr>
      </w:pPr>
    </w:p>
    <w:p w14:paraId="4E6BFBAC" w14:textId="77777777" w:rsidR="00C114FF" w:rsidRPr="00080926" w:rsidRDefault="00C605FD" w:rsidP="00B13B6D">
      <w:pPr>
        <w:pStyle w:val="Style1"/>
      </w:pPr>
      <w:r w:rsidRPr="00080926">
        <w:t>7.</w:t>
      </w:r>
      <w:r w:rsidRPr="00080926">
        <w:tab/>
        <w:t>REGISTRAČNÍ ČÍSLO(A)</w:t>
      </w:r>
    </w:p>
    <w:p w14:paraId="1FA2C56F" w14:textId="77777777" w:rsidR="00C114FF" w:rsidRPr="00080926" w:rsidRDefault="00C114FF" w:rsidP="00A9226B">
      <w:pPr>
        <w:tabs>
          <w:tab w:val="clear" w:pos="567"/>
        </w:tabs>
        <w:spacing w:line="240" w:lineRule="auto"/>
        <w:rPr>
          <w:szCs w:val="22"/>
        </w:rPr>
      </w:pPr>
    </w:p>
    <w:p w14:paraId="74A26FA1" w14:textId="77777777" w:rsidR="00D72375" w:rsidRPr="00080926" w:rsidRDefault="00D72375" w:rsidP="00D72375">
      <w:pPr>
        <w:widowControl w:val="0"/>
        <w:tabs>
          <w:tab w:val="left" w:pos="-6237"/>
          <w:tab w:val="left" w:pos="0"/>
        </w:tabs>
        <w:spacing w:line="240" w:lineRule="auto"/>
        <w:jc w:val="both"/>
        <w:rPr>
          <w:szCs w:val="22"/>
        </w:rPr>
      </w:pPr>
      <w:r w:rsidRPr="00080926">
        <w:rPr>
          <w:szCs w:val="22"/>
        </w:rPr>
        <w:t>96/045/</w:t>
      </w:r>
      <w:proofErr w:type="gramStart"/>
      <w:r w:rsidRPr="00080926">
        <w:rPr>
          <w:szCs w:val="22"/>
        </w:rPr>
        <w:t>15-C</w:t>
      </w:r>
      <w:proofErr w:type="gramEnd"/>
    </w:p>
    <w:p w14:paraId="427D05E5" w14:textId="77777777" w:rsidR="00C114FF" w:rsidRPr="00080926" w:rsidRDefault="00C114FF" w:rsidP="00A9226B">
      <w:pPr>
        <w:tabs>
          <w:tab w:val="clear" w:pos="567"/>
        </w:tabs>
        <w:spacing w:line="240" w:lineRule="auto"/>
        <w:rPr>
          <w:szCs w:val="22"/>
        </w:rPr>
      </w:pPr>
    </w:p>
    <w:p w14:paraId="42EDA87C" w14:textId="77777777" w:rsidR="006764C6" w:rsidRPr="00080926" w:rsidRDefault="006764C6" w:rsidP="00A9226B">
      <w:pPr>
        <w:tabs>
          <w:tab w:val="clear" w:pos="567"/>
        </w:tabs>
        <w:spacing w:line="240" w:lineRule="auto"/>
        <w:rPr>
          <w:szCs w:val="22"/>
        </w:rPr>
      </w:pPr>
    </w:p>
    <w:p w14:paraId="51580279" w14:textId="77777777" w:rsidR="00C114FF" w:rsidRPr="00080926" w:rsidRDefault="00C605FD" w:rsidP="00B13B6D">
      <w:pPr>
        <w:pStyle w:val="Style1"/>
      </w:pPr>
      <w:r w:rsidRPr="00080926">
        <w:t>8.</w:t>
      </w:r>
      <w:r w:rsidRPr="00080926">
        <w:tab/>
        <w:t>DATUM PRVNÍ REGISTRACE</w:t>
      </w:r>
    </w:p>
    <w:p w14:paraId="3863C575" w14:textId="77777777" w:rsidR="00C114FF" w:rsidRPr="00080926" w:rsidRDefault="00C114FF" w:rsidP="00A9226B">
      <w:pPr>
        <w:tabs>
          <w:tab w:val="clear" w:pos="567"/>
        </w:tabs>
        <w:spacing w:line="240" w:lineRule="auto"/>
        <w:rPr>
          <w:szCs w:val="22"/>
        </w:rPr>
      </w:pPr>
    </w:p>
    <w:p w14:paraId="5552A947" w14:textId="37699082" w:rsidR="00D72375" w:rsidRPr="00080926" w:rsidRDefault="00D72375" w:rsidP="00D72375">
      <w:pPr>
        <w:tabs>
          <w:tab w:val="left" w:pos="0"/>
        </w:tabs>
        <w:spacing w:line="240" w:lineRule="auto"/>
        <w:rPr>
          <w:szCs w:val="22"/>
        </w:rPr>
      </w:pPr>
      <w:r w:rsidRPr="00080926">
        <w:rPr>
          <w:szCs w:val="22"/>
        </w:rPr>
        <w:t xml:space="preserve">Datum </w:t>
      </w:r>
      <w:r w:rsidR="008A5851">
        <w:rPr>
          <w:szCs w:val="22"/>
        </w:rPr>
        <w:t xml:space="preserve">první </w:t>
      </w:r>
      <w:r w:rsidRPr="00080926">
        <w:rPr>
          <w:szCs w:val="22"/>
        </w:rPr>
        <w:t>registrace: 13. 4. 2015</w:t>
      </w:r>
    </w:p>
    <w:p w14:paraId="5F34F0EC" w14:textId="508D767B" w:rsidR="00D72375" w:rsidRPr="00080926" w:rsidRDefault="00D72375" w:rsidP="00D72375">
      <w:pPr>
        <w:tabs>
          <w:tab w:val="left" w:pos="0"/>
        </w:tabs>
        <w:spacing w:line="240" w:lineRule="auto"/>
        <w:ind w:right="-318"/>
        <w:rPr>
          <w:szCs w:val="22"/>
        </w:rPr>
      </w:pPr>
    </w:p>
    <w:p w14:paraId="669AE9C0" w14:textId="77777777" w:rsidR="00D65777" w:rsidRPr="00080926" w:rsidRDefault="00D65777" w:rsidP="00A9226B">
      <w:pPr>
        <w:tabs>
          <w:tab w:val="clear" w:pos="567"/>
        </w:tabs>
        <w:spacing w:line="240" w:lineRule="auto"/>
        <w:rPr>
          <w:szCs w:val="22"/>
        </w:rPr>
      </w:pPr>
    </w:p>
    <w:p w14:paraId="220F22D0" w14:textId="77777777" w:rsidR="00D72375" w:rsidRPr="00080926" w:rsidRDefault="00D72375" w:rsidP="00A9226B">
      <w:pPr>
        <w:tabs>
          <w:tab w:val="clear" w:pos="567"/>
        </w:tabs>
        <w:spacing w:line="240" w:lineRule="auto"/>
        <w:rPr>
          <w:szCs w:val="22"/>
        </w:rPr>
      </w:pPr>
    </w:p>
    <w:p w14:paraId="4351B24F" w14:textId="77777777" w:rsidR="00C114FF" w:rsidRPr="00080926" w:rsidRDefault="00C605FD" w:rsidP="00B13B6D">
      <w:pPr>
        <w:pStyle w:val="Style1"/>
      </w:pPr>
      <w:r w:rsidRPr="00080926">
        <w:t>9.</w:t>
      </w:r>
      <w:r w:rsidRPr="00080926">
        <w:tab/>
        <w:t>DATUM POSLEDNÍ AKTUALIZACE SOUHRNU ÚDAJŮ O PŘÍPRAVKU</w:t>
      </w:r>
    </w:p>
    <w:p w14:paraId="30326986" w14:textId="77777777" w:rsidR="00C114FF" w:rsidRPr="00080926" w:rsidRDefault="00C114FF" w:rsidP="00145C3F">
      <w:pPr>
        <w:tabs>
          <w:tab w:val="clear" w:pos="567"/>
        </w:tabs>
        <w:spacing w:line="240" w:lineRule="auto"/>
        <w:rPr>
          <w:szCs w:val="22"/>
        </w:rPr>
      </w:pPr>
    </w:p>
    <w:p w14:paraId="2DB0E157" w14:textId="0768008F" w:rsidR="00B113B9" w:rsidRDefault="00263D9D" w:rsidP="00A9226B">
      <w:pPr>
        <w:tabs>
          <w:tab w:val="clear" w:pos="567"/>
        </w:tabs>
        <w:spacing w:line="240" w:lineRule="auto"/>
        <w:rPr>
          <w:szCs w:val="22"/>
        </w:rPr>
      </w:pPr>
      <w:proofErr w:type="gramStart"/>
      <w:r>
        <w:rPr>
          <w:szCs w:val="22"/>
        </w:rPr>
        <w:t>Duben</w:t>
      </w:r>
      <w:proofErr w:type="gramEnd"/>
      <w:r>
        <w:rPr>
          <w:szCs w:val="22"/>
        </w:rPr>
        <w:t xml:space="preserve"> 2025</w:t>
      </w:r>
    </w:p>
    <w:p w14:paraId="3BEA16A3" w14:textId="77777777" w:rsidR="00263D9D" w:rsidRPr="00080926" w:rsidRDefault="00263D9D" w:rsidP="00A9226B">
      <w:pPr>
        <w:tabs>
          <w:tab w:val="clear" w:pos="567"/>
        </w:tabs>
        <w:spacing w:line="240" w:lineRule="auto"/>
        <w:rPr>
          <w:szCs w:val="22"/>
        </w:rPr>
      </w:pPr>
    </w:p>
    <w:p w14:paraId="75C198E0" w14:textId="77777777" w:rsidR="00C114FF" w:rsidRPr="00080926" w:rsidRDefault="00C605FD" w:rsidP="00B13B6D">
      <w:pPr>
        <w:pStyle w:val="Style1"/>
      </w:pPr>
      <w:r w:rsidRPr="00080926">
        <w:t>10.</w:t>
      </w:r>
      <w:r w:rsidRPr="00080926">
        <w:tab/>
        <w:t>KLASIFIKACE VETERINÁRNÍCH LÉČIVÝCH PŘÍPRAVKŮ</w:t>
      </w:r>
    </w:p>
    <w:p w14:paraId="1F12B426" w14:textId="77777777" w:rsidR="0078538F" w:rsidRPr="00080926" w:rsidRDefault="0078538F" w:rsidP="00A9226B">
      <w:pPr>
        <w:tabs>
          <w:tab w:val="clear" w:pos="567"/>
        </w:tabs>
        <w:spacing w:line="240" w:lineRule="auto"/>
        <w:rPr>
          <w:szCs w:val="22"/>
        </w:rPr>
      </w:pPr>
    </w:p>
    <w:p w14:paraId="000B4371" w14:textId="77777777" w:rsidR="00D72375" w:rsidRDefault="00D72375" w:rsidP="00D72375">
      <w:pPr>
        <w:tabs>
          <w:tab w:val="left" w:pos="0"/>
        </w:tabs>
        <w:spacing w:line="240" w:lineRule="auto"/>
        <w:ind w:right="-318"/>
      </w:pPr>
      <w:r w:rsidRPr="00080926">
        <w:t>Veterinární léčivý přípravek je vydáván pouze na předpis.</w:t>
      </w:r>
    </w:p>
    <w:p w14:paraId="24458BBA" w14:textId="77777777" w:rsidR="008A5851" w:rsidRDefault="008A5851" w:rsidP="00D72375">
      <w:pPr>
        <w:tabs>
          <w:tab w:val="left" w:pos="0"/>
        </w:tabs>
        <w:spacing w:line="240" w:lineRule="auto"/>
        <w:ind w:right="-318"/>
      </w:pPr>
    </w:p>
    <w:p w14:paraId="46245EF5" w14:textId="77777777" w:rsidR="00263D9D" w:rsidRDefault="00263D9D" w:rsidP="00263D9D">
      <w:pPr>
        <w:tabs>
          <w:tab w:val="clear" w:pos="567"/>
          <w:tab w:val="left" w:pos="708"/>
        </w:tabs>
        <w:spacing w:line="240" w:lineRule="auto"/>
        <w:rPr>
          <w:iCs/>
          <w:szCs w:val="22"/>
        </w:rPr>
      </w:pPr>
      <w:r>
        <w:t xml:space="preserve">Podrobné informace o tomto veterinárním léčivém přípravku jsou k dispozici v databázi přípravků Unie </w:t>
      </w:r>
      <w:r>
        <w:rPr>
          <w:szCs w:val="22"/>
        </w:rPr>
        <w:t>(</w:t>
      </w:r>
      <w:hyperlink r:id="rId9" w:history="1">
        <w:r>
          <w:rPr>
            <w:rStyle w:val="Hypertextovodkaz"/>
            <w:szCs w:val="22"/>
          </w:rPr>
          <w:t>https://medicines.health.europa.eu/veterinary</w:t>
        </w:r>
      </w:hyperlink>
      <w:r>
        <w:rPr>
          <w:szCs w:val="22"/>
        </w:rPr>
        <w:t>)</w:t>
      </w:r>
      <w:r>
        <w:rPr>
          <w:i/>
          <w:szCs w:val="22"/>
        </w:rPr>
        <w:t>.</w:t>
      </w:r>
    </w:p>
    <w:p w14:paraId="7C5BC454" w14:textId="77777777" w:rsidR="00263D9D" w:rsidRDefault="00263D9D" w:rsidP="00263D9D">
      <w:pPr>
        <w:tabs>
          <w:tab w:val="clear" w:pos="567"/>
          <w:tab w:val="left" w:pos="708"/>
        </w:tabs>
        <w:spacing w:line="240" w:lineRule="auto"/>
        <w:rPr>
          <w:szCs w:val="22"/>
        </w:rPr>
      </w:pPr>
    </w:p>
    <w:p w14:paraId="6787B6DC" w14:textId="77777777" w:rsidR="00263D9D" w:rsidRDefault="00263D9D" w:rsidP="00263D9D">
      <w:pPr>
        <w:spacing w:line="240" w:lineRule="auto"/>
        <w:jc w:val="both"/>
        <w:rPr>
          <w:szCs w:val="22"/>
        </w:rPr>
      </w:pPr>
      <w:bookmarkStart w:id="4" w:name="_Hlk148432335"/>
      <w:r>
        <w:t>Podrobné informace o tomto veterinárním léčivém přípravku naleznete také v národní databázi (</w:t>
      </w:r>
      <w:hyperlink r:id="rId10" w:history="1">
        <w:r>
          <w:rPr>
            <w:rStyle w:val="Hypertextovodkaz"/>
          </w:rPr>
          <w:t>https://www.uskvbl.cz</w:t>
        </w:r>
      </w:hyperlink>
      <w:r>
        <w:t>).</w:t>
      </w:r>
      <w:bookmarkEnd w:id="4"/>
    </w:p>
    <w:p w14:paraId="57D83E63" w14:textId="7AE75D5F" w:rsidR="008A5851" w:rsidRDefault="008A5851" w:rsidP="00256057">
      <w:pPr>
        <w:tabs>
          <w:tab w:val="left" w:pos="0"/>
        </w:tabs>
        <w:spacing w:line="240" w:lineRule="auto"/>
        <w:ind w:right="-318"/>
      </w:pPr>
      <w:bookmarkStart w:id="5" w:name="_GoBack"/>
      <w:bookmarkEnd w:id="5"/>
    </w:p>
    <w:sectPr w:rsidR="008A5851" w:rsidSect="003837F1">
      <w:headerReference w:type="default" r:id="rId11"/>
      <w:footerReference w:type="default" r:id="rId12"/>
      <w:footerReference w:type="first" r:id="rId13"/>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EDBDC" w14:textId="77777777" w:rsidR="00913D69" w:rsidRDefault="00913D69">
      <w:pPr>
        <w:spacing w:line="240" w:lineRule="auto"/>
      </w:pPr>
      <w:r>
        <w:separator/>
      </w:r>
    </w:p>
  </w:endnote>
  <w:endnote w:type="continuationSeparator" w:id="0">
    <w:p w14:paraId="76CB3C4D" w14:textId="77777777" w:rsidR="00913D69" w:rsidRDefault="00913D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67C0D" w:rsidRPr="00E0068C" w:rsidRDefault="00C605FD">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67C0D" w:rsidRPr="00E0068C" w:rsidRDefault="00C605FD">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4B222" w14:textId="77777777" w:rsidR="00913D69" w:rsidRDefault="00913D69">
      <w:pPr>
        <w:spacing w:line="240" w:lineRule="auto"/>
      </w:pPr>
      <w:r>
        <w:separator/>
      </w:r>
    </w:p>
  </w:footnote>
  <w:footnote w:type="continuationSeparator" w:id="0">
    <w:p w14:paraId="7E768CE1" w14:textId="77777777" w:rsidR="00913D69" w:rsidRDefault="00913D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F7E7E" w14:textId="7DE6A462" w:rsidR="009F4EA0" w:rsidRDefault="009F4EA0" w:rsidP="009F4EA0">
    <w:r>
      <w:t xml:space="preserve"> </w:t>
    </w:r>
  </w:p>
  <w:p w14:paraId="13932B13" w14:textId="77777777" w:rsidR="009F4EA0" w:rsidRDefault="009F4E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283853C2">
      <w:start w:val="1"/>
      <w:numFmt w:val="decimal"/>
      <w:lvlText w:val="%1."/>
      <w:lvlJc w:val="left"/>
      <w:pPr>
        <w:tabs>
          <w:tab w:val="num" w:pos="720"/>
        </w:tabs>
        <w:ind w:left="720" w:hanging="360"/>
      </w:pPr>
    </w:lvl>
    <w:lvl w:ilvl="1" w:tplc="B9206E6A">
      <w:start w:val="1"/>
      <w:numFmt w:val="lowerLetter"/>
      <w:lvlText w:val="%2."/>
      <w:lvlJc w:val="left"/>
      <w:pPr>
        <w:tabs>
          <w:tab w:val="num" w:pos="1440"/>
        </w:tabs>
        <w:ind w:left="1440" w:hanging="360"/>
      </w:pPr>
    </w:lvl>
    <w:lvl w:ilvl="2" w:tplc="457AB48C" w:tentative="1">
      <w:start w:val="1"/>
      <w:numFmt w:val="lowerRoman"/>
      <w:lvlText w:val="%3."/>
      <w:lvlJc w:val="right"/>
      <w:pPr>
        <w:tabs>
          <w:tab w:val="num" w:pos="2160"/>
        </w:tabs>
        <w:ind w:left="2160" w:hanging="180"/>
      </w:pPr>
    </w:lvl>
    <w:lvl w:ilvl="3" w:tplc="CD8AB63E" w:tentative="1">
      <w:start w:val="1"/>
      <w:numFmt w:val="decimal"/>
      <w:lvlText w:val="%4."/>
      <w:lvlJc w:val="left"/>
      <w:pPr>
        <w:tabs>
          <w:tab w:val="num" w:pos="2880"/>
        </w:tabs>
        <w:ind w:left="2880" w:hanging="360"/>
      </w:pPr>
    </w:lvl>
    <w:lvl w:ilvl="4" w:tplc="047683B8" w:tentative="1">
      <w:start w:val="1"/>
      <w:numFmt w:val="lowerLetter"/>
      <w:lvlText w:val="%5."/>
      <w:lvlJc w:val="left"/>
      <w:pPr>
        <w:tabs>
          <w:tab w:val="num" w:pos="3600"/>
        </w:tabs>
        <w:ind w:left="3600" w:hanging="360"/>
      </w:pPr>
    </w:lvl>
    <w:lvl w:ilvl="5" w:tplc="CD6C64DE" w:tentative="1">
      <w:start w:val="1"/>
      <w:numFmt w:val="lowerRoman"/>
      <w:lvlText w:val="%6."/>
      <w:lvlJc w:val="right"/>
      <w:pPr>
        <w:tabs>
          <w:tab w:val="num" w:pos="4320"/>
        </w:tabs>
        <w:ind w:left="4320" w:hanging="180"/>
      </w:pPr>
    </w:lvl>
    <w:lvl w:ilvl="6" w:tplc="2932C484" w:tentative="1">
      <w:start w:val="1"/>
      <w:numFmt w:val="decimal"/>
      <w:lvlText w:val="%7."/>
      <w:lvlJc w:val="left"/>
      <w:pPr>
        <w:tabs>
          <w:tab w:val="num" w:pos="5040"/>
        </w:tabs>
        <w:ind w:left="5040" w:hanging="360"/>
      </w:pPr>
    </w:lvl>
    <w:lvl w:ilvl="7" w:tplc="A85A1820" w:tentative="1">
      <w:start w:val="1"/>
      <w:numFmt w:val="lowerLetter"/>
      <w:lvlText w:val="%8."/>
      <w:lvlJc w:val="left"/>
      <w:pPr>
        <w:tabs>
          <w:tab w:val="num" w:pos="5760"/>
        </w:tabs>
        <w:ind w:left="5760" w:hanging="360"/>
      </w:pPr>
    </w:lvl>
    <w:lvl w:ilvl="8" w:tplc="05DAC82E"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C14AAA8C">
      <w:start w:val="6"/>
      <w:numFmt w:val="decimal"/>
      <w:lvlText w:val="%1."/>
      <w:lvlJc w:val="left"/>
      <w:pPr>
        <w:tabs>
          <w:tab w:val="num" w:pos="930"/>
        </w:tabs>
        <w:ind w:left="930" w:hanging="570"/>
      </w:pPr>
      <w:rPr>
        <w:rFonts w:hint="default"/>
      </w:rPr>
    </w:lvl>
    <w:lvl w:ilvl="1" w:tplc="39FE52CC" w:tentative="1">
      <w:start w:val="1"/>
      <w:numFmt w:val="lowerLetter"/>
      <w:lvlText w:val="%2."/>
      <w:lvlJc w:val="left"/>
      <w:pPr>
        <w:tabs>
          <w:tab w:val="num" w:pos="1440"/>
        </w:tabs>
        <w:ind w:left="1440" w:hanging="360"/>
      </w:pPr>
    </w:lvl>
    <w:lvl w:ilvl="2" w:tplc="F3C67816" w:tentative="1">
      <w:start w:val="1"/>
      <w:numFmt w:val="lowerRoman"/>
      <w:lvlText w:val="%3."/>
      <w:lvlJc w:val="right"/>
      <w:pPr>
        <w:tabs>
          <w:tab w:val="num" w:pos="2160"/>
        </w:tabs>
        <w:ind w:left="2160" w:hanging="180"/>
      </w:pPr>
    </w:lvl>
    <w:lvl w:ilvl="3" w:tplc="5216AC84" w:tentative="1">
      <w:start w:val="1"/>
      <w:numFmt w:val="decimal"/>
      <w:lvlText w:val="%4."/>
      <w:lvlJc w:val="left"/>
      <w:pPr>
        <w:tabs>
          <w:tab w:val="num" w:pos="2880"/>
        </w:tabs>
        <w:ind w:left="2880" w:hanging="360"/>
      </w:pPr>
    </w:lvl>
    <w:lvl w:ilvl="4" w:tplc="C5A4AB7A" w:tentative="1">
      <w:start w:val="1"/>
      <w:numFmt w:val="lowerLetter"/>
      <w:lvlText w:val="%5."/>
      <w:lvlJc w:val="left"/>
      <w:pPr>
        <w:tabs>
          <w:tab w:val="num" w:pos="3600"/>
        </w:tabs>
        <w:ind w:left="3600" w:hanging="360"/>
      </w:pPr>
    </w:lvl>
    <w:lvl w:ilvl="5" w:tplc="006EC68C" w:tentative="1">
      <w:start w:val="1"/>
      <w:numFmt w:val="lowerRoman"/>
      <w:lvlText w:val="%6."/>
      <w:lvlJc w:val="right"/>
      <w:pPr>
        <w:tabs>
          <w:tab w:val="num" w:pos="4320"/>
        </w:tabs>
        <w:ind w:left="4320" w:hanging="180"/>
      </w:pPr>
    </w:lvl>
    <w:lvl w:ilvl="6" w:tplc="613212E0" w:tentative="1">
      <w:start w:val="1"/>
      <w:numFmt w:val="decimal"/>
      <w:lvlText w:val="%7."/>
      <w:lvlJc w:val="left"/>
      <w:pPr>
        <w:tabs>
          <w:tab w:val="num" w:pos="5040"/>
        </w:tabs>
        <w:ind w:left="5040" w:hanging="360"/>
      </w:pPr>
    </w:lvl>
    <w:lvl w:ilvl="7" w:tplc="98687014" w:tentative="1">
      <w:start w:val="1"/>
      <w:numFmt w:val="lowerLetter"/>
      <w:lvlText w:val="%8."/>
      <w:lvlJc w:val="left"/>
      <w:pPr>
        <w:tabs>
          <w:tab w:val="num" w:pos="5760"/>
        </w:tabs>
        <w:ind w:left="5760" w:hanging="360"/>
      </w:pPr>
    </w:lvl>
    <w:lvl w:ilvl="8" w:tplc="14BCD56E"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ACE41EBE">
      <w:start w:val="1"/>
      <w:numFmt w:val="bullet"/>
      <w:lvlText w:val=""/>
      <w:lvlJc w:val="left"/>
      <w:pPr>
        <w:tabs>
          <w:tab w:val="num" w:pos="776"/>
        </w:tabs>
        <w:ind w:left="776" w:hanging="360"/>
      </w:pPr>
      <w:rPr>
        <w:rFonts w:ascii="Symbol" w:hAnsi="Symbol" w:hint="default"/>
      </w:rPr>
    </w:lvl>
    <w:lvl w:ilvl="1" w:tplc="B77C8D84" w:tentative="1">
      <w:start w:val="1"/>
      <w:numFmt w:val="bullet"/>
      <w:lvlText w:val="o"/>
      <w:lvlJc w:val="left"/>
      <w:pPr>
        <w:tabs>
          <w:tab w:val="num" w:pos="1496"/>
        </w:tabs>
        <w:ind w:left="1496" w:hanging="360"/>
      </w:pPr>
      <w:rPr>
        <w:rFonts w:ascii="Courier New" w:hAnsi="Courier New" w:hint="default"/>
      </w:rPr>
    </w:lvl>
    <w:lvl w:ilvl="2" w:tplc="89E6DE96" w:tentative="1">
      <w:start w:val="1"/>
      <w:numFmt w:val="bullet"/>
      <w:lvlText w:val=""/>
      <w:lvlJc w:val="left"/>
      <w:pPr>
        <w:tabs>
          <w:tab w:val="num" w:pos="2216"/>
        </w:tabs>
        <w:ind w:left="2216" w:hanging="360"/>
      </w:pPr>
      <w:rPr>
        <w:rFonts w:ascii="Wingdings" w:hAnsi="Wingdings" w:hint="default"/>
      </w:rPr>
    </w:lvl>
    <w:lvl w:ilvl="3" w:tplc="C82CB408" w:tentative="1">
      <w:start w:val="1"/>
      <w:numFmt w:val="bullet"/>
      <w:lvlText w:val=""/>
      <w:lvlJc w:val="left"/>
      <w:pPr>
        <w:tabs>
          <w:tab w:val="num" w:pos="2936"/>
        </w:tabs>
        <w:ind w:left="2936" w:hanging="360"/>
      </w:pPr>
      <w:rPr>
        <w:rFonts w:ascii="Symbol" w:hAnsi="Symbol" w:hint="default"/>
      </w:rPr>
    </w:lvl>
    <w:lvl w:ilvl="4" w:tplc="290AF116" w:tentative="1">
      <w:start w:val="1"/>
      <w:numFmt w:val="bullet"/>
      <w:lvlText w:val="o"/>
      <w:lvlJc w:val="left"/>
      <w:pPr>
        <w:tabs>
          <w:tab w:val="num" w:pos="3656"/>
        </w:tabs>
        <w:ind w:left="3656" w:hanging="360"/>
      </w:pPr>
      <w:rPr>
        <w:rFonts w:ascii="Courier New" w:hAnsi="Courier New" w:hint="default"/>
      </w:rPr>
    </w:lvl>
    <w:lvl w:ilvl="5" w:tplc="6136DE48" w:tentative="1">
      <w:start w:val="1"/>
      <w:numFmt w:val="bullet"/>
      <w:lvlText w:val=""/>
      <w:lvlJc w:val="left"/>
      <w:pPr>
        <w:tabs>
          <w:tab w:val="num" w:pos="4376"/>
        </w:tabs>
        <w:ind w:left="4376" w:hanging="360"/>
      </w:pPr>
      <w:rPr>
        <w:rFonts w:ascii="Wingdings" w:hAnsi="Wingdings" w:hint="default"/>
      </w:rPr>
    </w:lvl>
    <w:lvl w:ilvl="6" w:tplc="001CA924" w:tentative="1">
      <w:start w:val="1"/>
      <w:numFmt w:val="bullet"/>
      <w:lvlText w:val=""/>
      <w:lvlJc w:val="left"/>
      <w:pPr>
        <w:tabs>
          <w:tab w:val="num" w:pos="5096"/>
        </w:tabs>
        <w:ind w:left="5096" w:hanging="360"/>
      </w:pPr>
      <w:rPr>
        <w:rFonts w:ascii="Symbol" w:hAnsi="Symbol" w:hint="default"/>
      </w:rPr>
    </w:lvl>
    <w:lvl w:ilvl="7" w:tplc="7B76D90A" w:tentative="1">
      <w:start w:val="1"/>
      <w:numFmt w:val="bullet"/>
      <w:lvlText w:val="o"/>
      <w:lvlJc w:val="left"/>
      <w:pPr>
        <w:tabs>
          <w:tab w:val="num" w:pos="5816"/>
        </w:tabs>
        <w:ind w:left="5816" w:hanging="360"/>
      </w:pPr>
      <w:rPr>
        <w:rFonts w:ascii="Courier New" w:hAnsi="Courier New" w:hint="default"/>
      </w:rPr>
    </w:lvl>
    <w:lvl w:ilvl="8" w:tplc="00342330"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39C82622">
      <w:start w:val="1"/>
      <w:numFmt w:val="bullet"/>
      <w:lvlText w:val=""/>
      <w:lvlJc w:val="left"/>
      <w:pPr>
        <w:tabs>
          <w:tab w:val="num" w:pos="776"/>
        </w:tabs>
        <w:ind w:left="776" w:hanging="360"/>
      </w:pPr>
      <w:rPr>
        <w:rFonts w:ascii="Symbol" w:hAnsi="Symbol" w:hint="default"/>
      </w:rPr>
    </w:lvl>
    <w:lvl w:ilvl="1" w:tplc="313AC49C" w:tentative="1">
      <w:start w:val="1"/>
      <w:numFmt w:val="bullet"/>
      <w:lvlText w:val="o"/>
      <w:lvlJc w:val="left"/>
      <w:pPr>
        <w:tabs>
          <w:tab w:val="num" w:pos="1496"/>
        </w:tabs>
        <w:ind w:left="1496" w:hanging="360"/>
      </w:pPr>
      <w:rPr>
        <w:rFonts w:ascii="Courier New" w:hAnsi="Courier New" w:hint="default"/>
      </w:rPr>
    </w:lvl>
    <w:lvl w:ilvl="2" w:tplc="1CFAE400" w:tentative="1">
      <w:start w:val="1"/>
      <w:numFmt w:val="bullet"/>
      <w:lvlText w:val=""/>
      <w:lvlJc w:val="left"/>
      <w:pPr>
        <w:tabs>
          <w:tab w:val="num" w:pos="2216"/>
        </w:tabs>
        <w:ind w:left="2216" w:hanging="360"/>
      </w:pPr>
      <w:rPr>
        <w:rFonts w:ascii="Wingdings" w:hAnsi="Wingdings" w:hint="default"/>
      </w:rPr>
    </w:lvl>
    <w:lvl w:ilvl="3" w:tplc="78A277EA" w:tentative="1">
      <w:start w:val="1"/>
      <w:numFmt w:val="bullet"/>
      <w:lvlText w:val=""/>
      <w:lvlJc w:val="left"/>
      <w:pPr>
        <w:tabs>
          <w:tab w:val="num" w:pos="2936"/>
        </w:tabs>
        <w:ind w:left="2936" w:hanging="360"/>
      </w:pPr>
      <w:rPr>
        <w:rFonts w:ascii="Symbol" w:hAnsi="Symbol" w:hint="default"/>
      </w:rPr>
    </w:lvl>
    <w:lvl w:ilvl="4" w:tplc="BC0A6B5E" w:tentative="1">
      <w:start w:val="1"/>
      <w:numFmt w:val="bullet"/>
      <w:lvlText w:val="o"/>
      <w:lvlJc w:val="left"/>
      <w:pPr>
        <w:tabs>
          <w:tab w:val="num" w:pos="3656"/>
        </w:tabs>
        <w:ind w:left="3656" w:hanging="360"/>
      </w:pPr>
      <w:rPr>
        <w:rFonts w:ascii="Courier New" w:hAnsi="Courier New" w:hint="default"/>
      </w:rPr>
    </w:lvl>
    <w:lvl w:ilvl="5" w:tplc="6CF0B25A" w:tentative="1">
      <w:start w:val="1"/>
      <w:numFmt w:val="bullet"/>
      <w:lvlText w:val=""/>
      <w:lvlJc w:val="left"/>
      <w:pPr>
        <w:tabs>
          <w:tab w:val="num" w:pos="4376"/>
        </w:tabs>
        <w:ind w:left="4376" w:hanging="360"/>
      </w:pPr>
      <w:rPr>
        <w:rFonts w:ascii="Wingdings" w:hAnsi="Wingdings" w:hint="default"/>
      </w:rPr>
    </w:lvl>
    <w:lvl w:ilvl="6" w:tplc="CA28019E" w:tentative="1">
      <w:start w:val="1"/>
      <w:numFmt w:val="bullet"/>
      <w:lvlText w:val=""/>
      <w:lvlJc w:val="left"/>
      <w:pPr>
        <w:tabs>
          <w:tab w:val="num" w:pos="5096"/>
        </w:tabs>
        <w:ind w:left="5096" w:hanging="360"/>
      </w:pPr>
      <w:rPr>
        <w:rFonts w:ascii="Symbol" w:hAnsi="Symbol" w:hint="default"/>
      </w:rPr>
    </w:lvl>
    <w:lvl w:ilvl="7" w:tplc="481269D4" w:tentative="1">
      <w:start w:val="1"/>
      <w:numFmt w:val="bullet"/>
      <w:lvlText w:val="o"/>
      <w:lvlJc w:val="left"/>
      <w:pPr>
        <w:tabs>
          <w:tab w:val="num" w:pos="5816"/>
        </w:tabs>
        <w:ind w:left="5816" w:hanging="360"/>
      </w:pPr>
      <w:rPr>
        <w:rFonts w:ascii="Courier New" w:hAnsi="Courier New" w:hint="default"/>
      </w:rPr>
    </w:lvl>
    <w:lvl w:ilvl="8" w:tplc="7F66DFAA"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B234140"/>
    <w:multiLevelType w:val="hybridMultilevel"/>
    <w:tmpl w:val="CC1010D6"/>
    <w:lvl w:ilvl="0" w:tplc="38DCBD26">
      <w:start w:val="4"/>
      <w:numFmt w:val="bullet"/>
      <w:lvlText w:val="-"/>
      <w:lvlJc w:val="left"/>
      <w:pPr>
        <w:ind w:left="927" w:hanging="360"/>
      </w:pPr>
      <w:rPr>
        <w:rFonts w:ascii="Times New Roman" w:eastAsia="Times New Roman" w:hAnsi="Times New Roman" w:cs="Times New Roman"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start w:val="1"/>
      <w:numFmt w:val="bullet"/>
      <w:lvlText w:val=""/>
      <w:lvlJc w:val="left"/>
      <w:pPr>
        <w:ind w:left="3087" w:hanging="360"/>
      </w:pPr>
      <w:rPr>
        <w:rFonts w:ascii="Symbol" w:hAnsi="Symbol" w:hint="default"/>
      </w:rPr>
    </w:lvl>
    <w:lvl w:ilvl="4" w:tplc="04130003">
      <w:start w:val="1"/>
      <w:numFmt w:val="bullet"/>
      <w:lvlText w:val="o"/>
      <w:lvlJc w:val="left"/>
      <w:pPr>
        <w:ind w:left="3807" w:hanging="360"/>
      </w:pPr>
      <w:rPr>
        <w:rFonts w:ascii="Courier New" w:hAnsi="Courier New" w:cs="Courier New" w:hint="default"/>
      </w:rPr>
    </w:lvl>
    <w:lvl w:ilvl="5" w:tplc="04130005">
      <w:start w:val="1"/>
      <w:numFmt w:val="bullet"/>
      <w:lvlText w:val=""/>
      <w:lvlJc w:val="left"/>
      <w:pPr>
        <w:ind w:left="4527" w:hanging="360"/>
      </w:pPr>
      <w:rPr>
        <w:rFonts w:ascii="Wingdings" w:hAnsi="Wingdings" w:hint="default"/>
      </w:rPr>
    </w:lvl>
    <w:lvl w:ilvl="6" w:tplc="04130001">
      <w:start w:val="1"/>
      <w:numFmt w:val="bullet"/>
      <w:lvlText w:val=""/>
      <w:lvlJc w:val="left"/>
      <w:pPr>
        <w:ind w:left="5247" w:hanging="360"/>
      </w:pPr>
      <w:rPr>
        <w:rFonts w:ascii="Symbol" w:hAnsi="Symbol" w:hint="default"/>
      </w:rPr>
    </w:lvl>
    <w:lvl w:ilvl="7" w:tplc="04130003">
      <w:start w:val="1"/>
      <w:numFmt w:val="bullet"/>
      <w:lvlText w:val="o"/>
      <w:lvlJc w:val="left"/>
      <w:pPr>
        <w:ind w:left="5967" w:hanging="360"/>
      </w:pPr>
      <w:rPr>
        <w:rFonts w:ascii="Courier New" w:hAnsi="Courier New" w:cs="Courier New" w:hint="default"/>
      </w:rPr>
    </w:lvl>
    <w:lvl w:ilvl="8" w:tplc="04130005">
      <w:start w:val="1"/>
      <w:numFmt w:val="bullet"/>
      <w:lvlText w:val=""/>
      <w:lvlJc w:val="left"/>
      <w:pPr>
        <w:ind w:left="6687" w:hanging="360"/>
      </w:pPr>
      <w:rPr>
        <w:rFonts w:ascii="Wingdings" w:hAnsi="Wingdings" w:hint="default"/>
      </w:r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330EF430">
      <w:start w:val="1"/>
      <w:numFmt w:val="decimal"/>
      <w:lvlText w:val="%1."/>
      <w:lvlJc w:val="left"/>
      <w:pPr>
        <w:tabs>
          <w:tab w:val="num" w:pos="720"/>
        </w:tabs>
        <w:ind w:left="720" w:hanging="360"/>
      </w:pPr>
    </w:lvl>
    <w:lvl w:ilvl="1" w:tplc="5846FD32">
      <w:start w:val="1"/>
      <w:numFmt w:val="lowerLetter"/>
      <w:lvlText w:val="%2."/>
      <w:lvlJc w:val="left"/>
      <w:pPr>
        <w:tabs>
          <w:tab w:val="num" w:pos="1440"/>
        </w:tabs>
        <w:ind w:left="1440" w:hanging="360"/>
      </w:pPr>
    </w:lvl>
    <w:lvl w:ilvl="2" w:tplc="1DCA229A" w:tentative="1">
      <w:start w:val="1"/>
      <w:numFmt w:val="lowerRoman"/>
      <w:lvlText w:val="%3."/>
      <w:lvlJc w:val="right"/>
      <w:pPr>
        <w:tabs>
          <w:tab w:val="num" w:pos="2160"/>
        </w:tabs>
        <w:ind w:left="2160" w:hanging="180"/>
      </w:pPr>
    </w:lvl>
    <w:lvl w:ilvl="3" w:tplc="DAA8156E" w:tentative="1">
      <w:start w:val="1"/>
      <w:numFmt w:val="decimal"/>
      <w:lvlText w:val="%4."/>
      <w:lvlJc w:val="left"/>
      <w:pPr>
        <w:tabs>
          <w:tab w:val="num" w:pos="2880"/>
        </w:tabs>
        <w:ind w:left="2880" w:hanging="360"/>
      </w:pPr>
    </w:lvl>
    <w:lvl w:ilvl="4" w:tplc="8480A1EE" w:tentative="1">
      <w:start w:val="1"/>
      <w:numFmt w:val="lowerLetter"/>
      <w:lvlText w:val="%5."/>
      <w:lvlJc w:val="left"/>
      <w:pPr>
        <w:tabs>
          <w:tab w:val="num" w:pos="3600"/>
        </w:tabs>
        <w:ind w:left="3600" w:hanging="360"/>
      </w:pPr>
    </w:lvl>
    <w:lvl w:ilvl="5" w:tplc="B316F254" w:tentative="1">
      <w:start w:val="1"/>
      <w:numFmt w:val="lowerRoman"/>
      <w:lvlText w:val="%6."/>
      <w:lvlJc w:val="right"/>
      <w:pPr>
        <w:tabs>
          <w:tab w:val="num" w:pos="4320"/>
        </w:tabs>
        <w:ind w:left="4320" w:hanging="180"/>
      </w:pPr>
    </w:lvl>
    <w:lvl w:ilvl="6" w:tplc="3EC4696A" w:tentative="1">
      <w:start w:val="1"/>
      <w:numFmt w:val="decimal"/>
      <w:lvlText w:val="%7."/>
      <w:lvlJc w:val="left"/>
      <w:pPr>
        <w:tabs>
          <w:tab w:val="num" w:pos="5040"/>
        </w:tabs>
        <w:ind w:left="5040" w:hanging="360"/>
      </w:pPr>
    </w:lvl>
    <w:lvl w:ilvl="7" w:tplc="7234C566" w:tentative="1">
      <w:start w:val="1"/>
      <w:numFmt w:val="lowerLetter"/>
      <w:lvlText w:val="%8."/>
      <w:lvlJc w:val="left"/>
      <w:pPr>
        <w:tabs>
          <w:tab w:val="num" w:pos="5760"/>
        </w:tabs>
        <w:ind w:left="5760" w:hanging="360"/>
      </w:pPr>
    </w:lvl>
    <w:lvl w:ilvl="8" w:tplc="60FC05E6"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B354683"/>
    <w:multiLevelType w:val="hybridMultilevel"/>
    <w:tmpl w:val="0EE81776"/>
    <w:lvl w:ilvl="0" w:tplc="0804CC40">
      <w:numFmt w:val="bullet"/>
      <w:lvlText w:val="-"/>
      <w:lvlJc w:val="left"/>
      <w:pPr>
        <w:tabs>
          <w:tab w:val="num" w:pos="720"/>
        </w:tabs>
        <w:ind w:left="720" w:hanging="360"/>
      </w:pPr>
      <w:rPr>
        <w:rFonts w:ascii="Times New Roman" w:eastAsia="Times New Roman" w:hAnsi="Times New Roman" w:cs="Times New Roman" w:hint="default"/>
      </w:rPr>
    </w:lvl>
    <w:lvl w:ilvl="1" w:tplc="733C626C" w:tentative="1">
      <w:start w:val="1"/>
      <w:numFmt w:val="bullet"/>
      <w:lvlText w:val="o"/>
      <w:lvlJc w:val="left"/>
      <w:pPr>
        <w:tabs>
          <w:tab w:val="num" w:pos="1440"/>
        </w:tabs>
        <w:ind w:left="1440" w:hanging="360"/>
      </w:pPr>
      <w:rPr>
        <w:rFonts w:ascii="Courier New" w:hAnsi="Courier New" w:hint="default"/>
      </w:rPr>
    </w:lvl>
    <w:lvl w:ilvl="2" w:tplc="3E105E5A" w:tentative="1">
      <w:start w:val="1"/>
      <w:numFmt w:val="bullet"/>
      <w:lvlText w:val=""/>
      <w:lvlJc w:val="left"/>
      <w:pPr>
        <w:tabs>
          <w:tab w:val="num" w:pos="2160"/>
        </w:tabs>
        <w:ind w:left="2160" w:hanging="360"/>
      </w:pPr>
      <w:rPr>
        <w:rFonts w:ascii="Wingdings" w:hAnsi="Wingdings" w:hint="default"/>
      </w:rPr>
    </w:lvl>
    <w:lvl w:ilvl="3" w:tplc="07BC277C" w:tentative="1">
      <w:start w:val="1"/>
      <w:numFmt w:val="bullet"/>
      <w:lvlText w:val=""/>
      <w:lvlJc w:val="left"/>
      <w:pPr>
        <w:tabs>
          <w:tab w:val="num" w:pos="2880"/>
        </w:tabs>
        <w:ind w:left="2880" w:hanging="360"/>
      </w:pPr>
      <w:rPr>
        <w:rFonts w:ascii="Symbol" w:hAnsi="Symbol" w:hint="default"/>
      </w:rPr>
    </w:lvl>
    <w:lvl w:ilvl="4" w:tplc="281C3A34" w:tentative="1">
      <w:start w:val="1"/>
      <w:numFmt w:val="bullet"/>
      <w:lvlText w:val="o"/>
      <w:lvlJc w:val="left"/>
      <w:pPr>
        <w:tabs>
          <w:tab w:val="num" w:pos="3600"/>
        </w:tabs>
        <w:ind w:left="3600" w:hanging="360"/>
      </w:pPr>
      <w:rPr>
        <w:rFonts w:ascii="Courier New" w:hAnsi="Courier New" w:hint="default"/>
      </w:rPr>
    </w:lvl>
    <w:lvl w:ilvl="5" w:tplc="663440A6" w:tentative="1">
      <w:start w:val="1"/>
      <w:numFmt w:val="bullet"/>
      <w:lvlText w:val=""/>
      <w:lvlJc w:val="left"/>
      <w:pPr>
        <w:tabs>
          <w:tab w:val="num" w:pos="4320"/>
        </w:tabs>
        <w:ind w:left="4320" w:hanging="360"/>
      </w:pPr>
      <w:rPr>
        <w:rFonts w:ascii="Wingdings" w:hAnsi="Wingdings" w:hint="default"/>
      </w:rPr>
    </w:lvl>
    <w:lvl w:ilvl="6" w:tplc="80303400" w:tentative="1">
      <w:start w:val="1"/>
      <w:numFmt w:val="bullet"/>
      <w:lvlText w:val=""/>
      <w:lvlJc w:val="left"/>
      <w:pPr>
        <w:tabs>
          <w:tab w:val="num" w:pos="5040"/>
        </w:tabs>
        <w:ind w:left="5040" w:hanging="360"/>
      </w:pPr>
      <w:rPr>
        <w:rFonts w:ascii="Symbol" w:hAnsi="Symbol" w:hint="default"/>
      </w:rPr>
    </w:lvl>
    <w:lvl w:ilvl="7" w:tplc="4B928A9A" w:tentative="1">
      <w:start w:val="1"/>
      <w:numFmt w:val="bullet"/>
      <w:lvlText w:val="o"/>
      <w:lvlJc w:val="left"/>
      <w:pPr>
        <w:tabs>
          <w:tab w:val="num" w:pos="5760"/>
        </w:tabs>
        <w:ind w:left="5760" w:hanging="360"/>
      </w:pPr>
      <w:rPr>
        <w:rFonts w:ascii="Courier New" w:hAnsi="Courier New" w:hint="default"/>
      </w:rPr>
    </w:lvl>
    <w:lvl w:ilvl="8" w:tplc="96A6D54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588E9650">
      <w:start w:val="1"/>
      <w:numFmt w:val="decimal"/>
      <w:lvlText w:val="%1."/>
      <w:lvlJc w:val="left"/>
      <w:pPr>
        <w:tabs>
          <w:tab w:val="num" w:pos="1080"/>
        </w:tabs>
        <w:ind w:left="1080" w:hanging="360"/>
      </w:pPr>
    </w:lvl>
    <w:lvl w:ilvl="1" w:tplc="E766E7AE" w:tentative="1">
      <w:start w:val="1"/>
      <w:numFmt w:val="lowerLetter"/>
      <w:lvlText w:val="%2."/>
      <w:lvlJc w:val="left"/>
      <w:pPr>
        <w:tabs>
          <w:tab w:val="num" w:pos="1800"/>
        </w:tabs>
        <w:ind w:left="1800" w:hanging="360"/>
      </w:pPr>
    </w:lvl>
    <w:lvl w:ilvl="2" w:tplc="AB928B92" w:tentative="1">
      <w:start w:val="1"/>
      <w:numFmt w:val="lowerRoman"/>
      <w:lvlText w:val="%3."/>
      <w:lvlJc w:val="right"/>
      <w:pPr>
        <w:tabs>
          <w:tab w:val="num" w:pos="2520"/>
        </w:tabs>
        <w:ind w:left="2520" w:hanging="180"/>
      </w:pPr>
    </w:lvl>
    <w:lvl w:ilvl="3" w:tplc="C5EA4D6E" w:tentative="1">
      <w:start w:val="1"/>
      <w:numFmt w:val="decimal"/>
      <w:lvlText w:val="%4."/>
      <w:lvlJc w:val="left"/>
      <w:pPr>
        <w:tabs>
          <w:tab w:val="num" w:pos="3240"/>
        </w:tabs>
        <w:ind w:left="3240" w:hanging="360"/>
      </w:pPr>
    </w:lvl>
    <w:lvl w:ilvl="4" w:tplc="EF20393A" w:tentative="1">
      <w:start w:val="1"/>
      <w:numFmt w:val="lowerLetter"/>
      <w:lvlText w:val="%5."/>
      <w:lvlJc w:val="left"/>
      <w:pPr>
        <w:tabs>
          <w:tab w:val="num" w:pos="3960"/>
        </w:tabs>
        <w:ind w:left="3960" w:hanging="360"/>
      </w:pPr>
    </w:lvl>
    <w:lvl w:ilvl="5" w:tplc="CAA4A77E" w:tentative="1">
      <w:start w:val="1"/>
      <w:numFmt w:val="lowerRoman"/>
      <w:lvlText w:val="%6."/>
      <w:lvlJc w:val="right"/>
      <w:pPr>
        <w:tabs>
          <w:tab w:val="num" w:pos="4680"/>
        </w:tabs>
        <w:ind w:left="4680" w:hanging="180"/>
      </w:pPr>
    </w:lvl>
    <w:lvl w:ilvl="6" w:tplc="2B027408" w:tentative="1">
      <w:start w:val="1"/>
      <w:numFmt w:val="decimal"/>
      <w:lvlText w:val="%7."/>
      <w:lvlJc w:val="left"/>
      <w:pPr>
        <w:tabs>
          <w:tab w:val="num" w:pos="5400"/>
        </w:tabs>
        <w:ind w:left="5400" w:hanging="360"/>
      </w:pPr>
    </w:lvl>
    <w:lvl w:ilvl="7" w:tplc="B1383432" w:tentative="1">
      <w:start w:val="1"/>
      <w:numFmt w:val="lowerLetter"/>
      <w:lvlText w:val="%8."/>
      <w:lvlJc w:val="left"/>
      <w:pPr>
        <w:tabs>
          <w:tab w:val="num" w:pos="6120"/>
        </w:tabs>
        <w:ind w:left="6120" w:hanging="360"/>
      </w:pPr>
    </w:lvl>
    <w:lvl w:ilvl="8" w:tplc="F054628E" w:tentative="1">
      <w:start w:val="1"/>
      <w:numFmt w:val="lowerRoman"/>
      <w:lvlText w:val="%9."/>
      <w:lvlJc w:val="right"/>
      <w:pPr>
        <w:tabs>
          <w:tab w:val="num" w:pos="6840"/>
        </w:tabs>
        <w:ind w:left="6840" w:hanging="180"/>
      </w:pPr>
    </w:lvl>
  </w:abstractNum>
  <w:abstractNum w:abstractNumId="18" w15:restartNumberingAfterBreak="0">
    <w:nsid w:val="3DA64B37"/>
    <w:multiLevelType w:val="hybridMultilevel"/>
    <w:tmpl w:val="6D20E0BE"/>
    <w:lvl w:ilvl="0" w:tplc="7352852E">
      <w:start w:val="1"/>
      <w:numFmt w:val="bullet"/>
      <w:lvlText w:val="-"/>
      <w:lvlJc w:val="left"/>
      <w:pPr>
        <w:tabs>
          <w:tab w:val="num" w:pos="360"/>
        </w:tabs>
        <w:ind w:left="360" w:hanging="360"/>
      </w:pPr>
      <w:rPr>
        <w:rFonts w:ascii="Cambria" w:hAnsi="Cambria" w:hint="default"/>
      </w:rPr>
    </w:lvl>
    <w:lvl w:ilvl="1" w:tplc="BD70F7A4" w:tentative="1">
      <w:start w:val="1"/>
      <w:numFmt w:val="bullet"/>
      <w:lvlText w:val="o"/>
      <w:lvlJc w:val="left"/>
      <w:pPr>
        <w:ind w:left="1440" w:hanging="360"/>
      </w:pPr>
      <w:rPr>
        <w:rFonts w:ascii="Courier New" w:hAnsi="Courier New" w:cs="Courier New" w:hint="default"/>
      </w:rPr>
    </w:lvl>
    <w:lvl w:ilvl="2" w:tplc="ED94DB38" w:tentative="1">
      <w:start w:val="1"/>
      <w:numFmt w:val="bullet"/>
      <w:lvlText w:val=""/>
      <w:lvlJc w:val="left"/>
      <w:pPr>
        <w:ind w:left="2160" w:hanging="360"/>
      </w:pPr>
      <w:rPr>
        <w:rFonts w:ascii="Wingdings" w:hAnsi="Wingdings" w:hint="default"/>
      </w:rPr>
    </w:lvl>
    <w:lvl w:ilvl="3" w:tplc="7A1C0364" w:tentative="1">
      <w:start w:val="1"/>
      <w:numFmt w:val="bullet"/>
      <w:lvlText w:val=""/>
      <w:lvlJc w:val="left"/>
      <w:pPr>
        <w:ind w:left="2880" w:hanging="360"/>
      </w:pPr>
      <w:rPr>
        <w:rFonts w:ascii="Symbol" w:hAnsi="Symbol" w:hint="default"/>
      </w:rPr>
    </w:lvl>
    <w:lvl w:ilvl="4" w:tplc="74E621CE" w:tentative="1">
      <w:start w:val="1"/>
      <w:numFmt w:val="bullet"/>
      <w:lvlText w:val="o"/>
      <w:lvlJc w:val="left"/>
      <w:pPr>
        <w:ind w:left="3600" w:hanging="360"/>
      </w:pPr>
      <w:rPr>
        <w:rFonts w:ascii="Courier New" w:hAnsi="Courier New" w:cs="Courier New" w:hint="default"/>
      </w:rPr>
    </w:lvl>
    <w:lvl w:ilvl="5" w:tplc="5E6A77DE" w:tentative="1">
      <w:start w:val="1"/>
      <w:numFmt w:val="bullet"/>
      <w:lvlText w:val=""/>
      <w:lvlJc w:val="left"/>
      <w:pPr>
        <w:ind w:left="4320" w:hanging="360"/>
      </w:pPr>
      <w:rPr>
        <w:rFonts w:ascii="Wingdings" w:hAnsi="Wingdings" w:hint="default"/>
      </w:rPr>
    </w:lvl>
    <w:lvl w:ilvl="6" w:tplc="E0721B58" w:tentative="1">
      <w:start w:val="1"/>
      <w:numFmt w:val="bullet"/>
      <w:lvlText w:val=""/>
      <w:lvlJc w:val="left"/>
      <w:pPr>
        <w:ind w:left="5040" w:hanging="360"/>
      </w:pPr>
      <w:rPr>
        <w:rFonts w:ascii="Symbol" w:hAnsi="Symbol" w:hint="default"/>
      </w:rPr>
    </w:lvl>
    <w:lvl w:ilvl="7" w:tplc="4AC4A58C" w:tentative="1">
      <w:start w:val="1"/>
      <w:numFmt w:val="bullet"/>
      <w:lvlText w:val="o"/>
      <w:lvlJc w:val="left"/>
      <w:pPr>
        <w:ind w:left="5760" w:hanging="360"/>
      </w:pPr>
      <w:rPr>
        <w:rFonts w:ascii="Courier New" w:hAnsi="Courier New" w:cs="Courier New" w:hint="default"/>
      </w:rPr>
    </w:lvl>
    <w:lvl w:ilvl="8" w:tplc="6D6AF4AA" w:tentative="1">
      <w:start w:val="1"/>
      <w:numFmt w:val="bullet"/>
      <w:lvlText w:val=""/>
      <w:lvlJc w:val="left"/>
      <w:pPr>
        <w:ind w:left="6480" w:hanging="360"/>
      </w:pPr>
      <w:rPr>
        <w:rFonts w:ascii="Wingdings" w:hAnsi="Wingdings" w:hint="default"/>
      </w:rPr>
    </w:lvl>
  </w:abstractNum>
  <w:abstractNum w:abstractNumId="19" w15:restartNumberingAfterBreak="0">
    <w:nsid w:val="467373A9"/>
    <w:multiLevelType w:val="hybridMultilevel"/>
    <w:tmpl w:val="E3BA04EE"/>
    <w:lvl w:ilvl="0" w:tplc="EDCC3CF2">
      <w:start w:val="1"/>
      <w:numFmt w:val="decimal"/>
      <w:lvlText w:val="%1."/>
      <w:lvlJc w:val="left"/>
      <w:pPr>
        <w:tabs>
          <w:tab w:val="num" w:pos="930"/>
        </w:tabs>
        <w:ind w:left="930" w:hanging="570"/>
      </w:pPr>
      <w:rPr>
        <w:rFonts w:hint="default"/>
      </w:rPr>
    </w:lvl>
    <w:lvl w:ilvl="1" w:tplc="99E45CAC">
      <w:start w:val="5"/>
      <w:numFmt w:val="decimal"/>
      <w:lvlText w:val="%2"/>
      <w:lvlJc w:val="left"/>
      <w:pPr>
        <w:tabs>
          <w:tab w:val="num" w:pos="1650"/>
        </w:tabs>
        <w:ind w:left="1650" w:hanging="570"/>
      </w:pPr>
      <w:rPr>
        <w:rFonts w:hint="default"/>
      </w:rPr>
    </w:lvl>
    <w:lvl w:ilvl="2" w:tplc="A356A4DE" w:tentative="1">
      <w:start w:val="1"/>
      <w:numFmt w:val="lowerRoman"/>
      <w:lvlText w:val="%3."/>
      <w:lvlJc w:val="right"/>
      <w:pPr>
        <w:tabs>
          <w:tab w:val="num" w:pos="2160"/>
        </w:tabs>
        <w:ind w:left="2160" w:hanging="180"/>
      </w:pPr>
    </w:lvl>
    <w:lvl w:ilvl="3" w:tplc="467ECE06" w:tentative="1">
      <w:start w:val="1"/>
      <w:numFmt w:val="decimal"/>
      <w:lvlText w:val="%4."/>
      <w:lvlJc w:val="left"/>
      <w:pPr>
        <w:tabs>
          <w:tab w:val="num" w:pos="2880"/>
        </w:tabs>
        <w:ind w:left="2880" w:hanging="360"/>
      </w:pPr>
    </w:lvl>
    <w:lvl w:ilvl="4" w:tplc="5330C764" w:tentative="1">
      <w:start w:val="1"/>
      <w:numFmt w:val="lowerLetter"/>
      <w:lvlText w:val="%5."/>
      <w:lvlJc w:val="left"/>
      <w:pPr>
        <w:tabs>
          <w:tab w:val="num" w:pos="3600"/>
        </w:tabs>
        <w:ind w:left="3600" w:hanging="360"/>
      </w:pPr>
    </w:lvl>
    <w:lvl w:ilvl="5" w:tplc="D0E45412" w:tentative="1">
      <w:start w:val="1"/>
      <w:numFmt w:val="lowerRoman"/>
      <w:lvlText w:val="%6."/>
      <w:lvlJc w:val="right"/>
      <w:pPr>
        <w:tabs>
          <w:tab w:val="num" w:pos="4320"/>
        </w:tabs>
        <w:ind w:left="4320" w:hanging="180"/>
      </w:pPr>
    </w:lvl>
    <w:lvl w:ilvl="6" w:tplc="D240A316" w:tentative="1">
      <w:start w:val="1"/>
      <w:numFmt w:val="decimal"/>
      <w:lvlText w:val="%7."/>
      <w:lvlJc w:val="left"/>
      <w:pPr>
        <w:tabs>
          <w:tab w:val="num" w:pos="5040"/>
        </w:tabs>
        <w:ind w:left="5040" w:hanging="360"/>
      </w:pPr>
    </w:lvl>
    <w:lvl w:ilvl="7" w:tplc="ECD2D778" w:tentative="1">
      <w:start w:val="1"/>
      <w:numFmt w:val="lowerLetter"/>
      <w:lvlText w:val="%8."/>
      <w:lvlJc w:val="left"/>
      <w:pPr>
        <w:tabs>
          <w:tab w:val="num" w:pos="5760"/>
        </w:tabs>
        <w:ind w:left="5760" w:hanging="360"/>
      </w:pPr>
    </w:lvl>
    <w:lvl w:ilvl="8" w:tplc="C6FA0596" w:tentative="1">
      <w:start w:val="1"/>
      <w:numFmt w:val="lowerRoman"/>
      <w:lvlText w:val="%9."/>
      <w:lvlJc w:val="right"/>
      <w:pPr>
        <w:tabs>
          <w:tab w:val="num" w:pos="6480"/>
        </w:tabs>
        <w:ind w:left="6480" w:hanging="180"/>
      </w:p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4DAE5508"/>
    <w:multiLevelType w:val="hybridMultilevel"/>
    <w:tmpl w:val="DA0EE772"/>
    <w:lvl w:ilvl="0" w:tplc="A48AAAC4">
      <w:start w:val="1"/>
      <w:numFmt w:val="bullet"/>
      <w:lvlText w:val=""/>
      <w:lvlJc w:val="left"/>
      <w:pPr>
        <w:tabs>
          <w:tab w:val="num" w:pos="278"/>
        </w:tabs>
        <w:ind w:left="278" w:hanging="360"/>
      </w:pPr>
      <w:rPr>
        <w:rFonts w:ascii="Symbol" w:hAnsi="Symbol" w:hint="default"/>
      </w:rPr>
    </w:lvl>
    <w:lvl w:ilvl="1" w:tplc="995CC58E" w:tentative="1">
      <w:start w:val="1"/>
      <w:numFmt w:val="bullet"/>
      <w:lvlText w:val="o"/>
      <w:lvlJc w:val="left"/>
      <w:pPr>
        <w:tabs>
          <w:tab w:val="num" w:pos="1440"/>
        </w:tabs>
        <w:ind w:left="1440" w:hanging="360"/>
      </w:pPr>
      <w:rPr>
        <w:rFonts w:ascii="Courier New" w:hAnsi="Courier New" w:hint="default"/>
      </w:rPr>
    </w:lvl>
    <w:lvl w:ilvl="2" w:tplc="62A4CD5C" w:tentative="1">
      <w:start w:val="1"/>
      <w:numFmt w:val="bullet"/>
      <w:lvlText w:val=""/>
      <w:lvlJc w:val="left"/>
      <w:pPr>
        <w:tabs>
          <w:tab w:val="num" w:pos="2160"/>
        </w:tabs>
        <w:ind w:left="2160" w:hanging="360"/>
      </w:pPr>
      <w:rPr>
        <w:rFonts w:ascii="Wingdings" w:hAnsi="Wingdings" w:hint="default"/>
      </w:rPr>
    </w:lvl>
    <w:lvl w:ilvl="3" w:tplc="DD62A604" w:tentative="1">
      <w:start w:val="1"/>
      <w:numFmt w:val="bullet"/>
      <w:lvlText w:val=""/>
      <w:lvlJc w:val="left"/>
      <w:pPr>
        <w:tabs>
          <w:tab w:val="num" w:pos="2880"/>
        </w:tabs>
        <w:ind w:left="2880" w:hanging="360"/>
      </w:pPr>
      <w:rPr>
        <w:rFonts w:ascii="Symbol" w:hAnsi="Symbol" w:hint="default"/>
      </w:rPr>
    </w:lvl>
    <w:lvl w:ilvl="4" w:tplc="5396FDBA" w:tentative="1">
      <w:start w:val="1"/>
      <w:numFmt w:val="bullet"/>
      <w:lvlText w:val="o"/>
      <w:lvlJc w:val="left"/>
      <w:pPr>
        <w:tabs>
          <w:tab w:val="num" w:pos="3600"/>
        </w:tabs>
        <w:ind w:left="3600" w:hanging="360"/>
      </w:pPr>
      <w:rPr>
        <w:rFonts w:ascii="Courier New" w:hAnsi="Courier New" w:hint="default"/>
      </w:rPr>
    </w:lvl>
    <w:lvl w:ilvl="5" w:tplc="8690A644" w:tentative="1">
      <w:start w:val="1"/>
      <w:numFmt w:val="bullet"/>
      <w:lvlText w:val=""/>
      <w:lvlJc w:val="left"/>
      <w:pPr>
        <w:tabs>
          <w:tab w:val="num" w:pos="4320"/>
        </w:tabs>
        <w:ind w:left="4320" w:hanging="360"/>
      </w:pPr>
      <w:rPr>
        <w:rFonts w:ascii="Wingdings" w:hAnsi="Wingdings" w:hint="default"/>
      </w:rPr>
    </w:lvl>
    <w:lvl w:ilvl="6" w:tplc="1DD60174" w:tentative="1">
      <w:start w:val="1"/>
      <w:numFmt w:val="bullet"/>
      <w:lvlText w:val=""/>
      <w:lvlJc w:val="left"/>
      <w:pPr>
        <w:tabs>
          <w:tab w:val="num" w:pos="5040"/>
        </w:tabs>
        <w:ind w:left="5040" w:hanging="360"/>
      </w:pPr>
      <w:rPr>
        <w:rFonts w:ascii="Symbol" w:hAnsi="Symbol" w:hint="default"/>
      </w:rPr>
    </w:lvl>
    <w:lvl w:ilvl="7" w:tplc="FDEE2B56" w:tentative="1">
      <w:start w:val="1"/>
      <w:numFmt w:val="bullet"/>
      <w:lvlText w:val="o"/>
      <w:lvlJc w:val="left"/>
      <w:pPr>
        <w:tabs>
          <w:tab w:val="num" w:pos="5760"/>
        </w:tabs>
        <w:ind w:left="5760" w:hanging="360"/>
      </w:pPr>
      <w:rPr>
        <w:rFonts w:ascii="Courier New" w:hAnsi="Courier New" w:hint="default"/>
      </w:rPr>
    </w:lvl>
    <w:lvl w:ilvl="8" w:tplc="F07679C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473E"/>
    <w:multiLevelType w:val="hybridMultilevel"/>
    <w:tmpl w:val="BA782D10"/>
    <w:lvl w:ilvl="0" w:tplc="A1DCE260">
      <w:start w:val="5"/>
      <w:numFmt w:val="upperLetter"/>
      <w:lvlText w:val="%1."/>
      <w:lvlJc w:val="left"/>
      <w:pPr>
        <w:tabs>
          <w:tab w:val="num" w:pos="720"/>
        </w:tabs>
        <w:ind w:left="720" w:hanging="360"/>
      </w:pPr>
      <w:rPr>
        <w:rFonts w:hint="default"/>
      </w:rPr>
    </w:lvl>
    <w:lvl w:ilvl="1" w:tplc="2F7ACBBE" w:tentative="1">
      <w:start w:val="1"/>
      <w:numFmt w:val="lowerLetter"/>
      <w:lvlText w:val="%2."/>
      <w:lvlJc w:val="left"/>
      <w:pPr>
        <w:tabs>
          <w:tab w:val="num" w:pos="1440"/>
        </w:tabs>
        <w:ind w:left="1440" w:hanging="360"/>
      </w:pPr>
    </w:lvl>
    <w:lvl w:ilvl="2" w:tplc="E814F560" w:tentative="1">
      <w:start w:val="1"/>
      <w:numFmt w:val="lowerRoman"/>
      <w:lvlText w:val="%3."/>
      <w:lvlJc w:val="right"/>
      <w:pPr>
        <w:tabs>
          <w:tab w:val="num" w:pos="2160"/>
        </w:tabs>
        <w:ind w:left="2160" w:hanging="180"/>
      </w:pPr>
    </w:lvl>
    <w:lvl w:ilvl="3" w:tplc="E6C84C50" w:tentative="1">
      <w:start w:val="1"/>
      <w:numFmt w:val="decimal"/>
      <w:lvlText w:val="%4."/>
      <w:lvlJc w:val="left"/>
      <w:pPr>
        <w:tabs>
          <w:tab w:val="num" w:pos="2880"/>
        </w:tabs>
        <w:ind w:left="2880" w:hanging="360"/>
      </w:pPr>
    </w:lvl>
    <w:lvl w:ilvl="4" w:tplc="FF04DBDC" w:tentative="1">
      <w:start w:val="1"/>
      <w:numFmt w:val="lowerLetter"/>
      <w:lvlText w:val="%5."/>
      <w:lvlJc w:val="left"/>
      <w:pPr>
        <w:tabs>
          <w:tab w:val="num" w:pos="3600"/>
        </w:tabs>
        <w:ind w:left="3600" w:hanging="360"/>
      </w:pPr>
    </w:lvl>
    <w:lvl w:ilvl="5" w:tplc="0B7A931C" w:tentative="1">
      <w:start w:val="1"/>
      <w:numFmt w:val="lowerRoman"/>
      <w:lvlText w:val="%6."/>
      <w:lvlJc w:val="right"/>
      <w:pPr>
        <w:tabs>
          <w:tab w:val="num" w:pos="4320"/>
        </w:tabs>
        <w:ind w:left="4320" w:hanging="180"/>
      </w:pPr>
    </w:lvl>
    <w:lvl w:ilvl="6" w:tplc="03762824" w:tentative="1">
      <w:start w:val="1"/>
      <w:numFmt w:val="decimal"/>
      <w:lvlText w:val="%7."/>
      <w:lvlJc w:val="left"/>
      <w:pPr>
        <w:tabs>
          <w:tab w:val="num" w:pos="5040"/>
        </w:tabs>
        <w:ind w:left="5040" w:hanging="360"/>
      </w:pPr>
    </w:lvl>
    <w:lvl w:ilvl="7" w:tplc="7736E462" w:tentative="1">
      <w:start w:val="1"/>
      <w:numFmt w:val="lowerLetter"/>
      <w:lvlText w:val="%8."/>
      <w:lvlJc w:val="left"/>
      <w:pPr>
        <w:tabs>
          <w:tab w:val="num" w:pos="5760"/>
        </w:tabs>
        <w:ind w:left="5760" w:hanging="360"/>
      </w:pPr>
    </w:lvl>
    <w:lvl w:ilvl="8" w:tplc="3CE23B04" w:tentative="1">
      <w:start w:val="1"/>
      <w:numFmt w:val="lowerRoman"/>
      <w:lvlText w:val="%9."/>
      <w:lvlJc w:val="right"/>
      <w:pPr>
        <w:tabs>
          <w:tab w:val="num" w:pos="6480"/>
        </w:tabs>
        <w:ind w:left="6480" w:hanging="180"/>
      </w:pPr>
    </w:lvl>
  </w:abstractNum>
  <w:abstractNum w:abstractNumId="23" w15:restartNumberingAfterBreak="0">
    <w:nsid w:val="4F1F1D26"/>
    <w:multiLevelType w:val="hybridMultilevel"/>
    <w:tmpl w:val="2E749F0C"/>
    <w:lvl w:ilvl="0" w:tplc="13BC6C2A">
      <w:start w:val="1"/>
      <w:numFmt w:val="bullet"/>
      <w:lvlText w:val=""/>
      <w:lvlJc w:val="left"/>
      <w:pPr>
        <w:tabs>
          <w:tab w:val="num" w:pos="776"/>
        </w:tabs>
        <w:ind w:left="776" w:hanging="360"/>
      </w:pPr>
      <w:rPr>
        <w:rFonts w:ascii="Symbol" w:hAnsi="Symbol" w:hint="default"/>
      </w:rPr>
    </w:lvl>
    <w:lvl w:ilvl="1" w:tplc="FDA64F78" w:tentative="1">
      <w:start w:val="1"/>
      <w:numFmt w:val="bullet"/>
      <w:lvlText w:val="o"/>
      <w:lvlJc w:val="left"/>
      <w:pPr>
        <w:tabs>
          <w:tab w:val="num" w:pos="1496"/>
        </w:tabs>
        <w:ind w:left="1496" w:hanging="360"/>
      </w:pPr>
      <w:rPr>
        <w:rFonts w:ascii="Courier New" w:hAnsi="Courier New" w:hint="default"/>
      </w:rPr>
    </w:lvl>
    <w:lvl w:ilvl="2" w:tplc="0074D0E8" w:tentative="1">
      <w:start w:val="1"/>
      <w:numFmt w:val="bullet"/>
      <w:lvlText w:val=""/>
      <w:lvlJc w:val="left"/>
      <w:pPr>
        <w:tabs>
          <w:tab w:val="num" w:pos="2216"/>
        </w:tabs>
        <w:ind w:left="2216" w:hanging="360"/>
      </w:pPr>
      <w:rPr>
        <w:rFonts w:ascii="Wingdings" w:hAnsi="Wingdings" w:hint="default"/>
      </w:rPr>
    </w:lvl>
    <w:lvl w:ilvl="3" w:tplc="E0D25362" w:tentative="1">
      <w:start w:val="1"/>
      <w:numFmt w:val="bullet"/>
      <w:lvlText w:val=""/>
      <w:lvlJc w:val="left"/>
      <w:pPr>
        <w:tabs>
          <w:tab w:val="num" w:pos="2936"/>
        </w:tabs>
        <w:ind w:left="2936" w:hanging="360"/>
      </w:pPr>
      <w:rPr>
        <w:rFonts w:ascii="Symbol" w:hAnsi="Symbol" w:hint="default"/>
      </w:rPr>
    </w:lvl>
    <w:lvl w:ilvl="4" w:tplc="42C61624" w:tentative="1">
      <w:start w:val="1"/>
      <w:numFmt w:val="bullet"/>
      <w:lvlText w:val="o"/>
      <w:lvlJc w:val="left"/>
      <w:pPr>
        <w:tabs>
          <w:tab w:val="num" w:pos="3656"/>
        </w:tabs>
        <w:ind w:left="3656" w:hanging="360"/>
      </w:pPr>
      <w:rPr>
        <w:rFonts w:ascii="Courier New" w:hAnsi="Courier New" w:hint="default"/>
      </w:rPr>
    </w:lvl>
    <w:lvl w:ilvl="5" w:tplc="A7E814E0" w:tentative="1">
      <w:start w:val="1"/>
      <w:numFmt w:val="bullet"/>
      <w:lvlText w:val=""/>
      <w:lvlJc w:val="left"/>
      <w:pPr>
        <w:tabs>
          <w:tab w:val="num" w:pos="4376"/>
        </w:tabs>
        <w:ind w:left="4376" w:hanging="360"/>
      </w:pPr>
      <w:rPr>
        <w:rFonts w:ascii="Wingdings" w:hAnsi="Wingdings" w:hint="default"/>
      </w:rPr>
    </w:lvl>
    <w:lvl w:ilvl="6" w:tplc="4CF6C934" w:tentative="1">
      <w:start w:val="1"/>
      <w:numFmt w:val="bullet"/>
      <w:lvlText w:val=""/>
      <w:lvlJc w:val="left"/>
      <w:pPr>
        <w:tabs>
          <w:tab w:val="num" w:pos="5096"/>
        </w:tabs>
        <w:ind w:left="5096" w:hanging="360"/>
      </w:pPr>
      <w:rPr>
        <w:rFonts w:ascii="Symbol" w:hAnsi="Symbol" w:hint="default"/>
      </w:rPr>
    </w:lvl>
    <w:lvl w:ilvl="7" w:tplc="8B908722" w:tentative="1">
      <w:start w:val="1"/>
      <w:numFmt w:val="bullet"/>
      <w:lvlText w:val="o"/>
      <w:lvlJc w:val="left"/>
      <w:pPr>
        <w:tabs>
          <w:tab w:val="num" w:pos="5816"/>
        </w:tabs>
        <w:ind w:left="5816" w:hanging="360"/>
      </w:pPr>
      <w:rPr>
        <w:rFonts w:ascii="Courier New" w:hAnsi="Courier New" w:hint="default"/>
      </w:rPr>
    </w:lvl>
    <w:lvl w:ilvl="8" w:tplc="89F89AD4"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52C80393"/>
    <w:multiLevelType w:val="hybridMultilevel"/>
    <w:tmpl w:val="7996087A"/>
    <w:lvl w:ilvl="0" w:tplc="980C73FA">
      <w:start w:val="1"/>
      <w:numFmt w:val="bullet"/>
      <w:lvlText w:val=""/>
      <w:lvlJc w:val="left"/>
      <w:pPr>
        <w:tabs>
          <w:tab w:val="num" w:pos="278"/>
        </w:tabs>
        <w:ind w:left="278" w:hanging="360"/>
      </w:pPr>
      <w:rPr>
        <w:rFonts w:ascii="Symbol" w:hAnsi="Symbol" w:hint="default"/>
      </w:rPr>
    </w:lvl>
    <w:lvl w:ilvl="1" w:tplc="BA782D0C" w:tentative="1">
      <w:start w:val="1"/>
      <w:numFmt w:val="bullet"/>
      <w:lvlText w:val="o"/>
      <w:lvlJc w:val="left"/>
      <w:pPr>
        <w:tabs>
          <w:tab w:val="num" w:pos="1440"/>
        </w:tabs>
        <w:ind w:left="1440" w:hanging="360"/>
      </w:pPr>
      <w:rPr>
        <w:rFonts w:ascii="Courier New" w:hAnsi="Courier New" w:hint="default"/>
      </w:rPr>
    </w:lvl>
    <w:lvl w:ilvl="2" w:tplc="9564AAB6" w:tentative="1">
      <w:start w:val="1"/>
      <w:numFmt w:val="bullet"/>
      <w:lvlText w:val=""/>
      <w:lvlJc w:val="left"/>
      <w:pPr>
        <w:tabs>
          <w:tab w:val="num" w:pos="2160"/>
        </w:tabs>
        <w:ind w:left="2160" w:hanging="360"/>
      </w:pPr>
      <w:rPr>
        <w:rFonts w:ascii="Wingdings" w:hAnsi="Wingdings" w:hint="default"/>
      </w:rPr>
    </w:lvl>
    <w:lvl w:ilvl="3" w:tplc="A92A3406" w:tentative="1">
      <w:start w:val="1"/>
      <w:numFmt w:val="bullet"/>
      <w:lvlText w:val=""/>
      <w:lvlJc w:val="left"/>
      <w:pPr>
        <w:tabs>
          <w:tab w:val="num" w:pos="2880"/>
        </w:tabs>
        <w:ind w:left="2880" w:hanging="360"/>
      </w:pPr>
      <w:rPr>
        <w:rFonts w:ascii="Symbol" w:hAnsi="Symbol" w:hint="default"/>
      </w:rPr>
    </w:lvl>
    <w:lvl w:ilvl="4" w:tplc="24043538" w:tentative="1">
      <w:start w:val="1"/>
      <w:numFmt w:val="bullet"/>
      <w:lvlText w:val="o"/>
      <w:lvlJc w:val="left"/>
      <w:pPr>
        <w:tabs>
          <w:tab w:val="num" w:pos="3600"/>
        </w:tabs>
        <w:ind w:left="3600" w:hanging="360"/>
      </w:pPr>
      <w:rPr>
        <w:rFonts w:ascii="Courier New" w:hAnsi="Courier New" w:hint="default"/>
      </w:rPr>
    </w:lvl>
    <w:lvl w:ilvl="5" w:tplc="076AEA28" w:tentative="1">
      <w:start w:val="1"/>
      <w:numFmt w:val="bullet"/>
      <w:lvlText w:val=""/>
      <w:lvlJc w:val="left"/>
      <w:pPr>
        <w:tabs>
          <w:tab w:val="num" w:pos="4320"/>
        </w:tabs>
        <w:ind w:left="4320" w:hanging="360"/>
      </w:pPr>
      <w:rPr>
        <w:rFonts w:ascii="Wingdings" w:hAnsi="Wingdings" w:hint="default"/>
      </w:rPr>
    </w:lvl>
    <w:lvl w:ilvl="6" w:tplc="A00C8C3A" w:tentative="1">
      <w:start w:val="1"/>
      <w:numFmt w:val="bullet"/>
      <w:lvlText w:val=""/>
      <w:lvlJc w:val="left"/>
      <w:pPr>
        <w:tabs>
          <w:tab w:val="num" w:pos="5040"/>
        </w:tabs>
        <w:ind w:left="5040" w:hanging="360"/>
      </w:pPr>
      <w:rPr>
        <w:rFonts w:ascii="Symbol" w:hAnsi="Symbol" w:hint="default"/>
      </w:rPr>
    </w:lvl>
    <w:lvl w:ilvl="7" w:tplc="2CF86C2C" w:tentative="1">
      <w:start w:val="1"/>
      <w:numFmt w:val="bullet"/>
      <w:lvlText w:val="o"/>
      <w:lvlJc w:val="left"/>
      <w:pPr>
        <w:tabs>
          <w:tab w:val="num" w:pos="5760"/>
        </w:tabs>
        <w:ind w:left="5760" w:hanging="360"/>
      </w:pPr>
      <w:rPr>
        <w:rFonts w:ascii="Courier New" w:hAnsi="Courier New" w:hint="default"/>
      </w:rPr>
    </w:lvl>
    <w:lvl w:ilvl="8" w:tplc="52F4BBF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A3F65D8"/>
    <w:multiLevelType w:val="multilevel"/>
    <w:tmpl w:val="A02E932A"/>
    <w:numStyleLink w:val="BulletsAgency"/>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5E0C3C1E"/>
    <w:multiLevelType w:val="hybridMultilevel"/>
    <w:tmpl w:val="BCC6941C"/>
    <w:lvl w:ilvl="0" w:tplc="6858590C">
      <w:start w:val="1"/>
      <w:numFmt w:val="upperLetter"/>
      <w:pStyle w:val="Style3"/>
      <w:suff w:val="space"/>
      <w:lvlText w:val="%1."/>
      <w:lvlJc w:val="left"/>
      <w:pPr>
        <w:ind w:left="0" w:firstLine="0"/>
      </w:pPr>
      <w:rPr>
        <w:rFonts w:hint="default"/>
      </w:rPr>
    </w:lvl>
    <w:lvl w:ilvl="1" w:tplc="B0180EE4" w:tentative="1">
      <w:start w:val="1"/>
      <w:numFmt w:val="lowerLetter"/>
      <w:lvlText w:val="%2."/>
      <w:lvlJc w:val="left"/>
      <w:pPr>
        <w:ind w:left="1440" w:hanging="360"/>
      </w:pPr>
    </w:lvl>
    <w:lvl w:ilvl="2" w:tplc="A8626C3A" w:tentative="1">
      <w:start w:val="1"/>
      <w:numFmt w:val="lowerRoman"/>
      <w:lvlText w:val="%3."/>
      <w:lvlJc w:val="right"/>
      <w:pPr>
        <w:ind w:left="2160" w:hanging="180"/>
      </w:pPr>
    </w:lvl>
    <w:lvl w:ilvl="3" w:tplc="807A2FE2" w:tentative="1">
      <w:start w:val="1"/>
      <w:numFmt w:val="decimal"/>
      <w:lvlText w:val="%4."/>
      <w:lvlJc w:val="left"/>
      <w:pPr>
        <w:ind w:left="2880" w:hanging="360"/>
      </w:pPr>
    </w:lvl>
    <w:lvl w:ilvl="4" w:tplc="5BFE7D92" w:tentative="1">
      <w:start w:val="1"/>
      <w:numFmt w:val="lowerLetter"/>
      <w:lvlText w:val="%5."/>
      <w:lvlJc w:val="left"/>
      <w:pPr>
        <w:ind w:left="3600" w:hanging="360"/>
      </w:pPr>
    </w:lvl>
    <w:lvl w:ilvl="5" w:tplc="B2A28EFA" w:tentative="1">
      <w:start w:val="1"/>
      <w:numFmt w:val="lowerRoman"/>
      <w:lvlText w:val="%6."/>
      <w:lvlJc w:val="right"/>
      <w:pPr>
        <w:ind w:left="4320" w:hanging="180"/>
      </w:pPr>
    </w:lvl>
    <w:lvl w:ilvl="6" w:tplc="AF783180" w:tentative="1">
      <w:start w:val="1"/>
      <w:numFmt w:val="decimal"/>
      <w:lvlText w:val="%7."/>
      <w:lvlJc w:val="left"/>
      <w:pPr>
        <w:ind w:left="5040" w:hanging="360"/>
      </w:pPr>
    </w:lvl>
    <w:lvl w:ilvl="7" w:tplc="8C9A863E" w:tentative="1">
      <w:start w:val="1"/>
      <w:numFmt w:val="lowerLetter"/>
      <w:lvlText w:val="%8."/>
      <w:lvlJc w:val="left"/>
      <w:pPr>
        <w:ind w:left="5760" w:hanging="360"/>
      </w:pPr>
    </w:lvl>
    <w:lvl w:ilvl="8" w:tplc="6C6874A4" w:tentative="1">
      <w:start w:val="1"/>
      <w:numFmt w:val="lowerRoman"/>
      <w:lvlText w:val="%9."/>
      <w:lvlJc w:val="right"/>
      <w:pPr>
        <w:ind w:left="6480" w:hanging="180"/>
      </w:pPr>
    </w:lvl>
  </w:abstractNum>
  <w:abstractNum w:abstractNumId="29" w15:restartNumberingAfterBreak="0">
    <w:nsid w:val="630E67BF"/>
    <w:multiLevelType w:val="hybridMultilevel"/>
    <w:tmpl w:val="B1D854E2"/>
    <w:lvl w:ilvl="0" w:tplc="6FE05540">
      <w:start w:val="1"/>
      <w:numFmt w:val="bullet"/>
      <w:lvlText w:val=""/>
      <w:lvlJc w:val="left"/>
      <w:pPr>
        <w:tabs>
          <w:tab w:val="num" w:pos="278"/>
        </w:tabs>
        <w:ind w:left="278" w:hanging="360"/>
      </w:pPr>
      <w:rPr>
        <w:rFonts w:ascii="Symbol" w:hAnsi="Symbol" w:hint="default"/>
      </w:rPr>
    </w:lvl>
    <w:lvl w:ilvl="1" w:tplc="12B06860" w:tentative="1">
      <w:start w:val="1"/>
      <w:numFmt w:val="bullet"/>
      <w:lvlText w:val="o"/>
      <w:lvlJc w:val="left"/>
      <w:pPr>
        <w:tabs>
          <w:tab w:val="num" w:pos="1440"/>
        </w:tabs>
        <w:ind w:left="1440" w:hanging="360"/>
      </w:pPr>
      <w:rPr>
        <w:rFonts w:ascii="Courier New" w:hAnsi="Courier New" w:hint="default"/>
      </w:rPr>
    </w:lvl>
    <w:lvl w:ilvl="2" w:tplc="A63A86D2" w:tentative="1">
      <w:start w:val="1"/>
      <w:numFmt w:val="bullet"/>
      <w:lvlText w:val=""/>
      <w:lvlJc w:val="left"/>
      <w:pPr>
        <w:tabs>
          <w:tab w:val="num" w:pos="2160"/>
        </w:tabs>
        <w:ind w:left="2160" w:hanging="360"/>
      </w:pPr>
      <w:rPr>
        <w:rFonts w:ascii="Wingdings" w:hAnsi="Wingdings" w:hint="default"/>
      </w:rPr>
    </w:lvl>
    <w:lvl w:ilvl="3" w:tplc="B6CE7BF4" w:tentative="1">
      <w:start w:val="1"/>
      <w:numFmt w:val="bullet"/>
      <w:lvlText w:val=""/>
      <w:lvlJc w:val="left"/>
      <w:pPr>
        <w:tabs>
          <w:tab w:val="num" w:pos="2880"/>
        </w:tabs>
        <w:ind w:left="2880" w:hanging="360"/>
      </w:pPr>
      <w:rPr>
        <w:rFonts w:ascii="Symbol" w:hAnsi="Symbol" w:hint="default"/>
      </w:rPr>
    </w:lvl>
    <w:lvl w:ilvl="4" w:tplc="E14000A8" w:tentative="1">
      <w:start w:val="1"/>
      <w:numFmt w:val="bullet"/>
      <w:lvlText w:val="o"/>
      <w:lvlJc w:val="left"/>
      <w:pPr>
        <w:tabs>
          <w:tab w:val="num" w:pos="3600"/>
        </w:tabs>
        <w:ind w:left="3600" w:hanging="360"/>
      </w:pPr>
      <w:rPr>
        <w:rFonts w:ascii="Courier New" w:hAnsi="Courier New" w:hint="default"/>
      </w:rPr>
    </w:lvl>
    <w:lvl w:ilvl="5" w:tplc="9560059A" w:tentative="1">
      <w:start w:val="1"/>
      <w:numFmt w:val="bullet"/>
      <w:lvlText w:val=""/>
      <w:lvlJc w:val="left"/>
      <w:pPr>
        <w:tabs>
          <w:tab w:val="num" w:pos="4320"/>
        </w:tabs>
        <w:ind w:left="4320" w:hanging="360"/>
      </w:pPr>
      <w:rPr>
        <w:rFonts w:ascii="Wingdings" w:hAnsi="Wingdings" w:hint="default"/>
      </w:rPr>
    </w:lvl>
    <w:lvl w:ilvl="6" w:tplc="57526BB4" w:tentative="1">
      <w:start w:val="1"/>
      <w:numFmt w:val="bullet"/>
      <w:lvlText w:val=""/>
      <w:lvlJc w:val="left"/>
      <w:pPr>
        <w:tabs>
          <w:tab w:val="num" w:pos="5040"/>
        </w:tabs>
        <w:ind w:left="5040" w:hanging="360"/>
      </w:pPr>
      <w:rPr>
        <w:rFonts w:ascii="Symbol" w:hAnsi="Symbol" w:hint="default"/>
      </w:rPr>
    </w:lvl>
    <w:lvl w:ilvl="7" w:tplc="6DB2C7C0" w:tentative="1">
      <w:start w:val="1"/>
      <w:numFmt w:val="bullet"/>
      <w:lvlText w:val="o"/>
      <w:lvlJc w:val="left"/>
      <w:pPr>
        <w:tabs>
          <w:tab w:val="num" w:pos="5760"/>
        </w:tabs>
        <w:ind w:left="5760" w:hanging="360"/>
      </w:pPr>
      <w:rPr>
        <w:rFonts w:ascii="Courier New" w:hAnsi="Courier New" w:hint="default"/>
      </w:rPr>
    </w:lvl>
    <w:lvl w:ilvl="8" w:tplc="8430B7C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A28A0DE8">
      <w:start w:val="1"/>
      <w:numFmt w:val="decimal"/>
      <w:lvlText w:val="%1."/>
      <w:lvlJc w:val="left"/>
      <w:pPr>
        <w:tabs>
          <w:tab w:val="num" w:pos="720"/>
        </w:tabs>
        <w:ind w:left="720" w:hanging="360"/>
      </w:pPr>
    </w:lvl>
    <w:lvl w:ilvl="1" w:tplc="EFB2404C" w:tentative="1">
      <w:start w:val="1"/>
      <w:numFmt w:val="lowerLetter"/>
      <w:lvlText w:val="%2."/>
      <w:lvlJc w:val="left"/>
      <w:pPr>
        <w:tabs>
          <w:tab w:val="num" w:pos="1440"/>
        </w:tabs>
        <w:ind w:left="1440" w:hanging="360"/>
      </w:pPr>
    </w:lvl>
    <w:lvl w:ilvl="2" w:tplc="0E784DA2" w:tentative="1">
      <w:start w:val="1"/>
      <w:numFmt w:val="lowerRoman"/>
      <w:lvlText w:val="%3."/>
      <w:lvlJc w:val="right"/>
      <w:pPr>
        <w:tabs>
          <w:tab w:val="num" w:pos="2160"/>
        </w:tabs>
        <w:ind w:left="2160" w:hanging="180"/>
      </w:pPr>
    </w:lvl>
    <w:lvl w:ilvl="3" w:tplc="8F7C2A16" w:tentative="1">
      <w:start w:val="1"/>
      <w:numFmt w:val="decimal"/>
      <w:lvlText w:val="%4."/>
      <w:lvlJc w:val="left"/>
      <w:pPr>
        <w:tabs>
          <w:tab w:val="num" w:pos="2880"/>
        </w:tabs>
        <w:ind w:left="2880" w:hanging="360"/>
      </w:pPr>
    </w:lvl>
    <w:lvl w:ilvl="4" w:tplc="07C202B6" w:tentative="1">
      <w:start w:val="1"/>
      <w:numFmt w:val="lowerLetter"/>
      <w:lvlText w:val="%5."/>
      <w:lvlJc w:val="left"/>
      <w:pPr>
        <w:tabs>
          <w:tab w:val="num" w:pos="3600"/>
        </w:tabs>
        <w:ind w:left="3600" w:hanging="360"/>
      </w:pPr>
    </w:lvl>
    <w:lvl w:ilvl="5" w:tplc="6C76746C" w:tentative="1">
      <w:start w:val="1"/>
      <w:numFmt w:val="lowerRoman"/>
      <w:lvlText w:val="%6."/>
      <w:lvlJc w:val="right"/>
      <w:pPr>
        <w:tabs>
          <w:tab w:val="num" w:pos="4320"/>
        </w:tabs>
        <w:ind w:left="4320" w:hanging="180"/>
      </w:pPr>
    </w:lvl>
    <w:lvl w:ilvl="6" w:tplc="CE60DA30" w:tentative="1">
      <w:start w:val="1"/>
      <w:numFmt w:val="decimal"/>
      <w:lvlText w:val="%7."/>
      <w:lvlJc w:val="left"/>
      <w:pPr>
        <w:tabs>
          <w:tab w:val="num" w:pos="5040"/>
        </w:tabs>
        <w:ind w:left="5040" w:hanging="360"/>
      </w:pPr>
    </w:lvl>
    <w:lvl w:ilvl="7" w:tplc="E2D49230" w:tentative="1">
      <w:start w:val="1"/>
      <w:numFmt w:val="lowerLetter"/>
      <w:lvlText w:val="%8."/>
      <w:lvlJc w:val="left"/>
      <w:pPr>
        <w:tabs>
          <w:tab w:val="num" w:pos="5760"/>
        </w:tabs>
        <w:ind w:left="5760" w:hanging="360"/>
      </w:pPr>
    </w:lvl>
    <w:lvl w:ilvl="8" w:tplc="DA14F1A2"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42F4EE2C">
      <w:start w:val="4"/>
      <w:numFmt w:val="upperLetter"/>
      <w:lvlText w:val="%1."/>
      <w:lvlJc w:val="left"/>
      <w:pPr>
        <w:tabs>
          <w:tab w:val="num" w:pos="930"/>
        </w:tabs>
        <w:ind w:left="930" w:hanging="570"/>
      </w:pPr>
      <w:rPr>
        <w:rFonts w:hint="default"/>
      </w:rPr>
    </w:lvl>
    <w:lvl w:ilvl="1" w:tplc="B2501E06" w:tentative="1">
      <w:start w:val="1"/>
      <w:numFmt w:val="lowerLetter"/>
      <w:lvlText w:val="%2."/>
      <w:lvlJc w:val="left"/>
      <w:pPr>
        <w:tabs>
          <w:tab w:val="num" w:pos="1440"/>
        </w:tabs>
        <w:ind w:left="1440" w:hanging="360"/>
      </w:pPr>
    </w:lvl>
    <w:lvl w:ilvl="2" w:tplc="2F40FE1E" w:tentative="1">
      <w:start w:val="1"/>
      <w:numFmt w:val="lowerRoman"/>
      <w:lvlText w:val="%3."/>
      <w:lvlJc w:val="right"/>
      <w:pPr>
        <w:tabs>
          <w:tab w:val="num" w:pos="2160"/>
        </w:tabs>
        <w:ind w:left="2160" w:hanging="180"/>
      </w:pPr>
    </w:lvl>
    <w:lvl w:ilvl="3" w:tplc="806AFDD2" w:tentative="1">
      <w:start w:val="1"/>
      <w:numFmt w:val="decimal"/>
      <w:lvlText w:val="%4."/>
      <w:lvlJc w:val="left"/>
      <w:pPr>
        <w:tabs>
          <w:tab w:val="num" w:pos="2880"/>
        </w:tabs>
        <w:ind w:left="2880" w:hanging="360"/>
      </w:pPr>
    </w:lvl>
    <w:lvl w:ilvl="4" w:tplc="284E9B34" w:tentative="1">
      <w:start w:val="1"/>
      <w:numFmt w:val="lowerLetter"/>
      <w:lvlText w:val="%5."/>
      <w:lvlJc w:val="left"/>
      <w:pPr>
        <w:tabs>
          <w:tab w:val="num" w:pos="3600"/>
        </w:tabs>
        <w:ind w:left="3600" w:hanging="360"/>
      </w:pPr>
    </w:lvl>
    <w:lvl w:ilvl="5" w:tplc="AF7005D4" w:tentative="1">
      <w:start w:val="1"/>
      <w:numFmt w:val="lowerRoman"/>
      <w:lvlText w:val="%6."/>
      <w:lvlJc w:val="right"/>
      <w:pPr>
        <w:tabs>
          <w:tab w:val="num" w:pos="4320"/>
        </w:tabs>
        <w:ind w:left="4320" w:hanging="180"/>
      </w:pPr>
    </w:lvl>
    <w:lvl w:ilvl="6" w:tplc="D710FC94" w:tentative="1">
      <w:start w:val="1"/>
      <w:numFmt w:val="decimal"/>
      <w:lvlText w:val="%7."/>
      <w:lvlJc w:val="left"/>
      <w:pPr>
        <w:tabs>
          <w:tab w:val="num" w:pos="5040"/>
        </w:tabs>
        <w:ind w:left="5040" w:hanging="360"/>
      </w:pPr>
    </w:lvl>
    <w:lvl w:ilvl="7" w:tplc="53B01D78" w:tentative="1">
      <w:start w:val="1"/>
      <w:numFmt w:val="lowerLetter"/>
      <w:lvlText w:val="%8."/>
      <w:lvlJc w:val="left"/>
      <w:pPr>
        <w:tabs>
          <w:tab w:val="num" w:pos="5760"/>
        </w:tabs>
        <w:ind w:left="5760" w:hanging="360"/>
      </w:pPr>
    </w:lvl>
    <w:lvl w:ilvl="8" w:tplc="C6543880" w:tentative="1">
      <w:start w:val="1"/>
      <w:numFmt w:val="lowerRoman"/>
      <w:lvlText w:val="%9."/>
      <w:lvlJc w:val="right"/>
      <w:pPr>
        <w:tabs>
          <w:tab w:val="num" w:pos="6480"/>
        </w:tabs>
        <w:ind w:left="6480" w:hanging="180"/>
      </w:pPr>
    </w:lvl>
  </w:abstractNum>
  <w:abstractNum w:abstractNumId="37" w15:restartNumberingAfterBreak="0">
    <w:nsid w:val="75E1091A"/>
    <w:multiLevelType w:val="hybridMultilevel"/>
    <w:tmpl w:val="9D5C3D80"/>
    <w:lvl w:ilvl="0" w:tplc="0E309234">
      <w:start w:val="1"/>
      <w:numFmt w:val="decimal"/>
      <w:lvlText w:val="%1."/>
      <w:lvlJc w:val="left"/>
      <w:pPr>
        <w:ind w:left="720" w:hanging="360"/>
      </w:pPr>
    </w:lvl>
    <w:lvl w:ilvl="1" w:tplc="6CC89D08" w:tentative="1">
      <w:start w:val="1"/>
      <w:numFmt w:val="lowerLetter"/>
      <w:lvlText w:val="%2."/>
      <w:lvlJc w:val="left"/>
      <w:pPr>
        <w:ind w:left="1440" w:hanging="360"/>
      </w:pPr>
    </w:lvl>
    <w:lvl w:ilvl="2" w:tplc="D7883C86" w:tentative="1">
      <w:start w:val="1"/>
      <w:numFmt w:val="lowerRoman"/>
      <w:lvlText w:val="%3."/>
      <w:lvlJc w:val="right"/>
      <w:pPr>
        <w:ind w:left="2160" w:hanging="180"/>
      </w:pPr>
    </w:lvl>
    <w:lvl w:ilvl="3" w:tplc="692A0C22" w:tentative="1">
      <w:start w:val="1"/>
      <w:numFmt w:val="decimal"/>
      <w:lvlText w:val="%4."/>
      <w:lvlJc w:val="left"/>
      <w:pPr>
        <w:ind w:left="2880" w:hanging="360"/>
      </w:pPr>
    </w:lvl>
    <w:lvl w:ilvl="4" w:tplc="BA0255CC" w:tentative="1">
      <w:start w:val="1"/>
      <w:numFmt w:val="lowerLetter"/>
      <w:lvlText w:val="%5."/>
      <w:lvlJc w:val="left"/>
      <w:pPr>
        <w:ind w:left="3600" w:hanging="360"/>
      </w:pPr>
    </w:lvl>
    <w:lvl w:ilvl="5" w:tplc="F1ACFB2C" w:tentative="1">
      <w:start w:val="1"/>
      <w:numFmt w:val="lowerRoman"/>
      <w:lvlText w:val="%6."/>
      <w:lvlJc w:val="right"/>
      <w:pPr>
        <w:ind w:left="4320" w:hanging="180"/>
      </w:pPr>
    </w:lvl>
    <w:lvl w:ilvl="6" w:tplc="6C682D58" w:tentative="1">
      <w:start w:val="1"/>
      <w:numFmt w:val="decimal"/>
      <w:lvlText w:val="%7."/>
      <w:lvlJc w:val="left"/>
      <w:pPr>
        <w:ind w:left="5040" w:hanging="360"/>
      </w:pPr>
    </w:lvl>
    <w:lvl w:ilvl="7" w:tplc="EA44DB60" w:tentative="1">
      <w:start w:val="1"/>
      <w:numFmt w:val="lowerLetter"/>
      <w:lvlText w:val="%8."/>
      <w:lvlJc w:val="left"/>
      <w:pPr>
        <w:ind w:left="5760" w:hanging="360"/>
      </w:pPr>
    </w:lvl>
    <w:lvl w:ilvl="8" w:tplc="A5343144" w:tentative="1">
      <w:start w:val="1"/>
      <w:numFmt w:val="lowerRoman"/>
      <w:lvlText w:val="%9."/>
      <w:lvlJc w:val="right"/>
      <w:pPr>
        <w:ind w:left="6480" w:hanging="180"/>
      </w:pPr>
    </w:lvl>
  </w:abstractNum>
  <w:abstractNum w:abstractNumId="38" w15:restartNumberingAfterBreak="0">
    <w:nsid w:val="7A8A5987"/>
    <w:multiLevelType w:val="hybridMultilevel"/>
    <w:tmpl w:val="D73EEE10"/>
    <w:lvl w:ilvl="0" w:tplc="71E4B50E">
      <w:start w:val="1"/>
      <w:numFmt w:val="bullet"/>
      <w:lvlText w:val=""/>
      <w:lvlJc w:val="left"/>
      <w:pPr>
        <w:tabs>
          <w:tab w:val="num" w:pos="278"/>
        </w:tabs>
        <w:ind w:left="278" w:hanging="360"/>
      </w:pPr>
      <w:rPr>
        <w:rFonts w:ascii="Symbol" w:hAnsi="Symbol" w:hint="default"/>
      </w:rPr>
    </w:lvl>
    <w:lvl w:ilvl="1" w:tplc="5E8A2812">
      <w:start w:val="1"/>
      <w:numFmt w:val="bullet"/>
      <w:lvlText w:val="o"/>
      <w:lvlJc w:val="left"/>
      <w:pPr>
        <w:tabs>
          <w:tab w:val="num" w:pos="1440"/>
        </w:tabs>
        <w:ind w:left="1440" w:hanging="360"/>
      </w:pPr>
      <w:rPr>
        <w:rFonts w:ascii="Courier New" w:hAnsi="Courier New" w:hint="default"/>
      </w:rPr>
    </w:lvl>
    <w:lvl w:ilvl="2" w:tplc="9B92A51E" w:tentative="1">
      <w:start w:val="1"/>
      <w:numFmt w:val="bullet"/>
      <w:lvlText w:val=""/>
      <w:lvlJc w:val="left"/>
      <w:pPr>
        <w:tabs>
          <w:tab w:val="num" w:pos="2160"/>
        </w:tabs>
        <w:ind w:left="2160" w:hanging="360"/>
      </w:pPr>
      <w:rPr>
        <w:rFonts w:ascii="Wingdings" w:hAnsi="Wingdings" w:hint="default"/>
      </w:rPr>
    </w:lvl>
    <w:lvl w:ilvl="3" w:tplc="041E6254" w:tentative="1">
      <w:start w:val="1"/>
      <w:numFmt w:val="bullet"/>
      <w:lvlText w:val=""/>
      <w:lvlJc w:val="left"/>
      <w:pPr>
        <w:tabs>
          <w:tab w:val="num" w:pos="2880"/>
        </w:tabs>
        <w:ind w:left="2880" w:hanging="360"/>
      </w:pPr>
      <w:rPr>
        <w:rFonts w:ascii="Symbol" w:hAnsi="Symbol" w:hint="default"/>
      </w:rPr>
    </w:lvl>
    <w:lvl w:ilvl="4" w:tplc="D0AE2F7C" w:tentative="1">
      <w:start w:val="1"/>
      <w:numFmt w:val="bullet"/>
      <w:lvlText w:val="o"/>
      <w:lvlJc w:val="left"/>
      <w:pPr>
        <w:tabs>
          <w:tab w:val="num" w:pos="3600"/>
        </w:tabs>
        <w:ind w:left="3600" w:hanging="360"/>
      </w:pPr>
      <w:rPr>
        <w:rFonts w:ascii="Courier New" w:hAnsi="Courier New" w:hint="default"/>
      </w:rPr>
    </w:lvl>
    <w:lvl w:ilvl="5" w:tplc="06902678" w:tentative="1">
      <w:start w:val="1"/>
      <w:numFmt w:val="bullet"/>
      <w:lvlText w:val=""/>
      <w:lvlJc w:val="left"/>
      <w:pPr>
        <w:tabs>
          <w:tab w:val="num" w:pos="4320"/>
        </w:tabs>
        <w:ind w:left="4320" w:hanging="360"/>
      </w:pPr>
      <w:rPr>
        <w:rFonts w:ascii="Wingdings" w:hAnsi="Wingdings" w:hint="default"/>
      </w:rPr>
    </w:lvl>
    <w:lvl w:ilvl="6" w:tplc="3976E288" w:tentative="1">
      <w:start w:val="1"/>
      <w:numFmt w:val="bullet"/>
      <w:lvlText w:val=""/>
      <w:lvlJc w:val="left"/>
      <w:pPr>
        <w:tabs>
          <w:tab w:val="num" w:pos="5040"/>
        </w:tabs>
        <w:ind w:left="5040" w:hanging="360"/>
      </w:pPr>
      <w:rPr>
        <w:rFonts w:ascii="Symbol" w:hAnsi="Symbol" w:hint="default"/>
      </w:rPr>
    </w:lvl>
    <w:lvl w:ilvl="7" w:tplc="29422EFC" w:tentative="1">
      <w:start w:val="1"/>
      <w:numFmt w:val="bullet"/>
      <w:lvlText w:val="o"/>
      <w:lvlJc w:val="left"/>
      <w:pPr>
        <w:tabs>
          <w:tab w:val="num" w:pos="5760"/>
        </w:tabs>
        <w:ind w:left="5760" w:hanging="360"/>
      </w:pPr>
      <w:rPr>
        <w:rFonts w:ascii="Courier New" w:hAnsi="Courier New" w:hint="default"/>
      </w:rPr>
    </w:lvl>
    <w:lvl w:ilvl="8" w:tplc="F12601C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4"/>
  </w:num>
  <w:num w:numId="6">
    <w:abstractNumId w:val="25"/>
  </w:num>
  <w:num w:numId="7">
    <w:abstractNumId w:val="20"/>
  </w:num>
  <w:num w:numId="8">
    <w:abstractNumId w:val="10"/>
  </w:num>
  <w:num w:numId="9">
    <w:abstractNumId w:val="31"/>
  </w:num>
  <w:num w:numId="10">
    <w:abstractNumId w:val="32"/>
  </w:num>
  <w:num w:numId="11">
    <w:abstractNumId w:val="16"/>
  </w:num>
  <w:num w:numId="12">
    <w:abstractNumId w:val="15"/>
  </w:num>
  <w:num w:numId="13">
    <w:abstractNumId w:val="3"/>
  </w:num>
  <w:num w:numId="14">
    <w:abstractNumId w:val="30"/>
  </w:num>
  <w:num w:numId="15">
    <w:abstractNumId w:val="19"/>
  </w:num>
  <w:num w:numId="16">
    <w:abstractNumId w:val="35"/>
  </w:num>
  <w:num w:numId="17">
    <w:abstractNumId w:val="11"/>
  </w:num>
  <w:num w:numId="18">
    <w:abstractNumId w:val="1"/>
  </w:num>
  <w:num w:numId="19">
    <w:abstractNumId w:val="17"/>
  </w:num>
  <w:num w:numId="20">
    <w:abstractNumId w:val="4"/>
  </w:num>
  <w:num w:numId="21">
    <w:abstractNumId w:val="8"/>
  </w:num>
  <w:num w:numId="22">
    <w:abstractNumId w:val="27"/>
  </w:num>
  <w:num w:numId="23">
    <w:abstractNumId w:val="36"/>
  </w:num>
  <w:num w:numId="24">
    <w:abstractNumId w:val="22"/>
  </w:num>
  <w:num w:numId="25">
    <w:abstractNumId w:val="12"/>
  </w:num>
  <w:num w:numId="26">
    <w:abstractNumId w:val="13"/>
  </w:num>
  <w:num w:numId="27">
    <w:abstractNumId w:val="6"/>
  </w:num>
  <w:num w:numId="28">
    <w:abstractNumId w:val="7"/>
  </w:num>
  <w:num w:numId="29">
    <w:abstractNumId w:val="23"/>
  </w:num>
  <w:num w:numId="30">
    <w:abstractNumId w:val="38"/>
  </w:num>
  <w:num w:numId="31">
    <w:abstractNumId w:val="39"/>
  </w:num>
  <w:num w:numId="32">
    <w:abstractNumId w:val="21"/>
  </w:num>
  <w:num w:numId="33">
    <w:abstractNumId w:val="29"/>
  </w:num>
  <w:num w:numId="34">
    <w:abstractNumId w:val="24"/>
  </w:num>
  <w:num w:numId="35">
    <w:abstractNumId w:val="2"/>
  </w:num>
  <w:num w:numId="36">
    <w:abstractNumId w:val="5"/>
  </w:num>
  <w:num w:numId="37">
    <w:abstractNumId w:val="26"/>
  </w:num>
  <w:num w:numId="38">
    <w:abstractNumId w:val="18"/>
  </w:num>
  <w:num w:numId="39">
    <w:abstractNumId w:val="37"/>
  </w:num>
  <w:num w:numId="40">
    <w:abstractNumId w:val="28"/>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21B82"/>
    <w:rsid w:val="00024777"/>
    <w:rsid w:val="00024E21"/>
    <w:rsid w:val="00027100"/>
    <w:rsid w:val="000349AA"/>
    <w:rsid w:val="00036C50"/>
    <w:rsid w:val="0004217D"/>
    <w:rsid w:val="00052D2B"/>
    <w:rsid w:val="00054F55"/>
    <w:rsid w:val="00056EE7"/>
    <w:rsid w:val="00062945"/>
    <w:rsid w:val="00063946"/>
    <w:rsid w:val="00080453"/>
    <w:rsid w:val="00080926"/>
    <w:rsid w:val="0008169A"/>
    <w:rsid w:val="00082200"/>
    <w:rsid w:val="000838BB"/>
    <w:rsid w:val="000860CE"/>
    <w:rsid w:val="00092A37"/>
    <w:rsid w:val="000938A6"/>
    <w:rsid w:val="00096E78"/>
    <w:rsid w:val="00097C1E"/>
    <w:rsid w:val="000A1DF5"/>
    <w:rsid w:val="000B3CFA"/>
    <w:rsid w:val="000B7873"/>
    <w:rsid w:val="000C02A1"/>
    <w:rsid w:val="000C1D4F"/>
    <w:rsid w:val="000C3ED7"/>
    <w:rsid w:val="000C52FA"/>
    <w:rsid w:val="000C55E6"/>
    <w:rsid w:val="000C687A"/>
    <w:rsid w:val="000D67D0"/>
    <w:rsid w:val="000E115E"/>
    <w:rsid w:val="000E195C"/>
    <w:rsid w:val="000E25EB"/>
    <w:rsid w:val="000E3602"/>
    <w:rsid w:val="000E6D68"/>
    <w:rsid w:val="000E705A"/>
    <w:rsid w:val="000F38DA"/>
    <w:rsid w:val="000F5822"/>
    <w:rsid w:val="000F796B"/>
    <w:rsid w:val="0010031E"/>
    <w:rsid w:val="001012EB"/>
    <w:rsid w:val="00102F3C"/>
    <w:rsid w:val="001078D1"/>
    <w:rsid w:val="00111185"/>
    <w:rsid w:val="00112077"/>
    <w:rsid w:val="00115782"/>
    <w:rsid w:val="00115BD5"/>
    <w:rsid w:val="00116067"/>
    <w:rsid w:val="001164E3"/>
    <w:rsid w:val="001214EE"/>
    <w:rsid w:val="00124F36"/>
    <w:rsid w:val="00125666"/>
    <w:rsid w:val="001259E3"/>
    <w:rsid w:val="00125C80"/>
    <w:rsid w:val="001364CE"/>
    <w:rsid w:val="00136DCF"/>
    <w:rsid w:val="0013799F"/>
    <w:rsid w:val="00140DF6"/>
    <w:rsid w:val="00145C3F"/>
    <w:rsid w:val="00145D34"/>
    <w:rsid w:val="00146284"/>
    <w:rsid w:val="0014690F"/>
    <w:rsid w:val="0015098E"/>
    <w:rsid w:val="00153B3A"/>
    <w:rsid w:val="00164543"/>
    <w:rsid w:val="00164C48"/>
    <w:rsid w:val="001674D3"/>
    <w:rsid w:val="00174721"/>
    <w:rsid w:val="00175264"/>
    <w:rsid w:val="001803D2"/>
    <w:rsid w:val="0018228B"/>
    <w:rsid w:val="001846B7"/>
    <w:rsid w:val="00185B50"/>
    <w:rsid w:val="0018625C"/>
    <w:rsid w:val="0018657D"/>
    <w:rsid w:val="00187A5D"/>
    <w:rsid w:val="00187DE7"/>
    <w:rsid w:val="00187E62"/>
    <w:rsid w:val="00192045"/>
    <w:rsid w:val="00192D98"/>
    <w:rsid w:val="00193B14"/>
    <w:rsid w:val="00193E72"/>
    <w:rsid w:val="00194DD2"/>
    <w:rsid w:val="00195267"/>
    <w:rsid w:val="0019600B"/>
    <w:rsid w:val="0019686E"/>
    <w:rsid w:val="001A0B4A"/>
    <w:rsid w:val="001A0E2C"/>
    <w:rsid w:val="001A1238"/>
    <w:rsid w:val="001A28C9"/>
    <w:rsid w:val="001A34BC"/>
    <w:rsid w:val="001A5BE5"/>
    <w:rsid w:val="001A621E"/>
    <w:rsid w:val="001B1C77"/>
    <w:rsid w:val="001B26EB"/>
    <w:rsid w:val="001B6F4A"/>
    <w:rsid w:val="001B7B38"/>
    <w:rsid w:val="001C5288"/>
    <w:rsid w:val="001C5B03"/>
    <w:rsid w:val="001D3ADF"/>
    <w:rsid w:val="001D4CE4"/>
    <w:rsid w:val="001D6052"/>
    <w:rsid w:val="001D6D96"/>
    <w:rsid w:val="001E5621"/>
    <w:rsid w:val="001E633A"/>
    <w:rsid w:val="001E6897"/>
    <w:rsid w:val="001F1C7E"/>
    <w:rsid w:val="001F3239"/>
    <w:rsid w:val="001F3EF9"/>
    <w:rsid w:val="001F627D"/>
    <w:rsid w:val="001F6622"/>
    <w:rsid w:val="001F6F38"/>
    <w:rsid w:val="0020053E"/>
    <w:rsid w:val="00200EFE"/>
    <w:rsid w:val="0020126C"/>
    <w:rsid w:val="00202A85"/>
    <w:rsid w:val="00202EA3"/>
    <w:rsid w:val="002100FC"/>
    <w:rsid w:val="00213890"/>
    <w:rsid w:val="00214E52"/>
    <w:rsid w:val="002207C0"/>
    <w:rsid w:val="0022380D"/>
    <w:rsid w:val="00224B93"/>
    <w:rsid w:val="00226630"/>
    <w:rsid w:val="00236257"/>
    <w:rsid w:val="0023676E"/>
    <w:rsid w:val="002414B6"/>
    <w:rsid w:val="002422EB"/>
    <w:rsid w:val="00242397"/>
    <w:rsid w:val="002446DC"/>
    <w:rsid w:val="00245ECD"/>
    <w:rsid w:val="00247A48"/>
    <w:rsid w:val="00250DD1"/>
    <w:rsid w:val="00251183"/>
    <w:rsid w:val="00251689"/>
    <w:rsid w:val="0025267C"/>
    <w:rsid w:val="00253B6B"/>
    <w:rsid w:val="002550F6"/>
    <w:rsid w:val="00256057"/>
    <w:rsid w:val="00256A03"/>
    <w:rsid w:val="0025748D"/>
    <w:rsid w:val="00263D9D"/>
    <w:rsid w:val="00265656"/>
    <w:rsid w:val="00265E77"/>
    <w:rsid w:val="00266155"/>
    <w:rsid w:val="0027270B"/>
    <w:rsid w:val="00272B36"/>
    <w:rsid w:val="00274D17"/>
    <w:rsid w:val="00282653"/>
    <w:rsid w:val="00282E7B"/>
    <w:rsid w:val="002838C8"/>
    <w:rsid w:val="00290805"/>
    <w:rsid w:val="00290C2A"/>
    <w:rsid w:val="002931DD"/>
    <w:rsid w:val="00295140"/>
    <w:rsid w:val="002A0E7C"/>
    <w:rsid w:val="002A0EED"/>
    <w:rsid w:val="002A21ED"/>
    <w:rsid w:val="002A3F88"/>
    <w:rsid w:val="002A710D"/>
    <w:rsid w:val="002B0F11"/>
    <w:rsid w:val="002B2E17"/>
    <w:rsid w:val="002B6560"/>
    <w:rsid w:val="002B6599"/>
    <w:rsid w:val="002C1F27"/>
    <w:rsid w:val="002C55FF"/>
    <w:rsid w:val="002C592B"/>
    <w:rsid w:val="002D300D"/>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5AB2"/>
    <w:rsid w:val="00307EB2"/>
    <w:rsid w:val="0031032B"/>
    <w:rsid w:val="00316E87"/>
    <w:rsid w:val="0032260F"/>
    <w:rsid w:val="0032453E"/>
    <w:rsid w:val="00325053"/>
    <w:rsid w:val="003256AC"/>
    <w:rsid w:val="00330CC1"/>
    <w:rsid w:val="0033129D"/>
    <w:rsid w:val="003320ED"/>
    <w:rsid w:val="00334461"/>
    <w:rsid w:val="0033480E"/>
    <w:rsid w:val="00337123"/>
    <w:rsid w:val="00341866"/>
    <w:rsid w:val="00342C0C"/>
    <w:rsid w:val="003535E0"/>
    <w:rsid w:val="003543AC"/>
    <w:rsid w:val="00355AB8"/>
    <w:rsid w:val="00355D02"/>
    <w:rsid w:val="003569DF"/>
    <w:rsid w:val="00361607"/>
    <w:rsid w:val="00365C0D"/>
    <w:rsid w:val="00366F56"/>
    <w:rsid w:val="003737C8"/>
    <w:rsid w:val="0037589D"/>
    <w:rsid w:val="00376BB1"/>
    <w:rsid w:val="00377E23"/>
    <w:rsid w:val="00380765"/>
    <w:rsid w:val="003817EF"/>
    <w:rsid w:val="0038277C"/>
    <w:rsid w:val="003837F1"/>
    <w:rsid w:val="003841FC"/>
    <w:rsid w:val="00385CE3"/>
    <w:rsid w:val="0038638B"/>
    <w:rsid w:val="003870B1"/>
    <w:rsid w:val="003909E0"/>
    <w:rsid w:val="00391622"/>
    <w:rsid w:val="00391B09"/>
    <w:rsid w:val="00393E09"/>
    <w:rsid w:val="00395B15"/>
    <w:rsid w:val="00396026"/>
    <w:rsid w:val="003A31B9"/>
    <w:rsid w:val="003A3E2F"/>
    <w:rsid w:val="003A6CCB"/>
    <w:rsid w:val="003B0F22"/>
    <w:rsid w:val="003B10C4"/>
    <w:rsid w:val="003B48EB"/>
    <w:rsid w:val="003B5CD1"/>
    <w:rsid w:val="003C11D1"/>
    <w:rsid w:val="003C33FF"/>
    <w:rsid w:val="003C3E0E"/>
    <w:rsid w:val="003C64A5"/>
    <w:rsid w:val="003D03CC"/>
    <w:rsid w:val="003D378C"/>
    <w:rsid w:val="003D3893"/>
    <w:rsid w:val="003D4BB7"/>
    <w:rsid w:val="003E0116"/>
    <w:rsid w:val="003E10EE"/>
    <w:rsid w:val="003E26C3"/>
    <w:rsid w:val="003E6225"/>
    <w:rsid w:val="003E6F05"/>
    <w:rsid w:val="003F0BC8"/>
    <w:rsid w:val="003F0D6C"/>
    <w:rsid w:val="003F0F26"/>
    <w:rsid w:val="003F12D9"/>
    <w:rsid w:val="003F1B4C"/>
    <w:rsid w:val="003F3CE6"/>
    <w:rsid w:val="003F677F"/>
    <w:rsid w:val="004008F6"/>
    <w:rsid w:val="00406F33"/>
    <w:rsid w:val="00407C22"/>
    <w:rsid w:val="00412BBE"/>
    <w:rsid w:val="00414B20"/>
    <w:rsid w:val="0041628A"/>
    <w:rsid w:val="00417DE3"/>
    <w:rsid w:val="00420850"/>
    <w:rsid w:val="00423968"/>
    <w:rsid w:val="00427054"/>
    <w:rsid w:val="004304B1"/>
    <w:rsid w:val="00432DA8"/>
    <w:rsid w:val="0043320A"/>
    <w:rsid w:val="004332E3"/>
    <w:rsid w:val="00433C1F"/>
    <w:rsid w:val="00434E3C"/>
    <w:rsid w:val="0043586F"/>
    <w:rsid w:val="004371A3"/>
    <w:rsid w:val="00446960"/>
    <w:rsid w:val="00446F37"/>
    <w:rsid w:val="004518A6"/>
    <w:rsid w:val="00453E1D"/>
    <w:rsid w:val="00454034"/>
    <w:rsid w:val="00454589"/>
    <w:rsid w:val="00455EF9"/>
    <w:rsid w:val="00456ED0"/>
    <w:rsid w:val="00457550"/>
    <w:rsid w:val="00457B74"/>
    <w:rsid w:val="00461B2A"/>
    <w:rsid w:val="004620A4"/>
    <w:rsid w:val="00474C50"/>
    <w:rsid w:val="004768DB"/>
    <w:rsid w:val="004771F9"/>
    <w:rsid w:val="00486006"/>
    <w:rsid w:val="00486BAD"/>
    <w:rsid w:val="00486BBE"/>
    <w:rsid w:val="00487123"/>
    <w:rsid w:val="00495A75"/>
    <w:rsid w:val="00495CAE"/>
    <w:rsid w:val="0049641F"/>
    <w:rsid w:val="004A005B"/>
    <w:rsid w:val="004A1BD5"/>
    <w:rsid w:val="004A61E1"/>
    <w:rsid w:val="004A6A53"/>
    <w:rsid w:val="004B1A75"/>
    <w:rsid w:val="004B2344"/>
    <w:rsid w:val="004B5797"/>
    <w:rsid w:val="004B5DDC"/>
    <w:rsid w:val="004B798E"/>
    <w:rsid w:val="004C0568"/>
    <w:rsid w:val="004C2ABD"/>
    <w:rsid w:val="004C4519"/>
    <w:rsid w:val="004C5F62"/>
    <w:rsid w:val="004D2601"/>
    <w:rsid w:val="004D3E58"/>
    <w:rsid w:val="004D6746"/>
    <w:rsid w:val="004D767B"/>
    <w:rsid w:val="004E0F32"/>
    <w:rsid w:val="004E23A1"/>
    <w:rsid w:val="004E493C"/>
    <w:rsid w:val="004E623E"/>
    <w:rsid w:val="004E7092"/>
    <w:rsid w:val="004E7ECE"/>
    <w:rsid w:val="004F4DB1"/>
    <w:rsid w:val="004F6F64"/>
    <w:rsid w:val="005004EC"/>
    <w:rsid w:val="00503726"/>
    <w:rsid w:val="00505629"/>
    <w:rsid w:val="00506AAE"/>
    <w:rsid w:val="00517756"/>
    <w:rsid w:val="005202C6"/>
    <w:rsid w:val="00523C53"/>
    <w:rsid w:val="0052658F"/>
    <w:rsid w:val="005272F4"/>
    <w:rsid w:val="00527B8F"/>
    <w:rsid w:val="00536031"/>
    <w:rsid w:val="0054134B"/>
    <w:rsid w:val="00542012"/>
    <w:rsid w:val="00543DF5"/>
    <w:rsid w:val="005452FD"/>
    <w:rsid w:val="00545A61"/>
    <w:rsid w:val="0055231A"/>
    <w:rsid w:val="0055260D"/>
    <w:rsid w:val="00555422"/>
    <w:rsid w:val="00555810"/>
    <w:rsid w:val="00562715"/>
    <w:rsid w:val="00562DCA"/>
    <w:rsid w:val="005630F3"/>
    <w:rsid w:val="0056568F"/>
    <w:rsid w:val="0057436C"/>
    <w:rsid w:val="00575DE3"/>
    <w:rsid w:val="00580B08"/>
    <w:rsid w:val="00582578"/>
    <w:rsid w:val="0058621D"/>
    <w:rsid w:val="00586904"/>
    <w:rsid w:val="005A4CBE"/>
    <w:rsid w:val="005B04A8"/>
    <w:rsid w:val="005B1FD0"/>
    <w:rsid w:val="005B28AD"/>
    <w:rsid w:val="005B328D"/>
    <w:rsid w:val="005B3503"/>
    <w:rsid w:val="005B3EE7"/>
    <w:rsid w:val="005B4DCD"/>
    <w:rsid w:val="005B4FAD"/>
    <w:rsid w:val="005C276A"/>
    <w:rsid w:val="005D380C"/>
    <w:rsid w:val="005D3F79"/>
    <w:rsid w:val="005D6E04"/>
    <w:rsid w:val="005D7A12"/>
    <w:rsid w:val="005E53EE"/>
    <w:rsid w:val="005E66FC"/>
    <w:rsid w:val="005F0542"/>
    <w:rsid w:val="005F0F72"/>
    <w:rsid w:val="005F1C1F"/>
    <w:rsid w:val="005F2FAD"/>
    <w:rsid w:val="005F346D"/>
    <w:rsid w:val="005F38FB"/>
    <w:rsid w:val="00602D3B"/>
    <w:rsid w:val="0060326F"/>
    <w:rsid w:val="006069EE"/>
    <w:rsid w:val="00606EA1"/>
    <w:rsid w:val="006128F0"/>
    <w:rsid w:val="0061726B"/>
    <w:rsid w:val="00617B81"/>
    <w:rsid w:val="0062387A"/>
    <w:rsid w:val="006326D8"/>
    <w:rsid w:val="0063377D"/>
    <w:rsid w:val="006344BE"/>
    <w:rsid w:val="00634A66"/>
    <w:rsid w:val="00635FFE"/>
    <w:rsid w:val="00640336"/>
    <w:rsid w:val="00640FC9"/>
    <w:rsid w:val="006414D3"/>
    <w:rsid w:val="006432F2"/>
    <w:rsid w:val="0065320F"/>
    <w:rsid w:val="00653D64"/>
    <w:rsid w:val="00654E13"/>
    <w:rsid w:val="00667489"/>
    <w:rsid w:val="00670D44"/>
    <w:rsid w:val="00673F4C"/>
    <w:rsid w:val="006764C6"/>
    <w:rsid w:val="00676AFC"/>
    <w:rsid w:val="006807CD"/>
    <w:rsid w:val="00680E18"/>
    <w:rsid w:val="00682D43"/>
    <w:rsid w:val="0068507D"/>
    <w:rsid w:val="006856FD"/>
    <w:rsid w:val="00685BAF"/>
    <w:rsid w:val="00690463"/>
    <w:rsid w:val="00693DE5"/>
    <w:rsid w:val="006A0D03"/>
    <w:rsid w:val="006A41E9"/>
    <w:rsid w:val="006B12CB"/>
    <w:rsid w:val="006B2030"/>
    <w:rsid w:val="006B5916"/>
    <w:rsid w:val="006C4775"/>
    <w:rsid w:val="006C4C0D"/>
    <w:rsid w:val="006C4F4A"/>
    <w:rsid w:val="006C5E80"/>
    <w:rsid w:val="006C7CEE"/>
    <w:rsid w:val="006D075E"/>
    <w:rsid w:val="006D09DC"/>
    <w:rsid w:val="006D3509"/>
    <w:rsid w:val="006D7C6E"/>
    <w:rsid w:val="006E15A2"/>
    <w:rsid w:val="006E2F95"/>
    <w:rsid w:val="006F148B"/>
    <w:rsid w:val="00705EAF"/>
    <w:rsid w:val="0070773E"/>
    <w:rsid w:val="007101CC"/>
    <w:rsid w:val="00710A49"/>
    <w:rsid w:val="007141FE"/>
    <w:rsid w:val="00715C55"/>
    <w:rsid w:val="007219A6"/>
    <w:rsid w:val="00724E3B"/>
    <w:rsid w:val="00725EEA"/>
    <w:rsid w:val="007276B6"/>
    <w:rsid w:val="00730908"/>
    <w:rsid w:val="00730CE9"/>
    <w:rsid w:val="0073373D"/>
    <w:rsid w:val="00736B1E"/>
    <w:rsid w:val="007439DB"/>
    <w:rsid w:val="007464DA"/>
    <w:rsid w:val="007568D8"/>
    <w:rsid w:val="007616B4"/>
    <w:rsid w:val="00765316"/>
    <w:rsid w:val="007708C8"/>
    <w:rsid w:val="0077719D"/>
    <w:rsid w:val="00780DF0"/>
    <w:rsid w:val="007810B7"/>
    <w:rsid w:val="00782F0F"/>
    <w:rsid w:val="007830F0"/>
    <w:rsid w:val="0078538F"/>
    <w:rsid w:val="00787482"/>
    <w:rsid w:val="007A286D"/>
    <w:rsid w:val="007A2975"/>
    <w:rsid w:val="007A314D"/>
    <w:rsid w:val="007A38DF"/>
    <w:rsid w:val="007B00E5"/>
    <w:rsid w:val="007B20CF"/>
    <w:rsid w:val="007B2499"/>
    <w:rsid w:val="007B72E1"/>
    <w:rsid w:val="007B783A"/>
    <w:rsid w:val="007C1B95"/>
    <w:rsid w:val="007C3DF3"/>
    <w:rsid w:val="007C616F"/>
    <w:rsid w:val="007C796D"/>
    <w:rsid w:val="007D3AAE"/>
    <w:rsid w:val="007D73FB"/>
    <w:rsid w:val="007D7608"/>
    <w:rsid w:val="007E2F2D"/>
    <w:rsid w:val="007F1433"/>
    <w:rsid w:val="007F1491"/>
    <w:rsid w:val="007F16DD"/>
    <w:rsid w:val="007F2F03"/>
    <w:rsid w:val="007F42CE"/>
    <w:rsid w:val="00800FE0"/>
    <w:rsid w:val="0080514E"/>
    <w:rsid w:val="008066AD"/>
    <w:rsid w:val="00812CD8"/>
    <w:rsid w:val="008145D9"/>
    <w:rsid w:val="00814AF1"/>
    <w:rsid w:val="0081517F"/>
    <w:rsid w:val="00815370"/>
    <w:rsid w:val="0081754D"/>
    <w:rsid w:val="0082153D"/>
    <w:rsid w:val="008255AA"/>
    <w:rsid w:val="008277B9"/>
    <w:rsid w:val="00830FF3"/>
    <w:rsid w:val="008334BF"/>
    <w:rsid w:val="00836B8C"/>
    <w:rsid w:val="00840062"/>
    <w:rsid w:val="008410C5"/>
    <w:rsid w:val="00846C08"/>
    <w:rsid w:val="00850794"/>
    <w:rsid w:val="00850FD3"/>
    <w:rsid w:val="00852FF2"/>
    <w:rsid w:val="008530E7"/>
    <w:rsid w:val="00856BDB"/>
    <w:rsid w:val="00857675"/>
    <w:rsid w:val="00861F86"/>
    <w:rsid w:val="00867C0D"/>
    <w:rsid w:val="00872C48"/>
    <w:rsid w:val="00874D4A"/>
    <w:rsid w:val="00875EC3"/>
    <w:rsid w:val="008763E7"/>
    <w:rsid w:val="008808C5"/>
    <w:rsid w:val="00881A7C"/>
    <w:rsid w:val="00883C78"/>
    <w:rsid w:val="00883F30"/>
    <w:rsid w:val="00885159"/>
    <w:rsid w:val="00885214"/>
    <w:rsid w:val="00887615"/>
    <w:rsid w:val="00890052"/>
    <w:rsid w:val="008947AE"/>
    <w:rsid w:val="00894E3A"/>
    <w:rsid w:val="00895A2F"/>
    <w:rsid w:val="00896EBD"/>
    <w:rsid w:val="008A026F"/>
    <w:rsid w:val="008A5665"/>
    <w:rsid w:val="008A5851"/>
    <w:rsid w:val="008B24A8"/>
    <w:rsid w:val="008B25E4"/>
    <w:rsid w:val="008B3D78"/>
    <w:rsid w:val="008C261B"/>
    <w:rsid w:val="008C2B29"/>
    <w:rsid w:val="008C4FCA"/>
    <w:rsid w:val="008C7882"/>
    <w:rsid w:val="008C7CE5"/>
    <w:rsid w:val="008D03F7"/>
    <w:rsid w:val="008D2261"/>
    <w:rsid w:val="008D2E97"/>
    <w:rsid w:val="008D3373"/>
    <w:rsid w:val="008D4C28"/>
    <w:rsid w:val="008D577B"/>
    <w:rsid w:val="008D7A98"/>
    <w:rsid w:val="008E17C4"/>
    <w:rsid w:val="008E45C4"/>
    <w:rsid w:val="008E64B1"/>
    <w:rsid w:val="008E64FA"/>
    <w:rsid w:val="008E74ED"/>
    <w:rsid w:val="008E7ED6"/>
    <w:rsid w:val="008F13EF"/>
    <w:rsid w:val="008F450A"/>
    <w:rsid w:val="008F4DEF"/>
    <w:rsid w:val="008F6D19"/>
    <w:rsid w:val="00902EA6"/>
    <w:rsid w:val="00903D0D"/>
    <w:rsid w:val="009048E1"/>
    <w:rsid w:val="0090598C"/>
    <w:rsid w:val="00905CAB"/>
    <w:rsid w:val="009071BB"/>
    <w:rsid w:val="00913885"/>
    <w:rsid w:val="00913D69"/>
    <w:rsid w:val="00915ABF"/>
    <w:rsid w:val="00921CAD"/>
    <w:rsid w:val="00925B4A"/>
    <w:rsid w:val="009311ED"/>
    <w:rsid w:val="00931D41"/>
    <w:rsid w:val="00933D18"/>
    <w:rsid w:val="00942221"/>
    <w:rsid w:val="00945C01"/>
    <w:rsid w:val="00950FBB"/>
    <w:rsid w:val="00951118"/>
    <w:rsid w:val="0095122F"/>
    <w:rsid w:val="00953349"/>
    <w:rsid w:val="00953E4C"/>
    <w:rsid w:val="00954E0C"/>
    <w:rsid w:val="00961156"/>
    <w:rsid w:val="00964F03"/>
    <w:rsid w:val="00966F1F"/>
    <w:rsid w:val="00971EBA"/>
    <w:rsid w:val="00975676"/>
    <w:rsid w:val="00976467"/>
    <w:rsid w:val="00976D32"/>
    <w:rsid w:val="009844F7"/>
    <w:rsid w:val="009938F7"/>
    <w:rsid w:val="00995A7D"/>
    <w:rsid w:val="009A05AA"/>
    <w:rsid w:val="009A2D5A"/>
    <w:rsid w:val="009A6509"/>
    <w:rsid w:val="009A6E2F"/>
    <w:rsid w:val="009B2969"/>
    <w:rsid w:val="009B2C7E"/>
    <w:rsid w:val="009B6DBD"/>
    <w:rsid w:val="009C108A"/>
    <w:rsid w:val="009C2E47"/>
    <w:rsid w:val="009C6BFB"/>
    <w:rsid w:val="009D0C05"/>
    <w:rsid w:val="009D6AA7"/>
    <w:rsid w:val="009E24B7"/>
    <w:rsid w:val="009E2C00"/>
    <w:rsid w:val="009E49AD"/>
    <w:rsid w:val="009E4CC5"/>
    <w:rsid w:val="009E66FE"/>
    <w:rsid w:val="009E70F4"/>
    <w:rsid w:val="009E72A3"/>
    <w:rsid w:val="009F1AD2"/>
    <w:rsid w:val="009F4EA0"/>
    <w:rsid w:val="00A00C78"/>
    <w:rsid w:val="00A0479E"/>
    <w:rsid w:val="00A07979"/>
    <w:rsid w:val="00A11755"/>
    <w:rsid w:val="00A16BAC"/>
    <w:rsid w:val="00A207FB"/>
    <w:rsid w:val="00A20ADC"/>
    <w:rsid w:val="00A24016"/>
    <w:rsid w:val="00A265BF"/>
    <w:rsid w:val="00A26F44"/>
    <w:rsid w:val="00A34FAB"/>
    <w:rsid w:val="00A42C43"/>
    <w:rsid w:val="00A4313D"/>
    <w:rsid w:val="00A50120"/>
    <w:rsid w:val="00A5715D"/>
    <w:rsid w:val="00A60351"/>
    <w:rsid w:val="00A61C6D"/>
    <w:rsid w:val="00A62BB3"/>
    <w:rsid w:val="00A63015"/>
    <w:rsid w:val="00A6387B"/>
    <w:rsid w:val="00A6482F"/>
    <w:rsid w:val="00A66254"/>
    <w:rsid w:val="00A678B4"/>
    <w:rsid w:val="00A704A3"/>
    <w:rsid w:val="00A75E23"/>
    <w:rsid w:val="00A82AA0"/>
    <w:rsid w:val="00A82B0A"/>
    <w:rsid w:val="00A82F8A"/>
    <w:rsid w:val="00A834B3"/>
    <w:rsid w:val="00A84622"/>
    <w:rsid w:val="00A84BF0"/>
    <w:rsid w:val="00A9226B"/>
    <w:rsid w:val="00A9575C"/>
    <w:rsid w:val="00A95B56"/>
    <w:rsid w:val="00A95E81"/>
    <w:rsid w:val="00A9644B"/>
    <w:rsid w:val="00A969AF"/>
    <w:rsid w:val="00AA2A27"/>
    <w:rsid w:val="00AB1A2E"/>
    <w:rsid w:val="00AB328A"/>
    <w:rsid w:val="00AB4918"/>
    <w:rsid w:val="00AB4BC8"/>
    <w:rsid w:val="00AB6BA7"/>
    <w:rsid w:val="00AB7BE8"/>
    <w:rsid w:val="00AD0710"/>
    <w:rsid w:val="00AD4DB9"/>
    <w:rsid w:val="00AD63C0"/>
    <w:rsid w:val="00AE35B2"/>
    <w:rsid w:val="00AE6AA0"/>
    <w:rsid w:val="00AF406C"/>
    <w:rsid w:val="00AF45ED"/>
    <w:rsid w:val="00B00CA4"/>
    <w:rsid w:val="00B02195"/>
    <w:rsid w:val="00B075D6"/>
    <w:rsid w:val="00B113B9"/>
    <w:rsid w:val="00B119A2"/>
    <w:rsid w:val="00B13B6D"/>
    <w:rsid w:val="00B177F2"/>
    <w:rsid w:val="00B201F1"/>
    <w:rsid w:val="00B2603F"/>
    <w:rsid w:val="00B304E7"/>
    <w:rsid w:val="00B318B6"/>
    <w:rsid w:val="00B3499B"/>
    <w:rsid w:val="00B36E65"/>
    <w:rsid w:val="00B40227"/>
    <w:rsid w:val="00B41D57"/>
    <w:rsid w:val="00B41F47"/>
    <w:rsid w:val="00B44468"/>
    <w:rsid w:val="00B60AC9"/>
    <w:rsid w:val="00B660D6"/>
    <w:rsid w:val="00B67323"/>
    <w:rsid w:val="00B715F2"/>
    <w:rsid w:val="00B74071"/>
    <w:rsid w:val="00B7428E"/>
    <w:rsid w:val="00B74B67"/>
    <w:rsid w:val="00B75580"/>
    <w:rsid w:val="00B779AA"/>
    <w:rsid w:val="00B81C95"/>
    <w:rsid w:val="00B82330"/>
    <w:rsid w:val="00B82ED4"/>
    <w:rsid w:val="00B8424F"/>
    <w:rsid w:val="00B86896"/>
    <w:rsid w:val="00B875A6"/>
    <w:rsid w:val="00B92BAB"/>
    <w:rsid w:val="00B93E4C"/>
    <w:rsid w:val="00B94A1B"/>
    <w:rsid w:val="00B9784D"/>
    <w:rsid w:val="00BA5C89"/>
    <w:rsid w:val="00BB04EB"/>
    <w:rsid w:val="00BB2539"/>
    <w:rsid w:val="00BB4CE2"/>
    <w:rsid w:val="00BB5EF0"/>
    <w:rsid w:val="00BB6724"/>
    <w:rsid w:val="00BC0EFB"/>
    <w:rsid w:val="00BC2E39"/>
    <w:rsid w:val="00BC4693"/>
    <w:rsid w:val="00BD2364"/>
    <w:rsid w:val="00BD28E3"/>
    <w:rsid w:val="00BE117E"/>
    <w:rsid w:val="00BE3261"/>
    <w:rsid w:val="00BF00EF"/>
    <w:rsid w:val="00BF58FC"/>
    <w:rsid w:val="00C01F77"/>
    <w:rsid w:val="00C01FFC"/>
    <w:rsid w:val="00C05321"/>
    <w:rsid w:val="00C06AE4"/>
    <w:rsid w:val="00C114FF"/>
    <w:rsid w:val="00C11D49"/>
    <w:rsid w:val="00C12F42"/>
    <w:rsid w:val="00C171A1"/>
    <w:rsid w:val="00C171A4"/>
    <w:rsid w:val="00C17F12"/>
    <w:rsid w:val="00C20734"/>
    <w:rsid w:val="00C21C1A"/>
    <w:rsid w:val="00C21E77"/>
    <w:rsid w:val="00C237E9"/>
    <w:rsid w:val="00C32989"/>
    <w:rsid w:val="00C32BD1"/>
    <w:rsid w:val="00C341E6"/>
    <w:rsid w:val="00C34260"/>
    <w:rsid w:val="00C36883"/>
    <w:rsid w:val="00C40928"/>
    <w:rsid w:val="00C40CFF"/>
    <w:rsid w:val="00C42697"/>
    <w:rsid w:val="00C43F01"/>
    <w:rsid w:val="00C46ECE"/>
    <w:rsid w:val="00C47552"/>
    <w:rsid w:val="00C56F31"/>
    <w:rsid w:val="00C57A81"/>
    <w:rsid w:val="00C60193"/>
    <w:rsid w:val="00C605FD"/>
    <w:rsid w:val="00C634D4"/>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28D8"/>
    <w:rsid w:val="00CA5108"/>
    <w:rsid w:val="00CC1E65"/>
    <w:rsid w:val="00CC567A"/>
    <w:rsid w:val="00CD4059"/>
    <w:rsid w:val="00CD4E5A"/>
    <w:rsid w:val="00CD6AFD"/>
    <w:rsid w:val="00CE03CE"/>
    <w:rsid w:val="00CE0F5D"/>
    <w:rsid w:val="00CE1A6A"/>
    <w:rsid w:val="00CE22F5"/>
    <w:rsid w:val="00CF069C"/>
    <w:rsid w:val="00CF0DFF"/>
    <w:rsid w:val="00D007EC"/>
    <w:rsid w:val="00D028A9"/>
    <w:rsid w:val="00D0359D"/>
    <w:rsid w:val="00D04DED"/>
    <w:rsid w:val="00D1089A"/>
    <w:rsid w:val="00D116BD"/>
    <w:rsid w:val="00D16FE0"/>
    <w:rsid w:val="00D2001A"/>
    <w:rsid w:val="00D20684"/>
    <w:rsid w:val="00D26B62"/>
    <w:rsid w:val="00D32624"/>
    <w:rsid w:val="00D3691A"/>
    <w:rsid w:val="00D377E2"/>
    <w:rsid w:val="00D403E9"/>
    <w:rsid w:val="00D40C87"/>
    <w:rsid w:val="00D42DCB"/>
    <w:rsid w:val="00D45482"/>
    <w:rsid w:val="00D46DF2"/>
    <w:rsid w:val="00D47674"/>
    <w:rsid w:val="00D5338C"/>
    <w:rsid w:val="00D606B2"/>
    <w:rsid w:val="00D625A7"/>
    <w:rsid w:val="00D63575"/>
    <w:rsid w:val="00D64074"/>
    <w:rsid w:val="00D65777"/>
    <w:rsid w:val="00D665F0"/>
    <w:rsid w:val="00D72375"/>
    <w:rsid w:val="00D728A0"/>
    <w:rsid w:val="00D74018"/>
    <w:rsid w:val="00D83661"/>
    <w:rsid w:val="00D86DAB"/>
    <w:rsid w:val="00D9216A"/>
    <w:rsid w:val="00D95BBB"/>
    <w:rsid w:val="00D97E7D"/>
    <w:rsid w:val="00DA2A06"/>
    <w:rsid w:val="00DA2AC6"/>
    <w:rsid w:val="00DB1C8C"/>
    <w:rsid w:val="00DB3439"/>
    <w:rsid w:val="00DB3618"/>
    <w:rsid w:val="00DB468A"/>
    <w:rsid w:val="00DC0AE9"/>
    <w:rsid w:val="00DC2946"/>
    <w:rsid w:val="00DC4340"/>
    <w:rsid w:val="00DC550F"/>
    <w:rsid w:val="00DC64FD"/>
    <w:rsid w:val="00DD1A4B"/>
    <w:rsid w:val="00DD53C3"/>
    <w:rsid w:val="00DD669D"/>
    <w:rsid w:val="00DD7C73"/>
    <w:rsid w:val="00DE127F"/>
    <w:rsid w:val="00DE424A"/>
    <w:rsid w:val="00DE4419"/>
    <w:rsid w:val="00DE4F11"/>
    <w:rsid w:val="00DE67C4"/>
    <w:rsid w:val="00DF0ACA"/>
    <w:rsid w:val="00DF2245"/>
    <w:rsid w:val="00DF35C8"/>
    <w:rsid w:val="00DF4CE9"/>
    <w:rsid w:val="00DF4F68"/>
    <w:rsid w:val="00DF77CF"/>
    <w:rsid w:val="00E0068C"/>
    <w:rsid w:val="00E026E8"/>
    <w:rsid w:val="00E060F7"/>
    <w:rsid w:val="00E103CA"/>
    <w:rsid w:val="00E124D3"/>
    <w:rsid w:val="00E1267F"/>
    <w:rsid w:val="00E14C47"/>
    <w:rsid w:val="00E22698"/>
    <w:rsid w:val="00E25B7C"/>
    <w:rsid w:val="00E3076B"/>
    <w:rsid w:val="00E33224"/>
    <w:rsid w:val="00E3725B"/>
    <w:rsid w:val="00E434D1"/>
    <w:rsid w:val="00E56CBB"/>
    <w:rsid w:val="00E579A6"/>
    <w:rsid w:val="00E61950"/>
    <w:rsid w:val="00E61E51"/>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35AF"/>
    <w:rsid w:val="00EB0E20"/>
    <w:rsid w:val="00EB1682"/>
    <w:rsid w:val="00EB1A80"/>
    <w:rsid w:val="00EB457B"/>
    <w:rsid w:val="00EC27E1"/>
    <w:rsid w:val="00EC3E4B"/>
    <w:rsid w:val="00EC47C4"/>
    <w:rsid w:val="00EC4F3A"/>
    <w:rsid w:val="00EC5045"/>
    <w:rsid w:val="00EC5E74"/>
    <w:rsid w:val="00EC684C"/>
    <w:rsid w:val="00ED594D"/>
    <w:rsid w:val="00ED6CB7"/>
    <w:rsid w:val="00EE0288"/>
    <w:rsid w:val="00EE36E1"/>
    <w:rsid w:val="00EE6228"/>
    <w:rsid w:val="00EE7AC7"/>
    <w:rsid w:val="00EE7B3F"/>
    <w:rsid w:val="00EF2247"/>
    <w:rsid w:val="00EF3A8A"/>
    <w:rsid w:val="00F0054D"/>
    <w:rsid w:val="00F02467"/>
    <w:rsid w:val="00F04D0E"/>
    <w:rsid w:val="00F12214"/>
    <w:rsid w:val="00F12565"/>
    <w:rsid w:val="00F144BE"/>
    <w:rsid w:val="00F14ACA"/>
    <w:rsid w:val="00F17A0C"/>
    <w:rsid w:val="00F21FC7"/>
    <w:rsid w:val="00F23927"/>
    <w:rsid w:val="00F26644"/>
    <w:rsid w:val="00F26A05"/>
    <w:rsid w:val="00F307CE"/>
    <w:rsid w:val="00F343C8"/>
    <w:rsid w:val="00F345A8"/>
    <w:rsid w:val="00F354C5"/>
    <w:rsid w:val="00F37108"/>
    <w:rsid w:val="00F40449"/>
    <w:rsid w:val="00F45B8E"/>
    <w:rsid w:val="00F47BAA"/>
    <w:rsid w:val="00F50315"/>
    <w:rsid w:val="00F520FE"/>
    <w:rsid w:val="00F52EAB"/>
    <w:rsid w:val="00F55A04"/>
    <w:rsid w:val="00F572EF"/>
    <w:rsid w:val="00F61A31"/>
    <w:rsid w:val="00F62DEC"/>
    <w:rsid w:val="00F66F00"/>
    <w:rsid w:val="00F67A2D"/>
    <w:rsid w:val="00F70A1B"/>
    <w:rsid w:val="00F72FDF"/>
    <w:rsid w:val="00F75960"/>
    <w:rsid w:val="00F801AF"/>
    <w:rsid w:val="00F82526"/>
    <w:rsid w:val="00F83494"/>
    <w:rsid w:val="00F84672"/>
    <w:rsid w:val="00F84802"/>
    <w:rsid w:val="00F84AED"/>
    <w:rsid w:val="00F94330"/>
    <w:rsid w:val="00F95A8C"/>
    <w:rsid w:val="00F965B9"/>
    <w:rsid w:val="00FA06FD"/>
    <w:rsid w:val="00FA515B"/>
    <w:rsid w:val="00FA6B90"/>
    <w:rsid w:val="00FA70F9"/>
    <w:rsid w:val="00FA74CB"/>
    <w:rsid w:val="00FB207A"/>
    <w:rsid w:val="00FB2886"/>
    <w:rsid w:val="00FB466E"/>
    <w:rsid w:val="00FB6F2F"/>
    <w:rsid w:val="00FC02F3"/>
    <w:rsid w:val="00FC0B74"/>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4664"/>
    <w:rsid w:val="00FF5247"/>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DE94B"/>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uiPriority w:val="99"/>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 w:type="paragraph" w:styleId="Odstavecseseznamem">
    <w:name w:val="List Paragraph"/>
    <w:basedOn w:val="Normln"/>
    <w:uiPriority w:val="34"/>
    <w:qFormat/>
    <w:rsid w:val="00D72375"/>
    <w:pPr>
      <w:tabs>
        <w:tab w:val="clear" w:pos="567"/>
      </w:tabs>
      <w:spacing w:line="360" w:lineRule="auto"/>
      <w:ind w:left="720"/>
      <w:contextualSpacing/>
      <w:jc w:val="both"/>
    </w:pPr>
    <w:rPr>
      <w:rFonts w:ascii="Arial" w:hAnsi="Arial"/>
      <w:sz w:val="20"/>
      <w:szCs w:val="24"/>
      <w:lang w:val="fr-FR" w:eastAsia="fr-FR"/>
    </w:rPr>
  </w:style>
  <w:style w:type="character" w:customStyle="1" w:styleId="hps">
    <w:name w:val="hps"/>
    <w:rsid w:val="00D72375"/>
  </w:style>
  <w:style w:type="paragraph" w:styleId="Normlnweb">
    <w:name w:val="Normal (Web)"/>
    <w:basedOn w:val="Normln"/>
    <w:rsid w:val="00D72375"/>
    <w:pPr>
      <w:tabs>
        <w:tab w:val="clear" w:pos="567"/>
      </w:tabs>
      <w:spacing w:before="100" w:beforeAutospacing="1" w:after="100" w:afterAutospacing="1" w:line="240" w:lineRule="auto"/>
    </w:pPr>
    <w:rPr>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481018">
      <w:bodyDiv w:val="1"/>
      <w:marLeft w:val="0"/>
      <w:marRight w:val="0"/>
      <w:marTop w:val="0"/>
      <w:marBottom w:val="0"/>
      <w:divBdr>
        <w:top w:val="none" w:sz="0" w:space="0" w:color="auto"/>
        <w:left w:val="none" w:sz="0" w:space="0" w:color="auto"/>
        <w:bottom w:val="none" w:sz="0" w:space="0" w:color="auto"/>
        <w:right w:val="none" w:sz="0" w:space="0" w:color="auto"/>
      </w:divBdr>
      <w:divsChild>
        <w:div w:id="2026516099">
          <w:marLeft w:val="0"/>
          <w:marRight w:val="0"/>
          <w:marTop w:val="0"/>
          <w:marBottom w:val="0"/>
          <w:divBdr>
            <w:top w:val="none" w:sz="0" w:space="0" w:color="auto"/>
            <w:left w:val="none" w:sz="0" w:space="0" w:color="auto"/>
            <w:bottom w:val="none" w:sz="0" w:space="0" w:color="auto"/>
            <w:right w:val="none" w:sz="0" w:space="0" w:color="auto"/>
          </w:divBdr>
        </w:div>
      </w:divsChild>
    </w:div>
    <w:div w:id="1726103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skvbl.cz" TargetMode="External"/><Relationship Id="rId4" Type="http://schemas.openxmlformats.org/officeDocument/2006/relationships/settings" Target="settings.xml"/><Relationship Id="rId9" Type="http://schemas.openxmlformats.org/officeDocument/2006/relationships/hyperlink" Target="https://medicines.health.europa.eu/veterina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05535-4416-4691-B13B-08258BC22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7</Pages>
  <Words>1706</Words>
  <Characters>10070</Characters>
  <Application>Microsoft Office Word</Application>
  <DocSecurity>0</DocSecurity>
  <Lines>83</Lines>
  <Paragraphs>23</Paragraphs>
  <ScaleCrop>false</ScaleCrop>
  <HeadingPairs>
    <vt:vector size="6" baseType="variant">
      <vt:variant>
        <vt:lpstr>Název</vt:lpstr>
      </vt:variant>
      <vt:variant>
        <vt:i4>1</vt:i4>
      </vt:variant>
      <vt:variant>
        <vt:lpstr>Titel</vt:lpstr>
      </vt:variant>
      <vt:variant>
        <vt:i4>1</vt:i4>
      </vt:variant>
      <vt:variant>
        <vt:lpstr>Title</vt:lpstr>
      </vt:variant>
      <vt:variant>
        <vt:i4>1</vt:i4>
      </vt:variant>
    </vt:vector>
  </HeadingPairs>
  <TitlesOfParts>
    <vt:vector size="3" baseType="lpstr">
      <vt:lpstr>Vqrdtemplateclean_cs</vt:lpstr>
      <vt:lpstr>Vqrdtemplateclean_cs</vt:lpstr>
      <vt:lpstr>Vqrdtemplatetracked_cs</vt:lpstr>
    </vt:vector>
  </TitlesOfParts>
  <Company>CDT</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medical-ls</dc:creator>
  <cp:lastModifiedBy>Neugebauerová Kateřina</cp:lastModifiedBy>
  <cp:revision>24</cp:revision>
  <cp:lastPrinted>2025-04-22T13:28:00Z</cp:lastPrinted>
  <dcterms:created xsi:type="dcterms:W3CDTF">2024-12-05T13:31:00Z</dcterms:created>
  <dcterms:modified xsi:type="dcterms:W3CDTF">2025-04-22T13:28:00Z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