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60" w:rsidRDefault="007D0760" w:rsidP="00AE1A06">
      <w:pPr>
        <w:ind w:right="113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20"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7D0760" w:rsidRDefault="007D0760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</w:p>
    <w:p w:rsidR="00AE1A06" w:rsidRPr="007D0760" w:rsidRDefault="00AE1A06" w:rsidP="007D07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113"/>
        <w:rPr>
          <w:rFonts w:ascii="Arial" w:hAnsi="Arial" w:cs="Arial"/>
          <w:b/>
          <w:sz w:val="22"/>
          <w:szCs w:val="22"/>
          <w:lang w:val="cs-CZ"/>
        </w:rPr>
      </w:pPr>
      <w:bookmarkStart w:id="0" w:name="_GoBack"/>
      <w:bookmarkEnd w:id="0"/>
      <w:r w:rsidRPr="007D0760">
        <w:rPr>
          <w:rFonts w:ascii="Arial" w:hAnsi="Arial" w:cs="Arial"/>
          <w:b/>
          <w:sz w:val="22"/>
          <w:szCs w:val="22"/>
          <w:lang w:val="cs-CZ"/>
        </w:rPr>
        <w:t>PODROBNÉ ÚDAJE UVÁDĚNÉ NA VNITŘNÍM OBALU A PŘÍBALOVÁ INFORMACE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br w:type="page"/>
      </w: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lastRenderedPageBreak/>
        <w:t>JMÉNO A ADRESA DRŽITELE ROZHODNUTÍ O REGISTRACI A DRŽITELE POVOLENÍ K VÝROBĚ ODPOVĚDNÉHO ZA UVOLNĚNÍ ŠARŽE, POKUD SE NESHODUJE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u w:val="single"/>
          <w:lang w:val="cs-CZ"/>
        </w:rPr>
        <w:t>Držitel rozhodnutí o registraci a výrobce: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LABORATORIOS CALIER, </w:t>
      </w:r>
      <w:proofErr w:type="gramStart"/>
      <w:r>
        <w:rPr>
          <w:rFonts w:ascii="Arial" w:hAnsi="Arial" w:cs="Arial"/>
          <w:sz w:val="22"/>
          <w:szCs w:val="22"/>
          <w:lang w:val="cs-CZ"/>
        </w:rPr>
        <w:t>S.A.</w:t>
      </w:r>
      <w:proofErr w:type="gramEnd"/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C/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Barcelonès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26.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Pla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del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Ramassà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08520 LES FRANQUESES DEL VALLÈS.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BARCELONA. SPAIN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NÁZEV VETERINÁRNÍHO LÉČIVÉHO PŘÍPRAVKU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DOXYCYCLINE CALIER 500 mg/g prášek pro podání v pitné vodě pro kura domácího, krůty a prasata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Doxycyclinum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cs-CZ"/>
        </w:rPr>
        <w:t>hyclas</w:t>
      </w:r>
      <w:proofErr w:type="spellEnd"/>
      <w:r>
        <w:rPr>
          <w:rFonts w:ascii="Arial" w:hAnsi="Arial" w:cs="Arial"/>
          <w:sz w:val="22"/>
          <w:szCs w:val="22"/>
          <w:lang w:val="cs-CZ"/>
        </w:rPr>
        <w:t>)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OBSAH LÉČIVÝCH A OSTATNÍCH LÁTEK</w:t>
      </w:r>
    </w:p>
    <w:p w:rsidR="00AE1A06" w:rsidRDefault="00AE1A06" w:rsidP="00AE1A06">
      <w:pPr>
        <w:tabs>
          <w:tab w:val="left" w:leader="dot" w:pos="396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1 g obsahuje:</w:t>
      </w:r>
    </w:p>
    <w:p w:rsidR="00AE1A06" w:rsidRDefault="00AE1A06" w:rsidP="00AE1A06">
      <w:pPr>
        <w:tabs>
          <w:tab w:val="left" w:leader="dot" w:pos="396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Léčivá látka:</w:t>
      </w:r>
    </w:p>
    <w:p w:rsidR="00AE1A06" w:rsidRDefault="00AE1A06" w:rsidP="00AE1A06">
      <w:pPr>
        <w:tabs>
          <w:tab w:val="left" w:leader="dot" w:pos="396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Doxycyclinum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cs-CZ"/>
        </w:rPr>
        <w:t>ut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Doxycyclini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hyclas</w:t>
      </w:r>
      <w:proofErr w:type="spellEnd"/>
      <w:r>
        <w:rPr>
          <w:rFonts w:ascii="Arial" w:hAnsi="Arial" w:cs="Arial"/>
          <w:sz w:val="22"/>
          <w:szCs w:val="22"/>
          <w:lang w:val="cs-CZ"/>
        </w:rPr>
        <w:t>)</w:t>
      </w:r>
      <w:proofErr w:type="gramStart"/>
      <w:r>
        <w:rPr>
          <w:rFonts w:ascii="Arial" w:hAnsi="Arial" w:cs="Arial"/>
          <w:sz w:val="22"/>
          <w:szCs w:val="22"/>
          <w:lang w:val="cs-CZ"/>
        </w:rPr>
        <w:t>…..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500 mg</w:t>
      </w:r>
    </w:p>
    <w:p w:rsidR="00AE1A06" w:rsidRDefault="00AE1A06" w:rsidP="00AE1A06">
      <w:pPr>
        <w:tabs>
          <w:tab w:val="left" w:leader="dot" w:pos="396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INDIKACE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Kur domácí (brojleři) a krůty: prevence a léčba chronického respiračního onemocnění (CRD) způsobeného </w:t>
      </w:r>
      <w:proofErr w:type="spellStart"/>
      <w:r>
        <w:rPr>
          <w:rFonts w:ascii="Arial" w:hAnsi="Arial" w:cs="Arial"/>
          <w:i/>
          <w:sz w:val="22"/>
          <w:szCs w:val="22"/>
          <w:lang w:val="cs-CZ"/>
        </w:rPr>
        <w:t>Mycoplasma</w:t>
      </w:r>
      <w:proofErr w:type="spellEnd"/>
      <w:r>
        <w:rPr>
          <w:rFonts w:ascii="Arial" w:hAnsi="Arial" w:cs="Arial"/>
          <w:i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cs-CZ"/>
        </w:rPr>
        <w:t>gallisepticum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Prasata (výkrmová): prevence a léčba klinických respiračních infekcí způsobených citlivými kmeny </w:t>
      </w:r>
      <w:proofErr w:type="spellStart"/>
      <w:r>
        <w:rPr>
          <w:rFonts w:ascii="Arial" w:hAnsi="Arial" w:cs="Arial"/>
          <w:i/>
          <w:sz w:val="22"/>
          <w:szCs w:val="22"/>
          <w:lang w:val="cs-CZ"/>
        </w:rPr>
        <w:t>Pasteurella</w:t>
      </w:r>
      <w:proofErr w:type="spellEnd"/>
      <w:r>
        <w:rPr>
          <w:rFonts w:ascii="Arial" w:hAnsi="Arial" w:cs="Arial"/>
          <w:i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cs-CZ"/>
        </w:rPr>
        <w:t>multocida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Použití přípravku by mělo být založeno </w:t>
      </w:r>
      <w:proofErr w:type="gramStart"/>
      <w:r>
        <w:rPr>
          <w:rFonts w:ascii="Arial" w:hAnsi="Arial" w:cs="Arial"/>
          <w:sz w:val="22"/>
          <w:szCs w:val="22"/>
          <w:lang w:val="cs-CZ"/>
        </w:rPr>
        <w:t>výsledcích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testování citlivosti bakteriálního původce onemocnění izolovaného ze zvířete. Pokud to není možné, léčba by měla být založena na místních (region, farma) epidemiologických datech o citlivostech bakteriálního původce onemocnění. </w:t>
      </w: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Přítomnost onemocnění v hejně/stádě by měla být potvrzena před zahájením léčby.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KONTRAINDIKACE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Nepoužívejte v případech přecitlivělosti na tetracykliny nebo pomocné látky přípravku.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Nepoužívejte u zvířat s poruchami jater.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Nepoužívejte u zvířat s poruchami ledvin.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NEŽÁDOUCÍ ÚČINKY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Titulek1"/>
        <w:tabs>
          <w:tab w:val="clear" w:pos="284"/>
          <w:tab w:val="clear" w:pos="425"/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rPr>
          <w:rFonts w:ascii="Arial" w:hAnsi="Arial" w:cs="Arial"/>
          <w:caps/>
          <w:sz w:val="22"/>
          <w:szCs w:val="22"/>
          <w:lang w:val="cs-CZ"/>
        </w:rPr>
      </w:pPr>
      <w:r>
        <w:rPr>
          <w:rFonts w:ascii="Arial" w:hAnsi="Arial" w:cs="Arial"/>
          <w:caps/>
          <w:sz w:val="22"/>
          <w:szCs w:val="22"/>
          <w:lang w:val="cs-CZ"/>
        </w:rPr>
        <w:t xml:space="preserve">V </w:t>
      </w:r>
      <w:r>
        <w:rPr>
          <w:rFonts w:ascii="Arial" w:hAnsi="Arial" w:cs="Arial"/>
          <w:sz w:val="22"/>
          <w:szCs w:val="22"/>
          <w:lang w:val="cs-CZ"/>
        </w:rPr>
        <w:t>případech alergické a/nebo fotosenzitivní reakce se doporučuje přerušit léčbu.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rPr>
          <w:rFonts w:ascii="Arial" w:hAnsi="Arial" w:cs="Arial"/>
          <w:cap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Dlouhodobou léčbou může být ovlivněna střevní flora, což může vést k zažívacím poruchám.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rPr>
          <w:rFonts w:ascii="Arial" w:hAnsi="Arial" w:cs="Arial"/>
          <w:spacing w:val="-2"/>
          <w:sz w:val="22"/>
          <w:szCs w:val="22"/>
          <w:lang w:val="cs-CZ"/>
        </w:rPr>
      </w:pPr>
      <w:r>
        <w:rPr>
          <w:rFonts w:ascii="Arial" w:hAnsi="Arial" w:cs="Arial"/>
          <w:caps/>
          <w:sz w:val="22"/>
          <w:szCs w:val="22"/>
          <w:lang w:val="cs-CZ"/>
        </w:rPr>
        <w:t>o</w:t>
      </w:r>
      <w:r>
        <w:rPr>
          <w:rFonts w:ascii="Arial" w:hAnsi="Arial" w:cs="Arial"/>
          <w:sz w:val="22"/>
          <w:szCs w:val="22"/>
          <w:lang w:val="cs-CZ"/>
        </w:rPr>
        <w:t>bjeví-li se podezření z výskytu nežádoucích účinků, je nutné léčbu přerušit. Jestliže zaznamenáte jakékoliv závažné nežádoucí účinky či jiné reakce, které zde nejsou uvedeny, oznamte to vašemu veterinárnímu lékaři</w:t>
      </w:r>
      <w:r>
        <w:rPr>
          <w:rFonts w:ascii="Arial" w:hAnsi="Arial" w:cs="Arial"/>
          <w:caps/>
          <w:sz w:val="22"/>
          <w:szCs w:val="22"/>
          <w:lang w:val="cs-CZ"/>
        </w:rPr>
        <w:t>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CÍLOVÝ DRUH ZVÍŘAT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Kur domácí (brojleři) a krůty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Prasata (výkrmová)</w:t>
      </w:r>
    </w:p>
    <w:p w:rsidR="00AE1A06" w:rsidRDefault="00AE1A06" w:rsidP="00AE1A06">
      <w:pPr>
        <w:pStyle w:val="Zkladn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DÁVKOVÁNÍ PRO KAŽDÝ DRUH, CESTA (Y) A ZPUSOB PODÁNÍ</w:t>
      </w:r>
    </w:p>
    <w:p w:rsidR="00AE1A06" w:rsidRDefault="00AE1A06" w:rsidP="00AE1A06">
      <w:pPr>
        <w:pStyle w:val="Zkladntex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Perorální podání v pitné vodě</w:t>
      </w:r>
    </w:p>
    <w:p w:rsidR="00AE1A06" w:rsidRDefault="00AE1A06" w:rsidP="00AE1A06">
      <w:pPr>
        <w:pStyle w:val="Zkladntex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Kur domácí (brojleři): 20 mg </w:t>
      </w:r>
      <w:proofErr w:type="gramStart"/>
      <w:r>
        <w:rPr>
          <w:rFonts w:ascii="Arial" w:hAnsi="Arial" w:cs="Arial"/>
          <w:sz w:val="22"/>
          <w:szCs w:val="22"/>
          <w:lang w:val="cs-CZ"/>
        </w:rPr>
        <w:t>doxycyklinu/kg ž.hm</w:t>
      </w:r>
      <w:proofErr w:type="gramEnd"/>
      <w:r>
        <w:rPr>
          <w:rFonts w:ascii="Arial" w:hAnsi="Arial" w:cs="Arial"/>
          <w:sz w:val="22"/>
          <w:szCs w:val="22"/>
          <w:lang w:val="cs-CZ"/>
        </w:rPr>
        <w:t>./den (což odpovídá 40 mg přípravku/kg ž.hm./den, po dobu 3-5 dnů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 xml:space="preserve">Krůty: 20 mg </w:t>
      </w:r>
      <w:proofErr w:type="gramStart"/>
      <w:r>
        <w:rPr>
          <w:rFonts w:ascii="Arial" w:hAnsi="Arial" w:cs="Arial"/>
          <w:sz w:val="22"/>
          <w:szCs w:val="22"/>
          <w:lang w:val="cs-CZ"/>
        </w:rPr>
        <w:t>doxycyklinu/kg ž.hm</w:t>
      </w:r>
      <w:proofErr w:type="gramEnd"/>
      <w:r>
        <w:rPr>
          <w:rFonts w:ascii="Arial" w:hAnsi="Arial" w:cs="Arial"/>
          <w:sz w:val="22"/>
          <w:szCs w:val="22"/>
          <w:lang w:val="cs-CZ"/>
        </w:rPr>
        <w:t>./den (což odpovídá 40 mg přípravku/kg.ž.hm/den, po dobu 5 dnů)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Prasata (výkrmová): 10 mg </w:t>
      </w:r>
      <w:proofErr w:type="gramStart"/>
      <w:r>
        <w:rPr>
          <w:rFonts w:ascii="Arial" w:hAnsi="Arial" w:cs="Arial"/>
          <w:sz w:val="22"/>
          <w:szCs w:val="22"/>
          <w:lang w:val="cs-CZ"/>
        </w:rPr>
        <w:t>doxycyklinu/kg ž.hm</w:t>
      </w:r>
      <w:proofErr w:type="gramEnd"/>
      <w:r>
        <w:rPr>
          <w:rFonts w:ascii="Arial" w:hAnsi="Arial" w:cs="Arial"/>
          <w:sz w:val="22"/>
          <w:szCs w:val="22"/>
          <w:lang w:val="cs-CZ"/>
        </w:rPr>
        <w:t>./den (což odpovídá 20 mg přípravku/kg ž.hm./den po dobu 5 dnů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POKYNY PRO SPRÁVNÉ PODÁVÁNÍ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Na základě doporučené dávky, počtu a hmotnosti léčené drůbeže vypočítejte přesné množství přípravku na den podle následujícího vzorce: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 w:eastAsia="es-ES"/>
        </w:rPr>
      </w:pPr>
      <w:r>
        <w:rPr>
          <w:rFonts w:ascii="Arial" w:hAnsi="Arial" w:cs="Arial"/>
          <w:sz w:val="22"/>
          <w:szCs w:val="22"/>
          <w:lang w:val="cs-CZ" w:eastAsia="es-ES"/>
        </w:rPr>
        <w:t>Množství přípravku v mg/l vody=</w:t>
      </w:r>
    </w:p>
    <w:p w:rsidR="00AE1A06" w:rsidRDefault="00AE1A06" w:rsidP="00AE1A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 w:eastAsia="es-ES"/>
        </w:rPr>
      </w:pPr>
      <w:proofErr w:type="gramStart"/>
      <w:r>
        <w:rPr>
          <w:rFonts w:ascii="Arial" w:hAnsi="Arial" w:cs="Arial"/>
          <w:sz w:val="22"/>
          <w:szCs w:val="22"/>
          <w:lang w:val="cs-CZ" w:eastAsia="es-ES"/>
        </w:rPr>
        <w:t>..............mg</w:t>
      </w:r>
      <w:proofErr w:type="gramEnd"/>
      <w:r>
        <w:rPr>
          <w:rFonts w:ascii="Arial" w:hAnsi="Arial" w:cs="Arial"/>
          <w:sz w:val="22"/>
          <w:szCs w:val="22"/>
          <w:lang w:val="cs-CZ" w:eastAsia="es-ES"/>
        </w:rPr>
        <w:t xml:space="preserve"> doxycyklinu/             Průměrná živá hmotnost (kg)</w:t>
      </w:r>
    </w:p>
    <w:p w:rsidR="00AE1A06" w:rsidRDefault="00AE1A06" w:rsidP="00AE1A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 w:eastAsia="es-ES"/>
        </w:rPr>
      </w:pPr>
      <w:r>
        <w:rPr>
          <w:rFonts w:ascii="Arial" w:hAnsi="Arial" w:cs="Arial"/>
          <w:sz w:val="22"/>
          <w:szCs w:val="22"/>
          <w:lang w:val="cs-CZ" w:eastAsia="es-ES"/>
        </w:rPr>
        <w:t xml:space="preserve">kg živé </w:t>
      </w:r>
      <w:proofErr w:type="gramStart"/>
      <w:r>
        <w:rPr>
          <w:rFonts w:ascii="Arial" w:hAnsi="Arial" w:cs="Arial"/>
          <w:sz w:val="22"/>
          <w:szCs w:val="22"/>
          <w:lang w:val="cs-CZ" w:eastAsia="es-ES"/>
        </w:rPr>
        <w:t>hmotnosti/den          x      zvířat</w:t>
      </w:r>
      <w:proofErr w:type="gramEnd"/>
      <w:r>
        <w:rPr>
          <w:rFonts w:ascii="Arial" w:hAnsi="Arial" w:cs="Arial"/>
          <w:sz w:val="22"/>
          <w:szCs w:val="22"/>
          <w:lang w:val="cs-CZ" w:eastAsia="es-ES"/>
        </w:rPr>
        <w:t>, jež budete léčit                = ... mg přípravku na</w:t>
      </w:r>
    </w:p>
    <w:p w:rsidR="00AE1A06" w:rsidRDefault="00AE1A06" w:rsidP="00AE1A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 w:eastAsia="es-ES"/>
        </w:rPr>
      </w:pPr>
      <w:r>
        <w:rPr>
          <w:rFonts w:ascii="Arial" w:hAnsi="Arial" w:cs="Arial"/>
          <w:sz w:val="22"/>
          <w:szCs w:val="22"/>
          <w:lang w:val="cs-CZ" w:eastAsia="es-ES"/>
        </w:rPr>
        <w:t>-------------------------------------------------------------------------                   litr pitné vody</w:t>
      </w:r>
    </w:p>
    <w:p w:rsidR="00AE1A06" w:rsidRDefault="00AE1A06" w:rsidP="00AE1A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cs-CZ" w:eastAsia="es-ES"/>
        </w:rPr>
      </w:pPr>
      <w:r>
        <w:rPr>
          <w:rFonts w:ascii="Arial" w:hAnsi="Arial" w:cs="Arial"/>
          <w:sz w:val="22"/>
          <w:szCs w:val="22"/>
          <w:lang w:val="cs-CZ" w:eastAsia="es-ES"/>
        </w:rPr>
        <w:t>Průměrná denní spotřeba vody (l) na jedno zvíře</w:t>
      </w:r>
    </w:p>
    <w:p w:rsidR="00AE1A06" w:rsidRDefault="00AE1A06" w:rsidP="00AE1A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 zajištění správného dávkování by měla být živá hmotnost stanovena co možná nejpřesněji.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Příjem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medikované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vody závisí na klinickém stavu zvířat. K zajištění správného dávkování může být nutné upravit koncentraci přípravku v pitné vodě.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Abyste zabránili vysrážení roztoku, nepoužívejte nižší koncentraci než 0,23 g prášku/1 l pitné vody o pH 7,5 nebo vyšším.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Léčeným zvířatům je nutné poskytnout dostatečný přístup k napájecímu systému, aby měla zajištěn adekvátní přísun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medikované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vody. Během léčby by zvířata neměla mít přístup k žádnému jinému zdroji vody.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Medikovaná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voda by měla být čerstvá a vždy připravena pouze v takovém množství, které dostačuje k pokrytí jednodenní spotřeby.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Pokud používáte již otevřená balení, doporučuje se používat váhy, které umožňují odvážit potřebné množství s požadovanou přesností. Denní dávka se přidává do pitné vody tak, aby veškerá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medikovaná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voda byla spotřebována v průběhu 24 hodin.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Medikovanou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vodu je třeba připravit čerstvou každých 24 hodin. V případě potřeby se doporučuje připravit koncentrovaný zásobní roztok- přibližně 100 g přípravku na litr pitné vody-a tento roztok dále ředit do terapeutické koncentrace. Další možností je používat koncentrovaný zásobní roztok v proporčním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medikátoru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OCHRANNÁ LHUTA</w:t>
      </w: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Prasata:</w:t>
      </w: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Maso: 6 dnů</w:t>
      </w: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Kur domácí:</w:t>
      </w: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Maso: 6 dnů</w:t>
      </w: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Vejce: Nepoužívat u nosnic, jejichž vejce jsou určena pro lidskou spotřebu.</w:t>
      </w: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Krůty:</w:t>
      </w: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Maso: 9 dnů</w:t>
      </w:r>
    </w:p>
    <w:p w:rsidR="00AE1A06" w:rsidRDefault="00AE1A06" w:rsidP="00AE1A06">
      <w:pPr>
        <w:pStyle w:val="Zkladntext1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Vejce: Nepoužívat u nosnic, jejichž vejce jsou určena pro lidskou spotřebu.</w:t>
      </w:r>
    </w:p>
    <w:p w:rsidR="00AE1A06" w:rsidRDefault="00AE1A06" w:rsidP="00AE1A06">
      <w:pPr>
        <w:pStyle w:val="Zkladn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ZVLÁŠTNÍ OPATŘENÍ PRO UCHOVÁVÁNÍ</w:t>
      </w:r>
    </w:p>
    <w:p w:rsidR="00AE1A06" w:rsidRDefault="00AE1A06" w:rsidP="00AE1A06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Uchovávat mimo dosah dětí</w:t>
      </w:r>
    </w:p>
    <w:p w:rsidR="00AE1A06" w:rsidRDefault="00AE1A06" w:rsidP="00AE1A06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veterinární léčivý přípravek nevyžaduje žádné zvláštní podmínky pro uchovávání.</w:t>
      </w:r>
    </w:p>
    <w:p w:rsidR="00AE1A06" w:rsidRDefault="00AE1A06" w:rsidP="00AE1A06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Doba použitelnosti po rozpuštění v pitné vodě: 24 hodin</w:t>
      </w:r>
    </w:p>
    <w:p w:rsidR="00AE1A06" w:rsidRDefault="00AE1A06" w:rsidP="00AE1A06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Po prvním otevření vnitřního obalu veškerý zbylý veterinární léčivý přípravek zlikvidujte.</w:t>
      </w:r>
    </w:p>
    <w:p w:rsidR="00AE1A06" w:rsidRDefault="00AE1A06" w:rsidP="00AE1A06">
      <w:pPr>
        <w:pStyle w:val="Zkladn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ZVLÁŠTNÍ UPOZORNĚNÍ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Zvláštní opatření pro použití u zvířat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Poddávkování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nebo nedostatečná délka léčby se považují za faktory podporující rozvoj rezistence bakterií a je nutno se jim vyhnout.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Zvláštní opatření pro použití u zvířat: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Nepodávejte prostřednictvím zoxidovaného napájecího systému.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Vzhledem k pravděpodobné variabilitě (časové i místní) v citlivosti bakterií na doxycyklin se doporučuje provést odběr vzorků pro bakteriologické vyšetření a testování citlivosti původců onemocnění.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Nesprávné používání tohoto veterinárního léčivého přípravku může vést ke zvýšení prevalence bakterií rezistentních na doxycyklin a může vést ke snížené účinnosti léčby ostatními látkami ze skupiny tetracyklinů v důsledku zkřížené rezistence.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Protože eradikace patogenů není po použití tohoto přípravku dosaženo, léčba tímto přípravkem by měla být z tohoto důvodu kombinována s dodržováním správné chovatelské praxe, například odpovídající úrovni hygieny, řádným větráním stájí, nepřekračováním odpovídajícího počtu ustájených zvířat na jednotku plochy stáje.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Aby se zamezilo vysrážení roztoku, nepoužívejte nižší koncentraci než 0,23 g prášku/l pitné vody o pH 7,5 nebo vyšším.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Neokyselujte pitnou vodu určenou k medikaci tímto přípravkem.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>
        <w:rPr>
          <w:rFonts w:ascii="Arial" w:hAnsi="Arial" w:cs="Arial"/>
          <w:sz w:val="22"/>
          <w:szCs w:val="22"/>
          <w:u w:val="single"/>
          <w:lang w:val="cs-CZ"/>
        </w:rPr>
        <w:t>Zvláštní opatření určené osobám, které podávají veterinární léčivý přípravek zvířatům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u w:val="single"/>
          <w:lang w:val="cs-CZ"/>
        </w:rPr>
      </w:pP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Je třeba zvýšené opatrnosti při manipulaci s tímto přípravkem nebo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medikovaným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roztokem, pokud víte, že jste alergičtí na tetracykliny.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Během přípravy a podávání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medikované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pitné vody zabraňte kontaktu přípravku s kůží a vdechování prachových částic. Během aplikace přípravku pracujte v nepropustných rukavicích (např. gumových nebo latexových) a s vhodnou protiprachovou maskou (např. jednorázovým respirátorem vyhovující evropské normě EN 149).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 případě zasažení očí nebo kůže opláchněte zasažené místo velkým množstvím čisté </w:t>
      </w:r>
      <w:proofErr w:type="gramStart"/>
      <w:r>
        <w:rPr>
          <w:rFonts w:ascii="Arial" w:hAnsi="Arial" w:cs="Arial"/>
          <w:sz w:val="22"/>
          <w:szCs w:val="22"/>
          <w:lang w:val="cs-CZ"/>
        </w:rPr>
        <w:t>vody a pokud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se objeví příznaky podráždění, vyhledejte lékařskou pomoc. Po manipulaci s přípravkem si umyjte ruce a kontaminovanou kůži.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Pokud se u vás projeví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postexpoziční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příznaky jako např. kožní vyrážka, vyhledejte lékařskou pomoc a ukažte příbalovou informaci nebo etiketu praktickému lékaři. Otok obličeje, rtů, očí nebo potíže s dýcháním jsou vážnými příznaky a vyžadují okamžité lékařské ošetření.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Při manipulaci s přípravkem nekuřte, nejezte ani nepijte.</w:t>
      </w:r>
    </w:p>
    <w:p w:rsidR="00AE1A06" w:rsidRDefault="00AE1A06" w:rsidP="00AE1A06">
      <w:pPr>
        <w:pStyle w:val="Titulek1"/>
        <w:tabs>
          <w:tab w:val="clear" w:pos="284"/>
          <w:tab w:val="clear" w:pos="425"/>
          <w:tab w:val="clear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Při zamíchávání přípravku do pitné vody zabraňte víření prachu. Zabraňte přímému kontaktu přípravku s kůží a očima, abyste předešli senzibilizaci a kontaktní dermatitidě.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>
        <w:rPr>
          <w:rFonts w:ascii="Arial" w:hAnsi="Arial" w:cs="Arial"/>
          <w:sz w:val="22"/>
          <w:szCs w:val="22"/>
          <w:u w:val="single"/>
          <w:lang w:val="cs-CZ"/>
        </w:rPr>
        <w:t>Použití během březosti, laktace a snášky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u w:val="single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Laboratorní studie u krys a králíků nepodaly důkaz o teratogenním,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fetotoxickém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účinku a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maternální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toxicitě.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 xml:space="preserve">Bezpečnost tohoto veterinárního léčiva však nebyla stanovena u březích a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laktujících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prasnic.</w:t>
      </w: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Nedoporučuje se používat přípravek během březosti nebo laktace.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>
        <w:rPr>
          <w:rFonts w:ascii="Arial" w:hAnsi="Arial" w:cs="Arial"/>
          <w:sz w:val="22"/>
          <w:szCs w:val="22"/>
          <w:u w:val="single"/>
          <w:lang w:val="cs-CZ"/>
        </w:rPr>
        <w:t>Interakce s jinými léčivy a jiné interakce</w:t>
      </w: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Nepoužívejte současně s krmivem s vysokým obsahem polyvalentních kationtů jako Ca2+, Mg2+, Zn2+ and Fe3+ z důvodu možné tvorby komplexů s doxycyklinem. </w:t>
      </w: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Nepodávejte současně s antacidy, kaolinem a přípravky obsahujícími železo. Protože tetracykliny jsou bakteriostatická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antimikrobika</w:t>
      </w:r>
      <w:proofErr w:type="spellEnd"/>
      <w:r>
        <w:rPr>
          <w:rFonts w:ascii="Arial" w:hAnsi="Arial" w:cs="Arial"/>
          <w:sz w:val="22"/>
          <w:szCs w:val="22"/>
          <w:lang w:val="cs-CZ"/>
        </w:rPr>
        <w:t>, nepoužívejte je současně s baktericidními antibiotiky jako např. Beta-laktamy.</w:t>
      </w: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Doporučuje se, aby interval mezi podáním jiných veterinárních přípravků s obsahem polyvalentních kationtů byl 1 až 2 hodiny, protože tyto přípravky snižují absorpci tetracyklinů.</w:t>
      </w: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Doxycyklin zvyšuje účinek antikoagulačních látek.</w:t>
      </w:r>
    </w:p>
    <w:p w:rsidR="00AE1A06" w:rsidRDefault="00AE1A06" w:rsidP="00AE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u w:val="single"/>
          <w:lang w:val="cs-CZ"/>
        </w:rPr>
      </w:pP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u w:val="single"/>
          <w:lang w:val="cs-CZ"/>
        </w:rPr>
      </w:pPr>
      <w:r>
        <w:rPr>
          <w:rFonts w:ascii="Arial" w:hAnsi="Arial" w:cs="Arial"/>
          <w:szCs w:val="22"/>
          <w:u w:val="single"/>
          <w:lang w:val="cs-CZ"/>
        </w:rPr>
        <w:t>Předávkování (symptomy, první pomoc, protilátky)</w:t>
      </w: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u w:val="single"/>
          <w:lang w:val="cs-CZ"/>
        </w:rPr>
      </w:pP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Podávání 40 </w:t>
      </w:r>
      <w:proofErr w:type="gramStart"/>
      <w:r>
        <w:rPr>
          <w:rFonts w:ascii="Arial" w:hAnsi="Arial" w:cs="Arial"/>
          <w:szCs w:val="22"/>
          <w:lang w:val="cs-CZ"/>
        </w:rPr>
        <w:t>mg/kg ž.hm</w:t>
      </w:r>
      <w:proofErr w:type="gramEnd"/>
      <w:r>
        <w:rPr>
          <w:rFonts w:ascii="Arial" w:hAnsi="Arial" w:cs="Arial"/>
          <w:szCs w:val="22"/>
          <w:lang w:val="cs-CZ"/>
        </w:rPr>
        <w:t>. prasatům a 80mg/kg kuřatům (u obou druhů čtyřnásobné překročení doporučené dávky) po dobu 5 dnů nevyvolalo žádné nežádoucí účinky.</w:t>
      </w: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V případě předávkování by se měla léčba přerušit a měla by být zahájena symptomatická léčba.</w:t>
      </w: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lang w:val="cs-CZ"/>
        </w:rPr>
      </w:pP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u w:val="single"/>
          <w:lang w:val="cs-CZ"/>
        </w:rPr>
      </w:pPr>
      <w:r>
        <w:rPr>
          <w:rFonts w:ascii="Arial" w:hAnsi="Arial" w:cs="Arial"/>
          <w:szCs w:val="22"/>
          <w:u w:val="single"/>
          <w:lang w:val="cs-CZ"/>
        </w:rPr>
        <w:t>Inkompatibilita</w:t>
      </w: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u w:val="single"/>
          <w:lang w:val="cs-CZ"/>
        </w:rPr>
      </w:pPr>
    </w:p>
    <w:p w:rsidR="00AE1A06" w:rsidRDefault="00AE1A06" w:rsidP="00AE1A06">
      <w:pPr>
        <w:pStyle w:val="Zkladntex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ZVLÁŠTNÍ OPATŘENÍ PRO ZNEŠKODŇOVÁNÍ NEPOUŽITÝCH PŘÍPRAVKU NEBO ODPADU, POKUD JE JICH TŘEBA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Všechen nepoužitý veterinární léčivý přípravek nebo odpad, který pochází z tohoto přípravku, musí být zlikvidován podle místních právních předpisů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DATUM POSLEDNÍ REVIZE PŘÍBALOVÉ INFORMACE</w:t>
      </w:r>
    </w:p>
    <w:p w:rsidR="00AE1A06" w:rsidRDefault="00AE1A06" w:rsidP="00AE1A06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Červen 2014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---</w:t>
      </w:r>
    </w:p>
    <w:p w:rsidR="00AE1A06" w:rsidRDefault="00AE1A06" w:rsidP="00AE1A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hanging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DALŠÍ INFORMACE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Pokud chcete získat informace o tomto veterinárním léčivém přípravku, kontaktujte prosím příslušného místního zástupce držitele o rozhodnutí o registraci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cs-CZ"/>
        </w:rPr>
        <w:t>Č.š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.: </w:t>
      </w:r>
      <w:r>
        <w:rPr>
          <w:rFonts w:ascii="Arial" w:hAnsi="Arial" w:cs="Arial"/>
          <w:sz w:val="22"/>
          <w:szCs w:val="22"/>
          <w:lang w:val="cs-CZ" w:eastAsia="en-US"/>
        </w:rPr>
        <w:t>{</w:t>
      </w:r>
      <w:r>
        <w:rPr>
          <w:rFonts w:ascii="Arial" w:hAnsi="Arial" w:cs="Arial"/>
          <w:sz w:val="22"/>
          <w:szCs w:val="22"/>
          <w:lang w:val="cs-CZ"/>
        </w:rPr>
        <w:t>číslo</w:t>
      </w:r>
      <w:proofErr w:type="gramEnd"/>
      <w:r>
        <w:rPr>
          <w:rFonts w:ascii="Arial" w:hAnsi="Arial" w:cs="Arial"/>
          <w:sz w:val="22"/>
          <w:szCs w:val="22"/>
          <w:lang w:val="cs-CZ" w:eastAsia="en-US"/>
        </w:rPr>
        <w:t>}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EXP: </w:t>
      </w:r>
      <w:r>
        <w:rPr>
          <w:rFonts w:ascii="Arial" w:hAnsi="Arial" w:cs="Arial"/>
          <w:sz w:val="22"/>
          <w:szCs w:val="22"/>
          <w:lang w:val="cs-CZ" w:eastAsia="en-US"/>
        </w:rPr>
        <w:t>{</w:t>
      </w:r>
      <w:r>
        <w:rPr>
          <w:rFonts w:ascii="Arial" w:hAnsi="Arial" w:cs="Arial"/>
          <w:sz w:val="22"/>
          <w:szCs w:val="22"/>
          <w:lang w:val="cs-CZ"/>
        </w:rPr>
        <w:t>měsíc/rok</w:t>
      </w:r>
      <w:r>
        <w:rPr>
          <w:rFonts w:ascii="Arial" w:hAnsi="Arial" w:cs="Arial"/>
          <w:sz w:val="22"/>
          <w:szCs w:val="22"/>
          <w:lang w:val="cs-CZ" w:eastAsia="en-US"/>
        </w:rPr>
        <w:t>}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Nepoužívejte po uplynutí doby použitelnosti uvedené na obalu.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Pouze pro zvířata. Veterinární léčivý přípravek je vydáván pouze na předpis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Reg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val="cs-CZ"/>
        </w:rPr>
        <w:t>číslo</w:t>
      </w:r>
      <w:proofErr w:type="gramEnd"/>
      <w:r>
        <w:rPr>
          <w:rFonts w:ascii="Arial" w:hAnsi="Arial" w:cs="Arial"/>
          <w:sz w:val="22"/>
          <w:szCs w:val="22"/>
          <w:lang w:val="cs-CZ"/>
        </w:rPr>
        <w:t>: 96/085/09-C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Vak o obsahu 1 kg</w:t>
      </w: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</w:p>
    <w:p w:rsidR="00AE1A06" w:rsidRDefault="00AE1A06" w:rsidP="00AE1A06">
      <w:pPr>
        <w:pStyle w:val="epgrafe"/>
        <w:tabs>
          <w:tab w:val="clear" w:pos="284"/>
          <w:tab w:val="clear" w:pos="425"/>
          <w:tab w:val="clear" w:pos="567"/>
          <w:tab w:val="clear" w:pos="851"/>
          <w:tab w:val="clear" w:pos="992"/>
          <w:tab w:val="clear" w:pos="1701"/>
          <w:tab w:val="clear" w:pos="2268"/>
          <w:tab w:val="clear" w:pos="32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Na trhu nemusí být všechny velikosti balení.</w:t>
      </w:r>
    </w:p>
    <w:p w:rsidR="00BF2350" w:rsidRDefault="00BF2350"/>
    <w:sectPr w:rsidR="00BF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4"/>
      </w:rPr>
    </w:lvl>
  </w:abstractNum>
  <w:abstractNum w:abstractNumId="1">
    <w:nsid w:val="6FF61142"/>
    <w:multiLevelType w:val="hybridMultilevel"/>
    <w:tmpl w:val="B47ECEE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B1"/>
    <w:rsid w:val="007D0760"/>
    <w:rsid w:val="00AE1A06"/>
    <w:rsid w:val="00BF2350"/>
    <w:rsid w:val="00E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A0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pgrafe">
    <w:name w:val="epígrafe"/>
    <w:rsid w:val="00AE1A06"/>
    <w:pPr>
      <w:tabs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418"/>
        <w:tab w:val="left" w:pos="1701"/>
        <w:tab w:val="left" w:pos="2268"/>
        <w:tab w:val="left" w:pos="3260"/>
      </w:tabs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ES"/>
    </w:rPr>
  </w:style>
  <w:style w:type="paragraph" w:customStyle="1" w:styleId="Zkladntext1">
    <w:name w:val="Základní text1"/>
    <w:rsid w:val="00AE1A06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val="en-GB" w:eastAsia="es-ES"/>
    </w:rPr>
  </w:style>
  <w:style w:type="paragraph" w:customStyle="1" w:styleId="Titulek1">
    <w:name w:val="Titulek1"/>
    <w:rsid w:val="00AE1A06"/>
    <w:pPr>
      <w:tabs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418"/>
        <w:tab w:val="left" w:pos="1701"/>
        <w:tab w:val="left" w:pos="2268"/>
        <w:tab w:val="left" w:pos="3260"/>
      </w:tabs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ES"/>
    </w:rPr>
  </w:style>
  <w:style w:type="paragraph" w:customStyle="1" w:styleId="Zkladntext31">
    <w:name w:val="Základní text 31"/>
    <w:autoRedefine/>
    <w:rsid w:val="00AE1A06"/>
    <w:pPr>
      <w:tabs>
        <w:tab w:val="left" w:pos="567"/>
      </w:tabs>
      <w:spacing w:after="0" w:line="260" w:lineRule="exact"/>
      <w:ind w:right="113"/>
      <w:jc w:val="both"/>
    </w:pPr>
    <w:rPr>
      <w:rFonts w:ascii="Times New Roman Bold" w:eastAsia="ヒラギノ角ゴ Pro W3" w:hAnsi="Times New Roman Bold" w:cs="Times New Roman"/>
      <w:color w:val="00000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A0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pgrafe">
    <w:name w:val="epígrafe"/>
    <w:rsid w:val="00AE1A06"/>
    <w:pPr>
      <w:tabs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418"/>
        <w:tab w:val="left" w:pos="1701"/>
        <w:tab w:val="left" w:pos="2268"/>
        <w:tab w:val="left" w:pos="3260"/>
      </w:tabs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ES"/>
    </w:rPr>
  </w:style>
  <w:style w:type="paragraph" w:customStyle="1" w:styleId="Zkladntext1">
    <w:name w:val="Základní text1"/>
    <w:rsid w:val="00AE1A06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val="en-GB" w:eastAsia="es-ES"/>
    </w:rPr>
  </w:style>
  <w:style w:type="paragraph" w:customStyle="1" w:styleId="Titulek1">
    <w:name w:val="Titulek1"/>
    <w:rsid w:val="00AE1A06"/>
    <w:pPr>
      <w:tabs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418"/>
        <w:tab w:val="left" w:pos="1701"/>
        <w:tab w:val="left" w:pos="2268"/>
        <w:tab w:val="left" w:pos="3260"/>
      </w:tabs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ES"/>
    </w:rPr>
  </w:style>
  <w:style w:type="paragraph" w:customStyle="1" w:styleId="Zkladntext31">
    <w:name w:val="Základní text 31"/>
    <w:autoRedefine/>
    <w:rsid w:val="00AE1A06"/>
    <w:pPr>
      <w:tabs>
        <w:tab w:val="left" w:pos="567"/>
      </w:tabs>
      <w:spacing w:after="0" w:line="260" w:lineRule="exact"/>
      <w:ind w:right="113"/>
      <w:jc w:val="both"/>
    </w:pPr>
    <w:rPr>
      <w:rFonts w:ascii="Times New Roman Bold" w:eastAsia="ヒラギノ角ゴ Pro W3" w:hAnsi="Times New Roman Bold" w:cs="Times New Roman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1343</Words>
  <Characters>7924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Neugebauerová Kateřina</dc:creator>
  <cp:keywords/>
  <dc:description/>
  <cp:lastModifiedBy>Neugebauerová Kateřina</cp:lastModifiedBy>
  <cp:revision>4</cp:revision>
  <dcterms:created xsi:type="dcterms:W3CDTF">2014-07-04T10:50:00Z</dcterms:created>
  <dcterms:modified xsi:type="dcterms:W3CDTF">2014-07-04T10:52:00Z</dcterms:modified>
</cp:coreProperties>
</file>