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88245B" w:rsidRDefault="003D28A5" w:rsidP="003D28A5">
      <w:pPr>
        <w:rPr>
          <w:sz w:val="22"/>
          <w:szCs w:val="22"/>
        </w:rPr>
      </w:pPr>
    </w:p>
    <w:p w:rsidR="003D28A5" w:rsidRPr="00191147" w:rsidRDefault="003D28A5" w:rsidP="003D28A5">
      <w:pPr>
        <w:rPr>
          <w:sz w:val="22"/>
          <w:szCs w:val="22"/>
        </w:rPr>
      </w:pPr>
    </w:p>
    <w:p w:rsidR="003D28A5" w:rsidRPr="00191147" w:rsidRDefault="003D28A5" w:rsidP="003D28A5">
      <w:pPr>
        <w:jc w:val="center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PŘÍLOHA I</w:t>
      </w:r>
    </w:p>
    <w:p w:rsidR="003D28A5" w:rsidRPr="00191147" w:rsidRDefault="003D28A5" w:rsidP="003D28A5">
      <w:pPr>
        <w:jc w:val="center"/>
        <w:rPr>
          <w:b/>
          <w:sz w:val="22"/>
          <w:szCs w:val="22"/>
        </w:rPr>
      </w:pPr>
    </w:p>
    <w:p w:rsidR="003D28A5" w:rsidRPr="00191147" w:rsidRDefault="003D28A5" w:rsidP="003D28A5">
      <w:pPr>
        <w:jc w:val="center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SOUHRN ÚDAJŮ O PŘÍPRAVKU</w:t>
      </w:r>
    </w:p>
    <w:p w:rsidR="003D28A5" w:rsidRPr="00191147" w:rsidRDefault="003D28A5" w:rsidP="003D28A5">
      <w:pPr>
        <w:spacing w:before="96" w:after="96"/>
        <w:jc w:val="center"/>
        <w:rPr>
          <w:b/>
          <w:bCs/>
          <w:kern w:val="36"/>
          <w:sz w:val="22"/>
          <w:szCs w:val="22"/>
        </w:rPr>
      </w:pPr>
      <w:r w:rsidRPr="00191147">
        <w:rPr>
          <w:b/>
          <w:sz w:val="22"/>
          <w:szCs w:val="22"/>
        </w:rPr>
        <w:br w:type="page"/>
      </w: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lastRenderedPageBreak/>
        <w:t>1.</w:t>
      </w:r>
      <w:r w:rsidRPr="00191147">
        <w:rPr>
          <w:b/>
          <w:sz w:val="22"/>
          <w:szCs w:val="22"/>
        </w:rPr>
        <w:tab/>
        <w:t>NÁZEV VETERINÁRNÍHO LÉČIVÉHO PŘÍPRAVKU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LINEOMAM LC 330 mg/10 ml + 100 000 IU/10 ml intramamární roztok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2.</w:t>
      </w:r>
      <w:r w:rsidRPr="00191147">
        <w:rPr>
          <w:b/>
          <w:sz w:val="22"/>
          <w:szCs w:val="22"/>
        </w:rPr>
        <w:tab/>
        <w:t>KVALITATIVNÍ A KVANTITATIVNÍ SLOŽENÍ</w:t>
      </w:r>
      <w:r w:rsidRPr="00191147">
        <w:rPr>
          <w:sz w:val="22"/>
          <w:szCs w:val="22"/>
        </w:rPr>
        <w:t xml:space="preserve"> </w:t>
      </w:r>
    </w:p>
    <w:p w:rsidR="003F1BD9" w:rsidRDefault="003F1BD9" w:rsidP="003D28A5">
      <w:pPr>
        <w:ind w:left="993" w:hanging="993"/>
        <w:jc w:val="both"/>
        <w:rPr>
          <w:sz w:val="22"/>
        </w:rPr>
      </w:pPr>
    </w:p>
    <w:p w:rsidR="003D28A5" w:rsidRDefault="003D28A5" w:rsidP="003D28A5">
      <w:pPr>
        <w:ind w:left="993" w:hanging="993"/>
        <w:jc w:val="both"/>
        <w:rPr>
          <w:sz w:val="22"/>
        </w:rPr>
      </w:pPr>
      <w:r>
        <w:rPr>
          <w:sz w:val="22"/>
        </w:rPr>
        <w:t>Každý</w:t>
      </w:r>
      <w:r w:rsidRPr="00442132">
        <w:rPr>
          <w:sz w:val="22"/>
        </w:rPr>
        <w:t xml:space="preserve"> intramamární </w:t>
      </w:r>
      <w:r>
        <w:rPr>
          <w:sz w:val="22"/>
        </w:rPr>
        <w:t>aplikátor</w:t>
      </w:r>
      <w:r w:rsidRPr="00442132">
        <w:rPr>
          <w:sz w:val="22"/>
        </w:rPr>
        <w:t xml:space="preserve"> (10 ml) obsahuje:</w:t>
      </w:r>
    </w:p>
    <w:p w:rsidR="003F1BD9" w:rsidRPr="00442132" w:rsidRDefault="003F1BD9" w:rsidP="003D28A5">
      <w:pPr>
        <w:ind w:left="993" w:hanging="993"/>
        <w:jc w:val="both"/>
        <w:rPr>
          <w:sz w:val="22"/>
          <w:szCs w:val="22"/>
        </w:rPr>
      </w:pP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Léčivé látky:</w:t>
      </w:r>
    </w:p>
    <w:p w:rsidR="003D28A5" w:rsidRPr="00442132" w:rsidRDefault="003D28A5" w:rsidP="003D28A5">
      <w:pPr>
        <w:jc w:val="both"/>
        <w:rPr>
          <w:sz w:val="22"/>
          <w:szCs w:val="22"/>
        </w:rPr>
      </w:pPr>
      <w:proofErr w:type="spellStart"/>
      <w:r w:rsidRPr="00442132">
        <w:rPr>
          <w:sz w:val="22"/>
        </w:rPr>
        <w:t>Lincomycin</w:t>
      </w:r>
      <w:r>
        <w:rPr>
          <w:sz w:val="22"/>
        </w:rPr>
        <w:t>um</w:t>
      </w:r>
      <w:proofErr w:type="spellEnd"/>
      <w:r w:rsidRPr="00442132">
        <w:rPr>
          <w:sz w:val="22"/>
        </w:rPr>
        <w:tab/>
      </w:r>
      <w:r w:rsidRPr="00442132">
        <w:rPr>
          <w:sz w:val="22"/>
        </w:rPr>
        <w:tab/>
      </w:r>
      <w:r w:rsidRPr="00442132">
        <w:rPr>
          <w:sz w:val="22"/>
        </w:rPr>
        <w:tab/>
        <w:t>330 mg</w:t>
      </w:r>
      <w:r w:rsidRPr="00442132">
        <w:rPr>
          <w:sz w:val="22"/>
        </w:rPr>
        <w:tab/>
        <w:t xml:space="preserve"> (odpovídá 359,6 mg </w:t>
      </w:r>
      <w:proofErr w:type="spellStart"/>
      <w:r w:rsidRPr="00442132">
        <w:rPr>
          <w:sz w:val="22"/>
        </w:rPr>
        <w:t>lin</w:t>
      </w:r>
      <w:r>
        <w:rPr>
          <w:sz w:val="22"/>
        </w:rPr>
        <w:t>c</w:t>
      </w:r>
      <w:r w:rsidRPr="00442132">
        <w:rPr>
          <w:sz w:val="22"/>
        </w:rPr>
        <w:t>omycin</w:t>
      </w:r>
      <w:r>
        <w:rPr>
          <w:sz w:val="22"/>
        </w:rPr>
        <w:t>i</w:t>
      </w:r>
      <w:proofErr w:type="spellEnd"/>
      <w:r w:rsidRPr="00442132">
        <w:rPr>
          <w:sz w:val="22"/>
        </w:rPr>
        <w:t xml:space="preserve"> </w:t>
      </w:r>
      <w:proofErr w:type="spellStart"/>
      <w:r w:rsidRPr="00442132">
        <w:rPr>
          <w:sz w:val="22"/>
        </w:rPr>
        <w:t>hydrochloridu</w:t>
      </w:r>
      <w:r>
        <w:rPr>
          <w:sz w:val="22"/>
        </w:rPr>
        <w:t>m</w:t>
      </w:r>
      <w:proofErr w:type="spellEnd"/>
      <w:r w:rsidRPr="00442132">
        <w:rPr>
          <w:sz w:val="22"/>
        </w:rPr>
        <w:t>)</w:t>
      </w:r>
    </w:p>
    <w:p w:rsidR="003D28A5" w:rsidRPr="00442132" w:rsidRDefault="003D28A5" w:rsidP="003D28A5">
      <w:pPr>
        <w:jc w:val="both"/>
        <w:rPr>
          <w:sz w:val="22"/>
          <w:szCs w:val="22"/>
        </w:rPr>
      </w:pPr>
      <w:proofErr w:type="spellStart"/>
      <w:r w:rsidRPr="00442132">
        <w:rPr>
          <w:sz w:val="22"/>
        </w:rPr>
        <w:t>Neomycin</w:t>
      </w:r>
      <w:r>
        <w:rPr>
          <w:sz w:val="22"/>
        </w:rPr>
        <w:t>i</w:t>
      </w:r>
      <w:proofErr w:type="spellEnd"/>
      <w:r w:rsidRPr="00442132">
        <w:rPr>
          <w:sz w:val="22"/>
        </w:rPr>
        <w:t xml:space="preserve"> </w:t>
      </w:r>
      <w:proofErr w:type="spellStart"/>
      <w:r w:rsidRPr="00442132">
        <w:rPr>
          <w:sz w:val="22"/>
        </w:rPr>
        <w:t>sulf</w:t>
      </w:r>
      <w:r>
        <w:rPr>
          <w:sz w:val="22"/>
        </w:rPr>
        <w:t>as</w:t>
      </w:r>
      <w:proofErr w:type="spellEnd"/>
      <w:r w:rsidRPr="00442132">
        <w:rPr>
          <w:sz w:val="22"/>
        </w:rPr>
        <w:tab/>
      </w:r>
      <w:r w:rsidRPr="00442132">
        <w:rPr>
          <w:sz w:val="22"/>
        </w:rPr>
        <w:tab/>
        <w:t>100 000 IU</w:t>
      </w: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  <w:r w:rsidRPr="00191147">
        <w:rPr>
          <w:sz w:val="22"/>
          <w:szCs w:val="22"/>
        </w:rPr>
        <w:tab/>
      </w:r>
      <w:r w:rsidRPr="00191147">
        <w:rPr>
          <w:sz w:val="22"/>
          <w:szCs w:val="22"/>
        </w:rPr>
        <w:tab/>
      </w: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Pomocné látky:</w:t>
      </w:r>
    </w:p>
    <w:p w:rsidR="003D28A5" w:rsidRPr="00442132" w:rsidRDefault="003D28A5" w:rsidP="003D28A5">
      <w:pPr>
        <w:jc w:val="both"/>
        <w:rPr>
          <w:sz w:val="22"/>
          <w:szCs w:val="22"/>
        </w:rPr>
      </w:pPr>
      <w:proofErr w:type="spellStart"/>
      <w:r>
        <w:rPr>
          <w:sz w:val="22"/>
        </w:rPr>
        <w:t>Dihydrát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dinatrium-edetátu</w:t>
      </w:r>
      <w:proofErr w:type="spellEnd"/>
      <w:r w:rsidRPr="00442132">
        <w:rPr>
          <w:sz w:val="22"/>
        </w:rPr>
        <w:tab/>
        <w:t>4,98 mg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rPr>
          <w:sz w:val="22"/>
          <w:szCs w:val="22"/>
        </w:rPr>
      </w:pPr>
      <w:r w:rsidRPr="00191147">
        <w:rPr>
          <w:sz w:val="22"/>
          <w:szCs w:val="22"/>
        </w:rPr>
        <w:t>Úplný seznam pomocných látek viz bod 6.1.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rPr>
          <w:sz w:val="22"/>
          <w:szCs w:val="22"/>
        </w:rPr>
      </w:pPr>
      <w:r w:rsidRPr="00191147">
        <w:rPr>
          <w:b/>
          <w:sz w:val="22"/>
          <w:szCs w:val="22"/>
        </w:rPr>
        <w:t>3.</w:t>
      </w:r>
      <w:r w:rsidRPr="00191147">
        <w:rPr>
          <w:b/>
          <w:sz w:val="22"/>
          <w:szCs w:val="22"/>
        </w:rPr>
        <w:tab/>
        <w:t>LÉKOVÁ FORMA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Intramamární roztok.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Čirý, bezbarvý až nažloutlý roztok.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4.</w:t>
      </w:r>
      <w:r w:rsidRPr="00191147">
        <w:rPr>
          <w:b/>
          <w:sz w:val="22"/>
          <w:szCs w:val="22"/>
        </w:rPr>
        <w:tab/>
        <w:t>KLINICKÉ ÚDAJE</w:t>
      </w: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4.1</w:t>
      </w:r>
      <w:r w:rsidRPr="00191147">
        <w:rPr>
          <w:b/>
          <w:sz w:val="22"/>
          <w:szCs w:val="22"/>
        </w:rPr>
        <w:tab/>
        <w:t>Cílové druhy zvířat</w:t>
      </w:r>
    </w:p>
    <w:p w:rsidR="003D28A5" w:rsidRPr="00191147" w:rsidRDefault="003D28A5" w:rsidP="003D28A5">
      <w:pPr>
        <w:shd w:val="clear" w:color="auto" w:fill="FFFFFF"/>
        <w:jc w:val="both"/>
        <w:rPr>
          <w:sz w:val="22"/>
          <w:szCs w:val="22"/>
        </w:rPr>
      </w:pPr>
      <w:r w:rsidRPr="00191147">
        <w:rPr>
          <w:sz w:val="22"/>
          <w:szCs w:val="22"/>
        </w:rPr>
        <w:t>Skot (dojnice v laktaci).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4.2</w:t>
      </w:r>
      <w:r w:rsidRPr="00191147">
        <w:rPr>
          <w:b/>
          <w:sz w:val="22"/>
          <w:szCs w:val="22"/>
        </w:rPr>
        <w:tab/>
        <w:t xml:space="preserve">Indikace s upřesněním pro cílový druh zvířat </w:t>
      </w:r>
    </w:p>
    <w:p w:rsidR="003D28A5" w:rsidRPr="00830AAA" w:rsidRDefault="003D28A5" w:rsidP="003D28A5">
      <w:pPr>
        <w:rPr>
          <w:sz w:val="22"/>
          <w:szCs w:val="22"/>
        </w:rPr>
      </w:pPr>
      <w:r w:rsidRPr="00217AA5">
        <w:rPr>
          <w:sz w:val="22"/>
          <w:szCs w:val="22"/>
        </w:rPr>
        <w:t xml:space="preserve">Léčba mastitidy u dojnic v laktaci </w:t>
      </w:r>
      <w:r>
        <w:rPr>
          <w:sz w:val="22"/>
          <w:szCs w:val="22"/>
        </w:rPr>
        <w:t>vyvolané</w:t>
      </w:r>
      <w:r w:rsidRPr="00217AA5">
        <w:rPr>
          <w:sz w:val="22"/>
          <w:szCs w:val="22"/>
        </w:rPr>
        <w:t xml:space="preserve"> </w:t>
      </w:r>
      <w:proofErr w:type="spellStart"/>
      <w:r w:rsidRPr="00217AA5">
        <w:rPr>
          <w:i/>
          <w:sz w:val="22"/>
          <w:szCs w:val="22"/>
        </w:rPr>
        <w:t>Staphylococcus</w:t>
      </w:r>
      <w:proofErr w:type="spellEnd"/>
      <w:r w:rsidRPr="00217AA5">
        <w:rPr>
          <w:sz w:val="22"/>
          <w:szCs w:val="22"/>
        </w:rPr>
        <w:t xml:space="preserve"> </w:t>
      </w:r>
      <w:proofErr w:type="spellStart"/>
      <w:r w:rsidRPr="00217AA5">
        <w:rPr>
          <w:sz w:val="22"/>
          <w:szCs w:val="22"/>
        </w:rPr>
        <w:t>spp</w:t>
      </w:r>
      <w:proofErr w:type="spellEnd"/>
      <w:r w:rsidRPr="00217AA5">
        <w:rPr>
          <w:sz w:val="22"/>
          <w:szCs w:val="22"/>
        </w:rPr>
        <w:t xml:space="preserve">. včetně </w:t>
      </w:r>
      <w:r w:rsidRPr="00217AA5">
        <w:rPr>
          <w:i/>
          <w:sz w:val="22"/>
          <w:szCs w:val="22"/>
        </w:rPr>
        <w:t>S. aureus</w:t>
      </w:r>
      <w:r w:rsidRPr="00217AA5">
        <w:rPr>
          <w:sz w:val="22"/>
          <w:szCs w:val="22"/>
        </w:rPr>
        <w:t xml:space="preserve">, </w:t>
      </w:r>
      <w:proofErr w:type="spellStart"/>
      <w:r w:rsidRPr="00217AA5">
        <w:rPr>
          <w:i/>
          <w:sz w:val="22"/>
          <w:szCs w:val="22"/>
        </w:rPr>
        <w:t>Streptococcus</w:t>
      </w:r>
      <w:proofErr w:type="spellEnd"/>
      <w:r w:rsidRPr="00217AA5">
        <w:rPr>
          <w:sz w:val="22"/>
          <w:szCs w:val="22"/>
        </w:rPr>
        <w:t xml:space="preserve"> </w:t>
      </w:r>
      <w:proofErr w:type="spellStart"/>
      <w:r w:rsidRPr="00217AA5">
        <w:rPr>
          <w:sz w:val="22"/>
          <w:szCs w:val="22"/>
        </w:rPr>
        <w:t>spp</w:t>
      </w:r>
      <w:proofErr w:type="spellEnd"/>
      <w:r w:rsidRPr="00217AA5">
        <w:rPr>
          <w:sz w:val="22"/>
          <w:szCs w:val="22"/>
        </w:rPr>
        <w:t xml:space="preserve">. včetně </w:t>
      </w:r>
      <w:r w:rsidRPr="00217AA5">
        <w:rPr>
          <w:i/>
          <w:sz w:val="22"/>
          <w:szCs w:val="22"/>
        </w:rPr>
        <w:t xml:space="preserve">S. </w:t>
      </w:r>
      <w:proofErr w:type="spellStart"/>
      <w:r w:rsidRPr="00217AA5">
        <w:rPr>
          <w:i/>
          <w:sz w:val="22"/>
          <w:szCs w:val="22"/>
        </w:rPr>
        <w:t>agalactiae</w:t>
      </w:r>
      <w:proofErr w:type="spellEnd"/>
      <w:r w:rsidRPr="00217AA5">
        <w:rPr>
          <w:i/>
          <w:sz w:val="22"/>
          <w:szCs w:val="22"/>
        </w:rPr>
        <w:t xml:space="preserve">, S. </w:t>
      </w:r>
      <w:proofErr w:type="spellStart"/>
      <w:r w:rsidRPr="00217AA5">
        <w:rPr>
          <w:i/>
          <w:sz w:val="22"/>
          <w:szCs w:val="22"/>
        </w:rPr>
        <w:t>dysgalactiae</w:t>
      </w:r>
      <w:proofErr w:type="spellEnd"/>
      <w:r w:rsidRPr="00217AA5">
        <w:rPr>
          <w:sz w:val="22"/>
          <w:szCs w:val="22"/>
        </w:rPr>
        <w:t xml:space="preserve"> a </w:t>
      </w:r>
      <w:r w:rsidRPr="00217AA5">
        <w:rPr>
          <w:i/>
          <w:sz w:val="22"/>
          <w:szCs w:val="22"/>
        </w:rPr>
        <w:t xml:space="preserve">S. </w:t>
      </w:r>
      <w:proofErr w:type="spellStart"/>
      <w:r w:rsidRPr="00217AA5">
        <w:rPr>
          <w:i/>
          <w:sz w:val="22"/>
          <w:szCs w:val="22"/>
        </w:rPr>
        <w:t>uberis</w:t>
      </w:r>
      <w:proofErr w:type="spellEnd"/>
      <w:r w:rsidRPr="00217AA5">
        <w:rPr>
          <w:sz w:val="22"/>
          <w:szCs w:val="22"/>
        </w:rPr>
        <w:t xml:space="preserve">, a koliformními bakteriemi včetně </w:t>
      </w:r>
      <w:r w:rsidRPr="00217AA5">
        <w:rPr>
          <w:i/>
          <w:sz w:val="22"/>
          <w:szCs w:val="22"/>
        </w:rPr>
        <w:t>E. coli</w:t>
      </w:r>
      <w:r w:rsidRPr="00217AA5">
        <w:rPr>
          <w:sz w:val="22"/>
          <w:szCs w:val="22"/>
        </w:rPr>
        <w:t>, citlivými</w:t>
      </w:r>
      <w:r>
        <w:rPr>
          <w:sz w:val="22"/>
          <w:szCs w:val="22"/>
        </w:rPr>
        <w:t xml:space="preserve"> ke</w:t>
      </w:r>
      <w:r w:rsidRPr="00217AA5">
        <w:rPr>
          <w:sz w:val="22"/>
          <w:szCs w:val="22"/>
        </w:rPr>
        <w:t xml:space="preserve"> kombinaci </w:t>
      </w:r>
      <w:proofErr w:type="spellStart"/>
      <w:r w:rsidRPr="00217AA5">
        <w:rPr>
          <w:sz w:val="22"/>
          <w:szCs w:val="22"/>
        </w:rPr>
        <w:t>linkomycinu</w:t>
      </w:r>
      <w:proofErr w:type="spellEnd"/>
      <w:r w:rsidRPr="00217AA5">
        <w:rPr>
          <w:sz w:val="22"/>
          <w:szCs w:val="22"/>
        </w:rPr>
        <w:t xml:space="preserve"> a neomycinu.</w:t>
      </w:r>
      <w:r w:rsidRPr="00830AAA">
        <w:rPr>
          <w:sz w:val="22"/>
          <w:szCs w:val="22"/>
        </w:rPr>
        <w:t xml:space="preserve">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4.3</w:t>
      </w:r>
      <w:r w:rsidRPr="00191147">
        <w:rPr>
          <w:b/>
          <w:sz w:val="22"/>
          <w:szCs w:val="22"/>
        </w:rPr>
        <w:tab/>
        <w:t>Kontraindikace</w:t>
      </w:r>
    </w:p>
    <w:p w:rsidR="003D28A5" w:rsidRPr="00191147" w:rsidRDefault="003D28A5" w:rsidP="003D28A5">
      <w:pPr>
        <w:rPr>
          <w:sz w:val="22"/>
          <w:szCs w:val="22"/>
        </w:rPr>
      </w:pPr>
      <w:r w:rsidRPr="00191147">
        <w:rPr>
          <w:sz w:val="22"/>
          <w:szCs w:val="22"/>
        </w:rPr>
        <w:t xml:space="preserve">Nepoužívat v případech </w:t>
      </w:r>
      <w:r>
        <w:rPr>
          <w:sz w:val="22"/>
          <w:szCs w:val="22"/>
        </w:rPr>
        <w:t xml:space="preserve">známé </w:t>
      </w:r>
      <w:r w:rsidRPr="00191147">
        <w:rPr>
          <w:sz w:val="22"/>
          <w:szCs w:val="22"/>
        </w:rPr>
        <w:t>přecitlivělosti na léčivé látky nebo na některou z pomocných látek.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4.4</w:t>
      </w:r>
      <w:r w:rsidRPr="00191147">
        <w:rPr>
          <w:b/>
          <w:sz w:val="22"/>
          <w:szCs w:val="22"/>
        </w:rPr>
        <w:tab/>
        <w:t>Zvláštní upozornění pro každý cílový druh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Nejsou.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4.5</w:t>
      </w:r>
      <w:r w:rsidRPr="00191147">
        <w:rPr>
          <w:b/>
          <w:sz w:val="22"/>
          <w:szCs w:val="22"/>
        </w:rPr>
        <w:tab/>
        <w:t xml:space="preserve"> Zvláštní opatření pro použití</w:t>
      </w:r>
    </w:p>
    <w:p w:rsidR="003D28A5" w:rsidRPr="00191147" w:rsidRDefault="003D28A5" w:rsidP="003D28A5">
      <w:pPr>
        <w:ind w:left="567" w:hanging="567"/>
        <w:rPr>
          <w:sz w:val="22"/>
          <w:szCs w:val="22"/>
          <w:u w:val="single"/>
        </w:rPr>
      </w:pPr>
      <w:r w:rsidRPr="00191147">
        <w:rPr>
          <w:sz w:val="22"/>
          <w:szCs w:val="22"/>
          <w:u w:val="single"/>
        </w:rPr>
        <w:t xml:space="preserve">Zvláštní opatření pro použití u zvířat </w:t>
      </w:r>
    </w:p>
    <w:p w:rsidR="003D28A5" w:rsidRPr="00227466" w:rsidRDefault="003D28A5" w:rsidP="003D28A5">
      <w:pPr>
        <w:rPr>
          <w:sz w:val="22"/>
          <w:szCs w:val="22"/>
        </w:rPr>
      </w:pPr>
      <w:r w:rsidRPr="00442132">
        <w:rPr>
          <w:sz w:val="22"/>
        </w:rPr>
        <w:t xml:space="preserve">Při použití přípravku je třeba vzít v úvahu oficiální </w:t>
      </w:r>
      <w:r w:rsidRPr="00201F02">
        <w:rPr>
          <w:sz w:val="22"/>
        </w:rPr>
        <w:t>a místní pravidla antibiotické politiky</w:t>
      </w:r>
      <w:r>
        <w:rPr>
          <w:sz w:val="22"/>
        </w:rPr>
        <w:t>.</w:t>
      </w:r>
      <w:r w:rsidRPr="00442132" w:rsidDel="00201F02">
        <w:rPr>
          <w:sz w:val="22"/>
        </w:rPr>
        <w:t xml:space="preserve"> </w:t>
      </w:r>
      <w:r w:rsidRPr="00217AA5">
        <w:rPr>
          <w:sz w:val="22"/>
          <w:szCs w:val="22"/>
        </w:rPr>
        <w:t xml:space="preserve">V některých zemích EU byl zjištěn rostoucí trend prevalence rezistence na </w:t>
      </w:r>
      <w:proofErr w:type="spellStart"/>
      <w:r w:rsidRPr="00217AA5">
        <w:rPr>
          <w:sz w:val="22"/>
          <w:szCs w:val="22"/>
        </w:rPr>
        <w:t>linkomycin</w:t>
      </w:r>
      <w:proofErr w:type="spellEnd"/>
      <w:r w:rsidRPr="00217AA5">
        <w:rPr>
          <w:sz w:val="22"/>
          <w:szCs w:val="22"/>
        </w:rPr>
        <w:t xml:space="preserve"> u </w:t>
      </w:r>
      <w:proofErr w:type="spellStart"/>
      <w:r w:rsidRPr="00217AA5">
        <w:rPr>
          <w:i/>
          <w:sz w:val="22"/>
          <w:szCs w:val="22"/>
        </w:rPr>
        <w:t>Streptococcus</w:t>
      </w:r>
      <w:proofErr w:type="spellEnd"/>
      <w:r w:rsidRPr="00217AA5">
        <w:rPr>
          <w:i/>
          <w:sz w:val="22"/>
          <w:szCs w:val="22"/>
        </w:rPr>
        <w:t xml:space="preserve"> </w:t>
      </w:r>
      <w:proofErr w:type="spellStart"/>
      <w:r w:rsidRPr="00217AA5">
        <w:rPr>
          <w:i/>
          <w:sz w:val="22"/>
          <w:szCs w:val="22"/>
        </w:rPr>
        <w:t>uberis</w:t>
      </w:r>
      <w:proofErr w:type="spellEnd"/>
      <w:r w:rsidRPr="00217AA5">
        <w:rPr>
          <w:sz w:val="22"/>
          <w:szCs w:val="22"/>
        </w:rPr>
        <w:t xml:space="preserve"> a </w:t>
      </w:r>
      <w:proofErr w:type="spellStart"/>
      <w:r w:rsidRPr="00217AA5">
        <w:rPr>
          <w:i/>
          <w:sz w:val="22"/>
          <w:szCs w:val="22"/>
        </w:rPr>
        <w:t>Staphylococcus</w:t>
      </w:r>
      <w:proofErr w:type="spellEnd"/>
      <w:r w:rsidRPr="00217AA5">
        <w:rPr>
          <w:i/>
          <w:sz w:val="22"/>
          <w:szCs w:val="22"/>
        </w:rPr>
        <w:t xml:space="preserve"> aureus</w:t>
      </w:r>
      <w:r w:rsidRPr="00217AA5">
        <w:rPr>
          <w:sz w:val="22"/>
          <w:szCs w:val="22"/>
        </w:rPr>
        <w:t xml:space="preserve"> izolovaných z bovinní mastitidy.</w:t>
      </w:r>
      <w:r w:rsidRPr="00442132">
        <w:rPr>
          <w:sz w:val="22"/>
        </w:rPr>
        <w:t xml:space="preserve"> Použití přípravku by mělo být založeno na testování citlivosti bakterií izolovaných z nemocných zvířat z příslušné farmy</w:t>
      </w:r>
      <w:r w:rsidRPr="00442132">
        <w:t>.</w:t>
      </w:r>
      <w:r>
        <w:rPr>
          <w:sz w:val="22"/>
          <w:szCs w:val="22"/>
        </w:rPr>
        <w:t xml:space="preserve"> </w:t>
      </w:r>
      <w:r w:rsidRPr="00191147">
        <w:rPr>
          <w:rFonts w:eastAsia="Calibri"/>
          <w:sz w:val="22"/>
          <w:szCs w:val="22"/>
          <w:lang w:eastAsia="en-US"/>
        </w:rPr>
        <w:t xml:space="preserve">Pokud to není možné, je nutné založit terapii na místních (regionálních, na úrovni farmy) </w:t>
      </w:r>
      <w:proofErr w:type="spellStart"/>
      <w:r w:rsidRPr="00191147">
        <w:rPr>
          <w:rFonts w:eastAsia="Calibri"/>
          <w:sz w:val="22"/>
          <w:szCs w:val="22"/>
          <w:lang w:eastAsia="en-US"/>
        </w:rPr>
        <w:t>epizootologických</w:t>
      </w:r>
      <w:proofErr w:type="spellEnd"/>
      <w:r w:rsidRPr="00191147">
        <w:rPr>
          <w:rFonts w:eastAsia="Calibri"/>
          <w:sz w:val="22"/>
          <w:szCs w:val="22"/>
          <w:lang w:eastAsia="en-US"/>
        </w:rPr>
        <w:t xml:space="preserve"> informacích o citlivosti cílových patogenů. </w:t>
      </w:r>
    </w:p>
    <w:p w:rsidR="003D28A5" w:rsidRPr="00191147" w:rsidRDefault="003D28A5" w:rsidP="003D28A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Použití přípravku, které je odlišné od pokynů uvedených v tomto souhrnu údajů o přípravku, může zvýšit prevalenci bakterií rezistentních k </w:t>
      </w:r>
      <w:proofErr w:type="spellStart"/>
      <w:r w:rsidRPr="00191147">
        <w:rPr>
          <w:sz w:val="22"/>
          <w:szCs w:val="22"/>
        </w:rPr>
        <w:t>linkomycinu</w:t>
      </w:r>
      <w:proofErr w:type="spellEnd"/>
      <w:r w:rsidRPr="00191147">
        <w:rPr>
          <w:sz w:val="22"/>
          <w:szCs w:val="22"/>
        </w:rPr>
        <w:t xml:space="preserve"> nebo neomycinu a snížit účinnost terapie </w:t>
      </w:r>
      <w:proofErr w:type="spellStart"/>
      <w:r w:rsidRPr="00191147">
        <w:rPr>
          <w:sz w:val="22"/>
          <w:szCs w:val="22"/>
        </w:rPr>
        <w:t>makrolidy</w:t>
      </w:r>
      <w:proofErr w:type="spellEnd"/>
      <w:r w:rsidRPr="00191147">
        <w:rPr>
          <w:sz w:val="22"/>
          <w:szCs w:val="22"/>
        </w:rPr>
        <w:t xml:space="preserve"> a ostatními </w:t>
      </w:r>
      <w:proofErr w:type="spellStart"/>
      <w:r w:rsidRPr="00191147">
        <w:rPr>
          <w:sz w:val="22"/>
          <w:szCs w:val="22"/>
        </w:rPr>
        <w:t>linkosamidy</w:t>
      </w:r>
      <w:proofErr w:type="spellEnd"/>
      <w:r w:rsidRPr="00191147">
        <w:rPr>
          <w:sz w:val="22"/>
          <w:szCs w:val="22"/>
        </w:rPr>
        <w:t xml:space="preserve"> či aminoglykosidy z důvodu možné zkřížené rezistence.</w:t>
      </w:r>
    </w:p>
    <w:p w:rsidR="003D28A5" w:rsidRPr="00191147" w:rsidRDefault="003D28A5" w:rsidP="003D28A5">
      <w:pPr>
        <w:jc w:val="both"/>
        <w:rPr>
          <w:snapToGrid w:val="0"/>
          <w:sz w:val="22"/>
          <w:szCs w:val="22"/>
        </w:rPr>
      </w:pPr>
      <w:r w:rsidRPr="00191147">
        <w:rPr>
          <w:snapToGrid w:val="0"/>
          <w:sz w:val="22"/>
          <w:szCs w:val="22"/>
        </w:rPr>
        <w:t xml:space="preserve">Nepoužívejte dezinfekční ubrousky na </w:t>
      </w:r>
      <w:r>
        <w:rPr>
          <w:snapToGrid w:val="0"/>
          <w:sz w:val="22"/>
          <w:szCs w:val="22"/>
        </w:rPr>
        <w:t xml:space="preserve">poraněné </w:t>
      </w:r>
      <w:r w:rsidRPr="00191147">
        <w:rPr>
          <w:snapToGrid w:val="0"/>
          <w:sz w:val="22"/>
          <w:szCs w:val="22"/>
        </w:rPr>
        <w:t>struky.</w:t>
      </w: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</w:p>
    <w:p w:rsidR="003D28A5" w:rsidRPr="00191147" w:rsidRDefault="003D28A5" w:rsidP="003D28A5">
      <w:pPr>
        <w:keepNext/>
        <w:rPr>
          <w:sz w:val="22"/>
          <w:szCs w:val="22"/>
          <w:u w:val="single"/>
        </w:rPr>
      </w:pPr>
      <w:r w:rsidRPr="00191147">
        <w:rPr>
          <w:sz w:val="22"/>
          <w:szCs w:val="22"/>
          <w:u w:val="single"/>
        </w:rPr>
        <w:t>Zvláštní opatření určené osobám, které podávají veterinární léčivý přípravek zvířatům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Nemanipulujte s přípravkem, pokud víte, že jste přecitlivělí</w:t>
      </w:r>
      <w:r>
        <w:rPr>
          <w:sz w:val="22"/>
          <w:szCs w:val="22"/>
        </w:rPr>
        <w:t xml:space="preserve">, </w:t>
      </w:r>
      <w:r w:rsidRPr="00191147">
        <w:rPr>
          <w:sz w:val="22"/>
          <w:szCs w:val="22"/>
        </w:rPr>
        <w:t xml:space="preserve">nebo pokud </w:t>
      </w:r>
      <w:r>
        <w:rPr>
          <w:sz w:val="22"/>
          <w:szCs w:val="22"/>
        </w:rPr>
        <w:t>v</w:t>
      </w:r>
      <w:r w:rsidRPr="00191147">
        <w:rPr>
          <w:sz w:val="22"/>
          <w:szCs w:val="22"/>
        </w:rPr>
        <w:t>ám bylo doporučeno s</w:t>
      </w:r>
      <w:r>
        <w:rPr>
          <w:sz w:val="22"/>
          <w:szCs w:val="22"/>
        </w:rPr>
        <w:t> </w:t>
      </w:r>
      <w:r w:rsidRPr="00191147">
        <w:rPr>
          <w:sz w:val="22"/>
          <w:szCs w:val="22"/>
        </w:rPr>
        <w:t xml:space="preserve">přípravky tohoto typu nepracovat.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Při manipulaci s přípravkem buďte maximálně obezřetní, aby nedošlo </w:t>
      </w:r>
      <w:r>
        <w:rPr>
          <w:sz w:val="22"/>
          <w:szCs w:val="22"/>
        </w:rPr>
        <w:t xml:space="preserve">k expozici a </w:t>
      </w:r>
      <w:r w:rsidRPr="00191147">
        <w:rPr>
          <w:sz w:val="22"/>
          <w:szCs w:val="22"/>
        </w:rPr>
        <w:t>dodržujte všechna doporučená bezpečnostní opatření.</w:t>
      </w:r>
    </w:p>
    <w:p w:rsidR="003D28A5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Při nakládání s veterinárním léčivým přípravkem by se měly používat osobní ochranné prostředky </w:t>
      </w:r>
      <w:r>
        <w:rPr>
          <w:sz w:val="22"/>
          <w:szCs w:val="22"/>
        </w:rPr>
        <w:t xml:space="preserve">skládající se z </w:t>
      </w:r>
      <w:r w:rsidRPr="00191147">
        <w:rPr>
          <w:sz w:val="22"/>
          <w:szCs w:val="22"/>
        </w:rPr>
        <w:t>gumových rukavic.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V případě náhodného kontaktu přípravku s kůží </w:t>
      </w:r>
      <w:r>
        <w:rPr>
          <w:sz w:val="22"/>
          <w:szCs w:val="22"/>
        </w:rPr>
        <w:t xml:space="preserve">ihned </w:t>
      </w:r>
      <w:r w:rsidRPr="00191147">
        <w:rPr>
          <w:sz w:val="22"/>
          <w:szCs w:val="22"/>
        </w:rPr>
        <w:t xml:space="preserve">omyjte zasažené místo vodou a mýdlem.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V případě zasažení očí ihned vypláchněte oko </w:t>
      </w:r>
      <w:r>
        <w:rPr>
          <w:sz w:val="22"/>
          <w:szCs w:val="22"/>
        </w:rPr>
        <w:t xml:space="preserve">velkým množstvím </w:t>
      </w:r>
      <w:r w:rsidRPr="00191147">
        <w:rPr>
          <w:sz w:val="22"/>
          <w:szCs w:val="22"/>
        </w:rPr>
        <w:t>vody.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lastRenderedPageBreak/>
        <w:t xml:space="preserve">Po </w:t>
      </w:r>
      <w:r>
        <w:rPr>
          <w:sz w:val="22"/>
          <w:szCs w:val="22"/>
        </w:rPr>
        <w:t xml:space="preserve">použití </w:t>
      </w:r>
      <w:r w:rsidRPr="00191147">
        <w:rPr>
          <w:sz w:val="22"/>
          <w:szCs w:val="22"/>
        </w:rPr>
        <w:t>si umyjte ruce.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Po použití dezinfekčních ubrousků si umyjte ruce a v případě známé přecitlivělosti na </w:t>
      </w:r>
      <w:proofErr w:type="spellStart"/>
      <w:r w:rsidRPr="00191147">
        <w:rPr>
          <w:sz w:val="22"/>
          <w:szCs w:val="22"/>
        </w:rPr>
        <w:t>isopropylalkohol</w:t>
      </w:r>
      <w:proofErr w:type="spellEnd"/>
      <w:r w:rsidRPr="00191147">
        <w:rPr>
          <w:sz w:val="22"/>
          <w:szCs w:val="22"/>
        </w:rPr>
        <w:t xml:space="preserve"> použ</w:t>
      </w:r>
      <w:r>
        <w:rPr>
          <w:sz w:val="22"/>
          <w:szCs w:val="22"/>
        </w:rPr>
        <w:t>ijte</w:t>
      </w:r>
      <w:r w:rsidRPr="00191147">
        <w:rPr>
          <w:sz w:val="22"/>
          <w:szCs w:val="22"/>
        </w:rPr>
        <w:t xml:space="preserve"> ochranné rukavice.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4.6</w:t>
      </w:r>
      <w:r w:rsidRPr="00191147">
        <w:rPr>
          <w:b/>
          <w:sz w:val="22"/>
          <w:szCs w:val="22"/>
        </w:rPr>
        <w:tab/>
        <w:t>Nežádoucí účinky (frekvence a závažnost)</w:t>
      </w: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  <w:r w:rsidRPr="00191147">
        <w:rPr>
          <w:sz w:val="22"/>
          <w:szCs w:val="22"/>
        </w:rPr>
        <w:t>Nejsou známy.</w:t>
      </w:r>
    </w:p>
    <w:p w:rsidR="003D28A5" w:rsidRDefault="003D28A5" w:rsidP="003D28A5">
      <w:pPr>
        <w:ind w:left="567" w:hanging="567"/>
        <w:jc w:val="both"/>
        <w:rPr>
          <w:b/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4.7</w:t>
      </w:r>
      <w:r w:rsidRPr="00191147">
        <w:rPr>
          <w:b/>
          <w:sz w:val="22"/>
          <w:szCs w:val="22"/>
        </w:rPr>
        <w:tab/>
        <w:t xml:space="preserve">Použití v průběhu březosti, laktace nebo snášky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Lze použít během březosti.</w:t>
      </w:r>
    </w:p>
    <w:p w:rsidR="003D28A5" w:rsidRPr="00442132" w:rsidRDefault="003D28A5" w:rsidP="003D28A5">
      <w:pPr>
        <w:rPr>
          <w:sz w:val="22"/>
          <w:szCs w:val="22"/>
        </w:rPr>
      </w:pPr>
      <w:r w:rsidRPr="00442132">
        <w:rPr>
          <w:sz w:val="22"/>
        </w:rPr>
        <w:t>Přípravek je určen k použití během laktace.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4.8</w:t>
      </w:r>
      <w:r w:rsidRPr="00191147">
        <w:rPr>
          <w:b/>
          <w:sz w:val="22"/>
          <w:szCs w:val="22"/>
        </w:rPr>
        <w:tab/>
        <w:t>Interakce s dalšími léčivými přípravky a další formy interakce</w:t>
      </w:r>
      <w:r w:rsidRPr="00191147">
        <w:rPr>
          <w:sz w:val="22"/>
          <w:szCs w:val="22"/>
        </w:rPr>
        <w:t xml:space="preserve"> </w:t>
      </w:r>
    </w:p>
    <w:p w:rsidR="003D28A5" w:rsidRPr="00191147" w:rsidRDefault="003D28A5" w:rsidP="003D28A5">
      <w:pPr>
        <w:spacing w:before="96" w:after="96"/>
        <w:jc w:val="both"/>
        <w:outlineLvl w:val="0"/>
        <w:rPr>
          <w:b/>
          <w:sz w:val="22"/>
          <w:szCs w:val="22"/>
        </w:rPr>
      </w:pPr>
      <w:r w:rsidRPr="00191147">
        <w:rPr>
          <w:sz w:val="22"/>
          <w:szCs w:val="22"/>
        </w:rPr>
        <w:t>Tento přípravek by neměl být používán současně s </w:t>
      </w:r>
      <w:proofErr w:type="spellStart"/>
      <w:r w:rsidRPr="00191147">
        <w:rPr>
          <w:sz w:val="22"/>
          <w:szCs w:val="22"/>
        </w:rPr>
        <w:t>makrolidy</w:t>
      </w:r>
      <w:proofErr w:type="spellEnd"/>
      <w:r w:rsidRPr="00191147">
        <w:rPr>
          <w:sz w:val="22"/>
          <w:szCs w:val="22"/>
        </w:rPr>
        <w:t xml:space="preserve">. Účinek </w:t>
      </w:r>
      <w:proofErr w:type="spellStart"/>
      <w:r w:rsidRPr="00191147">
        <w:rPr>
          <w:sz w:val="22"/>
          <w:szCs w:val="22"/>
        </w:rPr>
        <w:t>linkomycinu</w:t>
      </w:r>
      <w:proofErr w:type="spellEnd"/>
      <w:r w:rsidRPr="00191147">
        <w:rPr>
          <w:sz w:val="22"/>
          <w:szCs w:val="22"/>
        </w:rPr>
        <w:t xml:space="preserve"> a </w:t>
      </w:r>
      <w:proofErr w:type="spellStart"/>
      <w:r w:rsidRPr="00191147">
        <w:rPr>
          <w:sz w:val="22"/>
          <w:szCs w:val="22"/>
        </w:rPr>
        <w:t>makrolidů</w:t>
      </w:r>
      <w:proofErr w:type="spellEnd"/>
      <w:r w:rsidRPr="00191147">
        <w:rPr>
          <w:sz w:val="22"/>
          <w:szCs w:val="22"/>
        </w:rPr>
        <w:t xml:space="preserve"> se antagonizuje v důsledku </w:t>
      </w:r>
      <w:proofErr w:type="spellStart"/>
      <w:r w:rsidRPr="00191147">
        <w:rPr>
          <w:sz w:val="22"/>
          <w:szCs w:val="22"/>
        </w:rPr>
        <w:t>kompetice</w:t>
      </w:r>
      <w:proofErr w:type="spellEnd"/>
      <w:r w:rsidRPr="00191147">
        <w:rPr>
          <w:sz w:val="22"/>
          <w:szCs w:val="22"/>
        </w:rPr>
        <w:t xml:space="preserve"> o vazebné místo na ribozomální podjednotce </w:t>
      </w:r>
      <w:proofErr w:type="gramStart"/>
      <w:r w:rsidRPr="00191147">
        <w:rPr>
          <w:sz w:val="22"/>
          <w:szCs w:val="22"/>
        </w:rPr>
        <w:t>50S</w:t>
      </w:r>
      <w:proofErr w:type="gramEnd"/>
      <w:r w:rsidRPr="00191147">
        <w:rPr>
          <w:sz w:val="22"/>
          <w:szCs w:val="22"/>
        </w:rPr>
        <w:t>, která je cílovým místem antimikrobního působení obou molekul</w:t>
      </w:r>
      <w:r w:rsidRPr="00191147">
        <w:rPr>
          <w:b/>
          <w:sz w:val="22"/>
          <w:szCs w:val="22"/>
        </w:rPr>
        <w:t xml:space="preserve">. </w:t>
      </w:r>
    </w:p>
    <w:p w:rsidR="003D28A5" w:rsidRPr="00191147" w:rsidRDefault="003D28A5" w:rsidP="003D28A5">
      <w:pPr>
        <w:spacing w:before="96"/>
        <w:jc w:val="both"/>
        <w:outlineLvl w:val="0"/>
        <w:rPr>
          <w:sz w:val="22"/>
          <w:szCs w:val="22"/>
        </w:rPr>
      </w:pPr>
      <w:r w:rsidRPr="00191147">
        <w:rPr>
          <w:sz w:val="22"/>
          <w:szCs w:val="22"/>
        </w:rPr>
        <w:t>Aminoglykosidy jsou synergické s některými beta-</w:t>
      </w:r>
      <w:proofErr w:type="spellStart"/>
      <w:r w:rsidRPr="00191147">
        <w:rPr>
          <w:sz w:val="22"/>
          <w:szCs w:val="22"/>
        </w:rPr>
        <w:t>laktamovými</w:t>
      </w:r>
      <w:proofErr w:type="spellEnd"/>
      <w:r w:rsidRPr="00191147">
        <w:rPr>
          <w:sz w:val="22"/>
          <w:szCs w:val="22"/>
        </w:rPr>
        <w:t xml:space="preserve"> antibiotiky. Synergismus je mimo jiné dán poškozením bakteriální stěny působením beta-laktamů a snazším průnikem aminoglykosidu k cílové struktuře bakteriálního riboz</w:t>
      </w:r>
      <w:r>
        <w:rPr>
          <w:sz w:val="22"/>
          <w:szCs w:val="22"/>
        </w:rPr>
        <w:t>o</w:t>
      </w:r>
      <w:r w:rsidRPr="00191147">
        <w:rPr>
          <w:sz w:val="22"/>
          <w:szCs w:val="22"/>
        </w:rPr>
        <w:t>mu.  Uvedený mechanismus byl popsán u streptokoků a gramnegativních bakterií.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4.9</w:t>
      </w:r>
      <w:r w:rsidRPr="00191147">
        <w:rPr>
          <w:b/>
          <w:sz w:val="22"/>
          <w:szCs w:val="22"/>
        </w:rPr>
        <w:tab/>
        <w:t>Podávané množství a způsob podání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Intramamární podání.</w:t>
      </w:r>
    </w:p>
    <w:p w:rsidR="003D28A5" w:rsidRPr="00191147" w:rsidRDefault="003D28A5" w:rsidP="003D28A5">
      <w:pPr>
        <w:spacing w:after="120"/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Do každé postižené čtvrti </w:t>
      </w:r>
      <w:r>
        <w:rPr>
          <w:sz w:val="22"/>
          <w:szCs w:val="22"/>
        </w:rPr>
        <w:t>podejte</w:t>
      </w:r>
      <w:r w:rsidRPr="00191147">
        <w:rPr>
          <w:sz w:val="22"/>
          <w:szCs w:val="22"/>
        </w:rPr>
        <w:t xml:space="preserve"> obsah 1 aplikátoru, což odpovídá dávce 100 000 IU neomycin sulfátu a 330 mg </w:t>
      </w:r>
      <w:proofErr w:type="spellStart"/>
      <w:r w:rsidRPr="00191147">
        <w:rPr>
          <w:sz w:val="22"/>
          <w:szCs w:val="22"/>
        </w:rPr>
        <w:t>linkomycinu</w:t>
      </w:r>
      <w:proofErr w:type="spellEnd"/>
      <w:r w:rsidRPr="00191147">
        <w:rPr>
          <w:sz w:val="22"/>
          <w:szCs w:val="22"/>
        </w:rPr>
        <w:t>. Aplikac</w:t>
      </w:r>
      <w:r>
        <w:rPr>
          <w:sz w:val="22"/>
          <w:szCs w:val="22"/>
        </w:rPr>
        <w:t>i</w:t>
      </w:r>
      <w:r w:rsidRPr="00191147">
        <w:rPr>
          <w:sz w:val="22"/>
          <w:szCs w:val="22"/>
        </w:rPr>
        <w:t xml:space="preserve"> opakuj</w:t>
      </w:r>
      <w:r>
        <w:rPr>
          <w:sz w:val="22"/>
          <w:szCs w:val="22"/>
        </w:rPr>
        <w:t>t</w:t>
      </w:r>
      <w:r w:rsidRPr="00191147">
        <w:rPr>
          <w:sz w:val="22"/>
          <w:szCs w:val="22"/>
        </w:rPr>
        <w:t xml:space="preserve">e </w:t>
      </w:r>
      <w:r>
        <w:rPr>
          <w:sz w:val="22"/>
          <w:szCs w:val="22"/>
        </w:rPr>
        <w:t>ve</w:t>
      </w:r>
      <w:r w:rsidRPr="00191147">
        <w:rPr>
          <w:sz w:val="22"/>
          <w:szCs w:val="22"/>
        </w:rPr>
        <w:t xml:space="preserve"> </w:t>
      </w:r>
      <w:proofErr w:type="gramStart"/>
      <w:r w:rsidRPr="00191147">
        <w:rPr>
          <w:sz w:val="22"/>
          <w:szCs w:val="22"/>
        </w:rPr>
        <w:t>12</w:t>
      </w:r>
      <w:r>
        <w:rPr>
          <w:sz w:val="22"/>
          <w:szCs w:val="22"/>
        </w:rPr>
        <w:t>-ti</w:t>
      </w:r>
      <w:proofErr w:type="gramEnd"/>
      <w:r w:rsidRPr="00191147">
        <w:rPr>
          <w:sz w:val="22"/>
          <w:szCs w:val="22"/>
        </w:rPr>
        <w:t xml:space="preserve"> hodin</w:t>
      </w:r>
      <w:r>
        <w:rPr>
          <w:sz w:val="22"/>
          <w:szCs w:val="22"/>
        </w:rPr>
        <w:t>ových intervalech</w:t>
      </w:r>
      <w:r w:rsidRPr="00191147">
        <w:rPr>
          <w:sz w:val="22"/>
          <w:szCs w:val="22"/>
        </w:rPr>
        <w:t>. Celkově aplikuj</w:t>
      </w:r>
      <w:r>
        <w:rPr>
          <w:sz w:val="22"/>
          <w:szCs w:val="22"/>
        </w:rPr>
        <w:t>te</w:t>
      </w:r>
      <w:r w:rsidRPr="00191147">
        <w:rPr>
          <w:sz w:val="22"/>
          <w:szCs w:val="22"/>
        </w:rPr>
        <w:t xml:space="preserve"> do postižené čtvrti 3 dávky.</w:t>
      </w:r>
    </w:p>
    <w:p w:rsidR="003D28A5" w:rsidRPr="00191147" w:rsidRDefault="003D28A5" w:rsidP="003D28A5">
      <w:pPr>
        <w:jc w:val="both"/>
        <w:rPr>
          <w:rFonts w:ascii="Arial" w:hAnsi="Arial" w:cs="Arial"/>
          <w:b/>
          <w:sz w:val="22"/>
          <w:szCs w:val="22"/>
        </w:rPr>
      </w:pPr>
      <w:r w:rsidRPr="00191147">
        <w:rPr>
          <w:sz w:val="22"/>
          <w:szCs w:val="22"/>
        </w:rPr>
        <w:t xml:space="preserve">Přípravek aplikujte za dodržení aseptických podmínek, pouze </w:t>
      </w:r>
      <w:proofErr w:type="spellStart"/>
      <w:r w:rsidRPr="00191147">
        <w:rPr>
          <w:sz w:val="22"/>
          <w:szCs w:val="22"/>
        </w:rPr>
        <w:t>intramamárně</w:t>
      </w:r>
      <w:proofErr w:type="spellEnd"/>
      <w:r w:rsidRPr="00191147">
        <w:rPr>
          <w:sz w:val="22"/>
          <w:szCs w:val="22"/>
        </w:rPr>
        <w:t>. Aplikujte do očištěného, omytého a pečlivě osušeného vemene, bezprostředně po úplném vydojení ošetřované čtvrti. Před aplikací dezinfikujte ústí strukového kanálku pomocí přiloženého dezinfekčního ubrousku (pro každý struk použijte nový ubrousek!)</w:t>
      </w:r>
      <w:r w:rsidRPr="00191147">
        <w:rPr>
          <w:rFonts w:ascii="Calibri" w:hAnsi="Calibri" w:cs="Calibri"/>
          <w:sz w:val="22"/>
          <w:szCs w:val="22"/>
        </w:rPr>
        <w:t>.</w:t>
      </w:r>
    </w:p>
    <w:p w:rsidR="003D28A5" w:rsidRPr="00191147" w:rsidRDefault="003D28A5" w:rsidP="003D28A5">
      <w:pPr>
        <w:pStyle w:val="Normlnweb"/>
        <w:spacing w:before="0" w:after="0"/>
        <w:jc w:val="both"/>
        <w:rPr>
          <w:sz w:val="22"/>
          <w:szCs w:val="22"/>
        </w:rPr>
      </w:pPr>
      <w:r w:rsidRPr="00191147">
        <w:rPr>
          <w:sz w:val="22"/>
          <w:szCs w:val="22"/>
        </w:rPr>
        <w:t>Před aplikací držte aplikátor kanylou nahoru a v této poloze sejměte z kanyly uzávěr. Ihned po otevření zaveďte kanylu aplikátoru do strukového kanálku a stiskem pístu vytlačte celý obsah aplikátoru do postižené čtvrti. Po aplikaci je doporučeno provést krátkou masáž směrem od ústí strukového kanálku k mléčné cisterně.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Každý aplikátor je určen pouze pro jednorázové podání.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rPr>
          <w:sz w:val="22"/>
          <w:szCs w:val="22"/>
        </w:rPr>
      </w:pPr>
      <w:r w:rsidRPr="00191147">
        <w:rPr>
          <w:b/>
          <w:sz w:val="22"/>
          <w:szCs w:val="22"/>
        </w:rPr>
        <w:t>4.10</w:t>
      </w:r>
      <w:r w:rsidRPr="00191147">
        <w:rPr>
          <w:b/>
          <w:sz w:val="22"/>
          <w:szCs w:val="22"/>
        </w:rPr>
        <w:tab/>
        <w:t xml:space="preserve">Předávkování (symptomy, první pomoc, </w:t>
      </w:r>
      <w:proofErr w:type="spellStart"/>
      <w:r w:rsidRPr="00191147">
        <w:rPr>
          <w:b/>
          <w:sz w:val="22"/>
          <w:szCs w:val="22"/>
        </w:rPr>
        <w:t>antidota</w:t>
      </w:r>
      <w:proofErr w:type="spellEnd"/>
      <w:r w:rsidRPr="00191147">
        <w:rPr>
          <w:b/>
          <w:sz w:val="22"/>
          <w:szCs w:val="22"/>
        </w:rPr>
        <w:t>), pokud je to nutné</w:t>
      </w:r>
    </w:p>
    <w:p w:rsidR="003D28A5" w:rsidRPr="00191147" w:rsidRDefault="003D28A5" w:rsidP="003D28A5">
      <w:pPr>
        <w:jc w:val="both"/>
        <w:rPr>
          <w:i/>
          <w:sz w:val="22"/>
          <w:szCs w:val="22"/>
        </w:rPr>
      </w:pPr>
      <w:r w:rsidRPr="00191147">
        <w:rPr>
          <w:sz w:val="22"/>
          <w:szCs w:val="22"/>
        </w:rPr>
        <w:t>Přípravek je dobře snášen. V případě náhodného předávkování u zvířete se neočekávají ani lokální ani systémové nežádoucí účinky.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4.11</w:t>
      </w:r>
      <w:r w:rsidRPr="00191147">
        <w:rPr>
          <w:b/>
          <w:sz w:val="22"/>
          <w:szCs w:val="22"/>
        </w:rPr>
        <w:tab/>
      </w:r>
      <w:r>
        <w:rPr>
          <w:b/>
          <w:sz w:val="22"/>
          <w:szCs w:val="22"/>
        </w:rPr>
        <w:t>Ochranná(é) lhůta(y)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Maso: 3 dny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Mléko: 84 hodin</w:t>
      </w:r>
      <w:r w:rsidRPr="00191147">
        <w:rPr>
          <w:b/>
          <w:sz w:val="22"/>
          <w:szCs w:val="22"/>
        </w:rPr>
        <w:t xml:space="preserve"> </w:t>
      </w: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5.</w:t>
      </w:r>
      <w:r w:rsidRPr="00191147">
        <w:rPr>
          <w:b/>
          <w:sz w:val="22"/>
          <w:szCs w:val="22"/>
        </w:rPr>
        <w:tab/>
        <w:t>FARMAKOLOGICKÉ</w:t>
      </w:r>
      <w:r>
        <w:rPr>
          <w:b/>
          <w:sz w:val="22"/>
          <w:szCs w:val="22"/>
        </w:rPr>
        <w:t xml:space="preserve"> </w:t>
      </w:r>
      <w:r w:rsidRPr="00191147">
        <w:rPr>
          <w:b/>
          <w:sz w:val="22"/>
          <w:szCs w:val="22"/>
        </w:rPr>
        <w:t>VLASTNOSTI</w:t>
      </w:r>
    </w:p>
    <w:p w:rsidR="003D28A5" w:rsidRPr="00191147" w:rsidRDefault="003D28A5" w:rsidP="003D28A5">
      <w:pPr>
        <w:jc w:val="both"/>
        <w:rPr>
          <w:sz w:val="22"/>
          <w:szCs w:val="22"/>
          <w:shd w:val="clear" w:color="auto" w:fill="FFECD9"/>
        </w:rPr>
      </w:pPr>
      <w:r w:rsidRPr="00191147">
        <w:rPr>
          <w:sz w:val="22"/>
          <w:szCs w:val="22"/>
        </w:rPr>
        <w:t xml:space="preserve">Farmakoterapeutická skupina: </w:t>
      </w:r>
      <w:r>
        <w:rPr>
          <w:sz w:val="22"/>
          <w:szCs w:val="22"/>
        </w:rPr>
        <w:t>a</w:t>
      </w:r>
      <w:r w:rsidRPr="00191147">
        <w:rPr>
          <w:sz w:val="22"/>
          <w:szCs w:val="22"/>
        </w:rPr>
        <w:t xml:space="preserve">ntibakteriální léčiva pro </w:t>
      </w:r>
      <w:proofErr w:type="spellStart"/>
      <w:r w:rsidRPr="00191147">
        <w:rPr>
          <w:sz w:val="22"/>
          <w:szCs w:val="22"/>
        </w:rPr>
        <w:t>intramamární</w:t>
      </w:r>
      <w:proofErr w:type="spellEnd"/>
      <w:r w:rsidRPr="00191147">
        <w:rPr>
          <w:sz w:val="22"/>
          <w:szCs w:val="22"/>
        </w:rPr>
        <w:t xml:space="preserve"> aplikaci, </w:t>
      </w:r>
      <w:proofErr w:type="spellStart"/>
      <w:r w:rsidRPr="00191147">
        <w:rPr>
          <w:sz w:val="22"/>
          <w:szCs w:val="22"/>
        </w:rPr>
        <w:t>linkomycin</w:t>
      </w:r>
      <w:proofErr w:type="spellEnd"/>
      <w:r w:rsidRPr="00191147">
        <w:rPr>
          <w:sz w:val="22"/>
          <w:szCs w:val="22"/>
        </w:rPr>
        <w:t>, kombinace s jinými antibakteriálními látkami</w:t>
      </w:r>
      <w:r>
        <w:rPr>
          <w:sz w:val="22"/>
          <w:szCs w:val="22"/>
        </w:rPr>
        <w:t>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proofErr w:type="spellStart"/>
      <w:r w:rsidRPr="00191147">
        <w:rPr>
          <w:sz w:val="22"/>
          <w:szCs w:val="22"/>
        </w:rPr>
        <w:t>ATCvet</w:t>
      </w:r>
      <w:proofErr w:type="spellEnd"/>
      <w:r w:rsidRPr="00191147">
        <w:rPr>
          <w:sz w:val="22"/>
          <w:szCs w:val="22"/>
        </w:rPr>
        <w:t xml:space="preserve"> kód: QJ51RF03</w:t>
      </w:r>
      <w:r>
        <w:rPr>
          <w:sz w:val="22"/>
          <w:szCs w:val="22"/>
        </w:rPr>
        <w:t>.</w:t>
      </w:r>
      <w:r w:rsidRPr="00191147">
        <w:rPr>
          <w:sz w:val="22"/>
          <w:szCs w:val="22"/>
        </w:rPr>
        <w:t xml:space="preserve">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5.1</w:t>
      </w:r>
      <w:r w:rsidRPr="00191147">
        <w:rPr>
          <w:b/>
          <w:sz w:val="22"/>
          <w:szCs w:val="22"/>
        </w:rPr>
        <w:tab/>
        <w:t>Farmakodynamické vlastnosti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Neomycin je třísložkové </w:t>
      </w:r>
      <w:proofErr w:type="spellStart"/>
      <w:r w:rsidRPr="00191147">
        <w:rPr>
          <w:sz w:val="22"/>
          <w:szCs w:val="22"/>
        </w:rPr>
        <w:t>aminoglykosidové</w:t>
      </w:r>
      <w:proofErr w:type="spellEnd"/>
      <w:r w:rsidRPr="00191147">
        <w:rPr>
          <w:sz w:val="22"/>
          <w:szCs w:val="22"/>
        </w:rPr>
        <w:t xml:space="preserve"> antibiotikum, s majoritním podílem neomycinu B, produkované kmeny </w:t>
      </w:r>
      <w:proofErr w:type="spellStart"/>
      <w:r w:rsidRPr="00191147">
        <w:rPr>
          <w:i/>
          <w:sz w:val="22"/>
          <w:szCs w:val="22"/>
        </w:rPr>
        <w:t>Streptomyces</w:t>
      </w:r>
      <w:proofErr w:type="spellEnd"/>
      <w:r w:rsidRPr="00191147">
        <w:rPr>
          <w:i/>
          <w:sz w:val="22"/>
          <w:szCs w:val="22"/>
        </w:rPr>
        <w:t xml:space="preserve"> </w:t>
      </w:r>
      <w:proofErr w:type="spellStart"/>
      <w:r w:rsidRPr="00191147">
        <w:rPr>
          <w:i/>
          <w:sz w:val="22"/>
          <w:szCs w:val="22"/>
        </w:rPr>
        <w:t>fradiae</w:t>
      </w:r>
      <w:proofErr w:type="spellEnd"/>
      <w:r w:rsidRPr="00191147">
        <w:rPr>
          <w:sz w:val="22"/>
          <w:szCs w:val="22"/>
        </w:rPr>
        <w:t xml:space="preserve">. Neomycin má široké spektrum účinnosti, z gramnegativních zárodků působí např. na </w:t>
      </w:r>
      <w:proofErr w:type="spellStart"/>
      <w:r w:rsidRPr="00191147">
        <w:rPr>
          <w:sz w:val="22"/>
          <w:szCs w:val="22"/>
        </w:rPr>
        <w:t>enterobakterie</w:t>
      </w:r>
      <w:proofErr w:type="spellEnd"/>
      <w:r w:rsidRPr="00191147">
        <w:rPr>
          <w:sz w:val="22"/>
          <w:szCs w:val="22"/>
        </w:rPr>
        <w:t xml:space="preserve"> včetně </w:t>
      </w:r>
      <w:r w:rsidRPr="00191147">
        <w:rPr>
          <w:i/>
          <w:sz w:val="22"/>
          <w:szCs w:val="22"/>
        </w:rPr>
        <w:t>E. coli.</w:t>
      </w:r>
      <w:r w:rsidRPr="00191147">
        <w:rPr>
          <w:sz w:val="22"/>
          <w:szCs w:val="22"/>
        </w:rPr>
        <w:t xml:space="preserve"> Z </w:t>
      </w:r>
      <w:proofErr w:type="spellStart"/>
      <w:r w:rsidRPr="00191147">
        <w:rPr>
          <w:sz w:val="22"/>
          <w:szCs w:val="22"/>
        </w:rPr>
        <w:t>grampozitivních</w:t>
      </w:r>
      <w:proofErr w:type="spellEnd"/>
      <w:r w:rsidRPr="00191147">
        <w:rPr>
          <w:sz w:val="22"/>
          <w:szCs w:val="22"/>
        </w:rPr>
        <w:t xml:space="preserve"> bakterií jsou citlivé </w:t>
      </w:r>
      <w:proofErr w:type="spellStart"/>
      <w:r w:rsidRPr="00191147">
        <w:rPr>
          <w:i/>
          <w:sz w:val="22"/>
          <w:szCs w:val="22"/>
        </w:rPr>
        <w:t>Staphylococcus</w:t>
      </w:r>
      <w:proofErr w:type="spellEnd"/>
      <w:r w:rsidRPr="00191147">
        <w:rPr>
          <w:i/>
          <w:sz w:val="22"/>
          <w:szCs w:val="22"/>
        </w:rPr>
        <w:t xml:space="preserve"> aureus </w:t>
      </w:r>
      <w:r w:rsidRPr="00191147">
        <w:rPr>
          <w:sz w:val="22"/>
          <w:szCs w:val="22"/>
        </w:rPr>
        <w:t xml:space="preserve">– kmeny neprodukující </w:t>
      </w:r>
      <w:proofErr w:type="spellStart"/>
      <w:r w:rsidRPr="00191147">
        <w:rPr>
          <w:sz w:val="22"/>
          <w:szCs w:val="22"/>
        </w:rPr>
        <w:t>penicilinázu</w:t>
      </w:r>
      <w:proofErr w:type="spellEnd"/>
      <w:r w:rsidRPr="00191147">
        <w:rPr>
          <w:sz w:val="22"/>
          <w:szCs w:val="22"/>
        </w:rPr>
        <w:t xml:space="preserve">, </w:t>
      </w:r>
      <w:proofErr w:type="spellStart"/>
      <w:r w:rsidRPr="00191147">
        <w:rPr>
          <w:i/>
          <w:sz w:val="22"/>
          <w:szCs w:val="22"/>
        </w:rPr>
        <w:t>Staphylococcus</w:t>
      </w:r>
      <w:proofErr w:type="spellEnd"/>
      <w:r w:rsidRPr="00191147">
        <w:rPr>
          <w:sz w:val="22"/>
          <w:szCs w:val="22"/>
        </w:rPr>
        <w:t xml:space="preserve"> </w:t>
      </w:r>
      <w:proofErr w:type="spellStart"/>
      <w:r w:rsidRPr="00191147">
        <w:rPr>
          <w:sz w:val="22"/>
          <w:szCs w:val="22"/>
        </w:rPr>
        <w:t>spp</w:t>
      </w:r>
      <w:proofErr w:type="spellEnd"/>
      <w:r w:rsidRPr="00191147">
        <w:rPr>
          <w:sz w:val="22"/>
          <w:szCs w:val="22"/>
        </w:rPr>
        <w:t>. – kmeny koaguláza-negativní</w:t>
      </w:r>
      <w:r>
        <w:rPr>
          <w:sz w:val="22"/>
          <w:szCs w:val="22"/>
        </w:rPr>
        <w:t xml:space="preserve"> a</w:t>
      </w:r>
      <w:r w:rsidRPr="00191147">
        <w:rPr>
          <w:sz w:val="22"/>
          <w:szCs w:val="22"/>
        </w:rPr>
        <w:t xml:space="preserve"> </w:t>
      </w:r>
      <w:proofErr w:type="spellStart"/>
      <w:r w:rsidRPr="00191147">
        <w:rPr>
          <w:i/>
          <w:sz w:val="22"/>
          <w:szCs w:val="22"/>
        </w:rPr>
        <w:t>Mycobacterium</w:t>
      </w:r>
      <w:proofErr w:type="spellEnd"/>
      <w:r w:rsidRPr="00191147">
        <w:rPr>
          <w:i/>
          <w:sz w:val="22"/>
          <w:szCs w:val="22"/>
        </w:rPr>
        <w:t xml:space="preserve"> </w:t>
      </w:r>
      <w:proofErr w:type="spellStart"/>
      <w:r w:rsidRPr="00191147">
        <w:rPr>
          <w:sz w:val="22"/>
          <w:szCs w:val="22"/>
        </w:rPr>
        <w:t>spp</w:t>
      </w:r>
      <w:proofErr w:type="spellEnd"/>
      <w:r w:rsidRPr="00191147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jsou citlivé k neomycinu. </w:t>
      </w:r>
      <w:r w:rsidRPr="00191147">
        <w:rPr>
          <w:sz w:val="22"/>
          <w:szCs w:val="22"/>
        </w:rPr>
        <w:t xml:space="preserve">Přirozeně rezistentní jsou anaerobní bakterie.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Účinek spočívá ve vazbě na podjednotku </w:t>
      </w:r>
      <w:proofErr w:type="gramStart"/>
      <w:r w:rsidRPr="00191147">
        <w:rPr>
          <w:sz w:val="22"/>
          <w:szCs w:val="22"/>
        </w:rPr>
        <w:t>30S</w:t>
      </w:r>
      <w:proofErr w:type="gramEnd"/>
      <w:r w:rsidRPr="00191147">
        <w:rPr>
          <w:sz w:val="22"/>
          <w:szCs w:val="22"/>
        </w:rPr>
        <w:t xml:space="preserve"> bakteriálního riboz</w:t>
      </w:r>
      <w:r>
        <w:rPr>
          <w:sz w:val="22"/>
          <w:szCs w:val="22"/>
        </w:rPr>
        <w:t>o</w:t>
      </w:r>
      <w:r w:rsidRPr="00191147">
        <w:rPr>
          <w:sz w:val="22"/>
          <w:szCs w:val="22"/>
        </w:rPr>
        <w:t>mu. Změnou konfigurace riboz</w:t>
      </w:r>
      <w:r>
        <w:rPr>
          <w:sz w:val="22"/>
          <w:szCs w:val="22"/>
        </w:rPr>
        <w:t>o</w:t>
      </w:r>
      <w:r w:rsidRPr="00191147">
        <w:rPr>
          <w:sz w:val="22"/>
          <w:szCs w:val="22"/>
        </w:rPr>
        <w:t xml:space="preserve">mu je ovlivněn proces translace s následnou poruchou proteosyntézy. Ve vysokých koncentracích dochází </w:t>
      </w:r>
      <w:r w:rsidRPr="00191147">
        <w:rPr>
          <w:sz w:val="22"/>
          <w:szCs w:val="22"/>
        </w:rPr>
        <w:lastRenderedPageBreak/>
        <w:t xml:space="preserve">k poškození bakteriální buněčné membrány. Neomycin může mít baktericidní účinek. Aminoglykosidy mají výrazný post-antibiotický efekt (PAE). Ten se projevuje ve fázi, kdy koncentrace antibiotika sice klesne pod hladinu MIC patogenního agens, ale antibiotikem poškozené bakterie jsou citlivé vůči imunitním procesům hostitele, a tak mohou být usmrceny. </w:t>
      </w:r>
    </w:p>
    <w:p w:rsidR="003D28A5" w:rsidRPr="00191147" w:rsidRDefault="003D28A5" w:rsidP="003D28A5">
      <w:pPr>
        <w:rPr>
          <w:sz w:val="22"/>
          <w:szCs w:val="22"/>
        </w:rPr>
      </w:pPr>
    </w:p>
    <w:p w:rsidR="003D28A5" w:rsidRPr="00191147" w:rsidRDefault="003D28A5" w:rsidP="003D28A5">
      <w:pPr>
        <w:rPr>
          <w:sz w:val="22"/>
          <w:szCs w:val="22"/>
        </w:rPr>
      </w:pPr>
      <w:proofErr w:type="spellStart"/>
      <w:r w:rsidRPr="00191147">
        <w:rPr>
          <w:sz w:val="22"/>
          <w:szCs w:val="22"/>
        </w:rPr>
        <w:t>Linkomycin</w:t>
      </w:r>
      <w:proofErr w:type="spellEnd"/>
      <w:r w:rsidRPr="00191147">
        <w:rPr>
          <w:sz w:val="22"/>
          <w:szCs w:val="22"/>
        </w:rPr>
        <w:t xml:space="preserve"> je </w:t>
      </w:r>
      <w:proofErr w:type="spellStart"/>
      <w:r w:rsidRPr="00191147">
        <w:rPr>
          <w:sz w:val="22"/>
          <w:szCs w:val="22"/>
        </w:rPr>
        <w:t>linkosamidové</w:t>
      </w:r>
      <w:proofErr w:type="spellEnd"/>
      <w:r w:rsidRPr="00191147">
        <w:rPr>
          <w:sz w:val="22"/>
          <w:szCs w:val="22"/>
        </w:rPr>
        <w:t xml:space="preserve"> antibiotikum získané ze </w:t>
      </w:r>
      <w:proofErr w:type="spellStart"/>
      <w:r w:rsidRPr="00191147">
        <w:rPr>
          <w:i/>
          <w:sz w:val="22"/>
          <w:szCs w:val="22"/>
        </w:rPr>
        <w:t>Streptomyces</w:t>
      </w:r>
      <w:proofErr w:type="spellEnd"/>
      <w:r w:rsidRPr="00191147">
        <w:rPr>
          <w:i/>
          <w:sz w:val="22"/>
          <w:szCs w:val="22"/>
        </w:rPr>
        <w:t xml:space="preserve"> </w:t>
      </w:r>
      <w:proofErr w:type="spellStart"/>
      <w:r w:rsidRPr="00191147">
        <w:rPr>
          <w:i/>
          <w:sz w:val="22"/>
          <w:szCs w:val="22"/>
        </w:rPr>
        <w:t>lincolnensis</w:t>
      </w:r>
      <w:proofErr w:type="spellEnd"/>
      <w:r w:rsidRPr="00191147">
        <w:rPr>
          <w:sz w:val="22"/>
          <w:szCs w:val="22"/>
        </w:rPr>
        <w:t>.</w:t>
      </w:r>
      <w:r w:rsidRPr="00191147">
        <w:rPr>
          <w:sz w:val="22"/>
          <w:szCs w:val="22"/>
        </w:rPr>
        <w:br/>
        <w:t xml:space="preserve">Má specifickou účinnost proti </w:t>
      </w:r>
      <w:proofErr w:type="spellStart"/>
      <w:r w:rsidRPr="00191147">
        <w:rPr>
          <w:sz w:val="22"/>
          <w:szCs w:val="22"/>
        </w:rPr>
        <w:t>grampozitivním</w:t>
      </w:r>
      <w:proofErr w:type="spellEnd"/>
      <w:r w:rsidRPr="00191147">
        <w:rPr>
          <w:sz w:val="22"/>
          <w:szCs w:val="22"/>
        </w:rPr>
        <w:t xml:space="preserve"> bakteriím, zejména </w:t>
      </w:r>
      <w:proofErr w:type="spellStart"/>
      <w:r w:rsidRPr="00191147">
        <w:rPr>
          <w:i/>
          <w:sz w:val="22"/>
          <w:szCs w:val="22"/>
        </w:rPr>
        <w:t>Staphylococcus</w:t>
      </w:r>
      <w:proofErr w:type="spellEnd"/>
      <w:r w:rsidRPr="00191147">
        <w:rPr>
          <w:sz w:val="22"/>
          <w:szCs w:val="22"/>
        </w:rPr>
        <w:t xml:space="preserve"> </w:t>
      </w:r>
      <w:proofErr w:type="spellStart"/>
      <w:r w:rsidRPr="00191147">
        <w:rPr>
          <w:sz w:val="22"/>
          <w:szCs w:val="22"/>
        </w:rPr>
        <w:t>spp</w:t>
      </w:r>
      <w:proofErr w:type="spellEnd"/>
      <w:r w:rsidRPr="00191147">
        <w:rPr>
          <w:sz w:val="22"/>
          <w:szCs w:val="22"/>
        </w:rPr>
        <w:t xml:space="preserve">. a </w:t>
      </w:r>
      <w:proofErr w:type="spellStart"/>
      <w:r w:rsidRPr="00191147">
        <w:rPr>
          <w:i/>
          <w:sz w:val="22"/>
          <w:szCs w:val="22"/>
        </w:rPr>
        <w:t>Streptococcus</w:t>
      </w:r>
      <w:proofErr w:type="spellEnd"/>
      <w:r w:rsidRPr="00191147">
        <w:rPr>
          <w:sz w:val="22"/>
          <w:szCs w:val="22"/>
        </w:rPr>
        <w:t xml:space="preserve"> </w:t>
      </w:r>
      <w:proofErr w:type="spellStart"/>
      <w:r w:rsidRPr="00191147">
        <w:rPr>
          <w:sz w:val="22"/>
          <w:szCs w:val="22"/>
        </w:rPr>
        <w:t>spp</w:t>
      </w:r>
      <w:proofErr w:type="spellEnd"/>
      <w:r w:rsidRPr="00191147">
        <w:rPr>
          <w:sz w:val="22"/>
          <w:szCs w:val="22"/>
        </w:rPr>
        <w:t xml:space="preserve">., a proti </w:t>
      </w:r>
      <w:proofErr w:type="spellStart"/>
      <w:r w:rsidRPr="00191147">
        <w:rPr>
          <w:sz w:val="22"/>
          <w:szCs w:val="22"/>
        </w:rPr>
        <w:t>mykoplazmatům</w:t>
      </w:r>
      <w:proofErr w:type="spellEnd"/>
      <w:r w:rsidRPr="00191147">
        <w:rPr>
          <w:sz w:val="22"/>
          <w:szCs w:val="22"/>
        </w:rPr>
        <w:t>. Naopak</w:t>
      </w:r>
      <w:r>
        <w:rPr>
          <w:sz w:val="22"/>
          <w:szCs w:val="22"/>
        </w:rPr>
        <w:t>,</w:t>
      </w:r>
      <w:r w:rsidRPr="00191147">
        <w:rPr>
          <w:sz w:val="22"/>
          <w:szCs w:val="22"/>
        </w:rPr>
        <w:t xml:space="preserve"> na gramnegativní bakterie s výjimkou anaerobů má malou nebo žádnou účinnost.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>
        <w:rPr>
          <w:sz w:val="22"/>
          <w:szCs w:val="22"/>
        </w:rPr>
        <w:t>Mechanismus ú</w:t>
      </w:r>
      <w:r w:rsidRPr="00191147">
        <w:rPr>
          <w:sz w:val="22"/>
          <w:szCs w:val="22"/>
        </w:rPr>
        <w:t>čink</w:t>
      </w:r>
      <w:r>
        <w:rPr>
          <w:sz w:val="22"/>
          <w:szCs w:val="22"/>
        </w:rPr>
        <w:t>u</w:t>
      </w:r>
      <w:r w:rsidRPr="00191147">
        <w:rPr>
          <w:sz w:val="22"/>
          <w:szCs w:val="22"/>
        </w:rPr>
        <w:t xml:space="preserve"> spočívá ve vazbě na podjednotku </w:t>
      </w:r>
      <w:proofErr w:type="gramStart"/>
      <w:r w:rsidRPr="00191147">
        <w:rPr>
          <w:sz w:val="22"/>
          <w:szCs w:val="22"/>
        </w:rPr>
        <w:t>50S</w:t>
      </w:r>
      <w:proofErr w:type="gramEnd"/>
      <w:r w:rsidRPr="00191147">
        <w:rPr>
          <w:sz w:val="22"/>
          <w:szCs w:val="22"/>
        </w:rPr>
        <w:t xml:space="preserve"> bakteriálního riboz</w:t>
      </w:r>
      <w:r>
        <w:rPr>
          <w:sz w:val="22"/>
          <w:szCs w:val="22"/>
        </w:rPr>
        <w:t>o</w:t>
      </w:r>
      <w:r w:rsidRPr="00191147">
        <w:rPr>
          <w:sz w:val="22"/>
          <w:szCs w:val="22"/>
        </w:rPr>
        <w:t xml:space="preserve">mu, konkrétně na 23S </w:t>
      </w:r>
      <w:proofErr w:type="spellStart"/>
      <w:r w:rsidRPr="00191147">
        <w:rPr>
          <w:sz w:val="22"/>
          <w:szCs w:val="22"/>
        </w:rPr>
        <w:t>rRNA</w:t>
      </w:r>
      <w:proofErr w:type="spellEnd"/>
      <w:r w:rsidRPr="00191147">
        <w:rPr>
          <w:sz w:val="22"/>
          <w:szCs w:val="22"/>
        </w:rPr>
        <w:t xml:space="preserve"> v lokaci A2028. Tím dochází k inhibici proteosyntézy (fáze elongace). Účinek je </w:t>
      </w:r>
      <w:proofErr w:type="spellStart"/>
      <w:r w:rsidRPr="00191147">
        <w:rPr>
          <w:sz w:val="22"/>
          <w:szCs w:val="22"/>
        </w:rPr>
        <w:t>bakteristatický</w:t>
      </w:r>
      <w:proofErr w:type="spellEnd"/>
      <w:r w:rsidRPr="00191147">
        <w:rPr>
          <w:sz w:val="22"/>
          <w:szCs w:val="22"/>
        </w:rPr>
        <w:t>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i/>
          <w:sz w:val="22"/>
          <w:szCs w:val="22"/>
        </w:rPr>
        <w:t>In vitro</w:t>
      </w:r>
      <w:r w:rsidRPr="00191147">
        <w:rPr>
          <w:sz w:val="22"/>
          <w:szCs w:val="22"/>
        </w:rPr>
        <w:t xml:space="preserve"> studie prokázaly, že kombinace </w:t>
      </w:r>
      <w:proofErr w:type="spellStart"/>
      <w:r w:rsidRPr="00191147">
        <w:rPr>
          <w:sz w:val="22"/>
          <w:szCs w:val="22"/>
        </w:rPr>
        <w:t>linkomycinu</w:t>
      </w:r>
      <w:proofErr w:type="spellEnd"/>
      <w:r w:rsidRPr="00191147">
        <w:rPr>
          <w:sz w:val="22"/>
          <w:szCs w:val="22"/>
        </w:rPr>
        <w:t xml:space="preserve"> a neomycinu mají baktericidní účin</w:t>
      </w:r>
      <w:r>
        <w:rPr>
          <w:sz w:val="22"/>
          <w:szCs w:val="22"/>
        </w:rPr>
        <w:t>ek</w:t>
      </w:r>
      <w:r w:rsidRPr="00191147">
        <w:rPr>
          <w:sz w:val="22"/>
          <w:szCs w:val="22"/>
        </w:rPr>
        <w:t xml:space="preserve"> vůči </w:t>
      </w:r>
      <w:r w:rsidRPr="00191147">
        <w:rPr>
          <w:i/>
          <w:sz w:val="22"/>
          <w:szCs w:val="22"/>
        </w:rPr>
        <w:t>S. aureus</w:t>
      </w:r>
      <w:r w:rsidRPr="00191147">
        <w:rPr>
          <w:sz w:val="22"/>
          <w:szCs w:val="22"/>
        </w:rPr>
        <w:t xml:space="preserve"> a </w:t>
      </w:r>
      <w:proofErr w:type="spellStart"/>
      <w:r w:rsidRPr="00191147">
        <w:rPr>
          <w:sz w:val="22"/>
          <w:szCs w:val="22"/>
        </w:rPr>
        <w:t>bakteristatick</w:t>
      </w:r>
      <w:r>
        <w:rPr>
          <w:sz w:val="22"/>
          <w:szCs w:val="22"/>
        </w:rPr>
        <w:t>ý</w:t>
      </w:r>
      <w:proofErr w:type="spellEnd"/>
      <w:r w:rsidRPr="00191147">
        <w:rPr>
          <w:sz w:val="22"/>
          <w:szCs w:val="22"/>
        </w:rPr>
        <w:t xml:space="preserve"> účin</w:t>
      </w:r>
      <w:r>
        <w:rPr>
          <w:sz w:val="22"/>
          <w:szCs w:val="22"/>
        </w:rPr>
        <w:t>ek</w:t>
      </w:r>
      <w:r w:rsidRPr="00191147">
        <w:rPr>
          <w:sz w:val="22"/>
          <w:szCs w:val="22"/>
        </w:rPr>
        <w:t xml:space="preserve"> vůči streptokokům. V kombinaci byl také prokázán synergismus v působení vůči </w:t>
      </w:r>
      <w:r w:rsidRPr="00191147">
        <w:rPr>
          <w:i/>
          <w:sz w:val="22"/>
          <w:szCs w:val="22"/>
        </w:rPr>
        <w:t>S. aureus</w:t>
      </w:r>
      <w:r w:rsidRPr="00191147">
        <w:rPr>
          <w:sz w:val="22"/>
          <w:szCs w:val="22"/>
        </w:rPr>
        <w:t>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proofErr w:type="spellStart"/>
      <w:r w:rsidRPr="00191147">
        <w:rPr>
          <w:sz w:val="22"/>
          <w:szCs w:val="22"/>
        </w:rPr>
        <w:t>Linkomycin</w:t>
      </w:r>
      <w:proofErr w:type="spellEnd"/>
      <w:r w:rsidRPr="00191147">
        <w:rPr>
          <w:sz w:val="22"/>
          <w:szCs w:val="22"/>
        </w:rPr>
        <w:t xml:space="preserve">, neomycin a jejich kombinace se ukázaly být účinné vůči </w:t>
      </w:r>
      <w:proofErr w:type="spellStart"/>
      <w:r w:rsidRPr="00191147">
        <w:rPr>
          <w:sz w:val="22"/>
          <w:szCs w:val="22"/>
        </w:rPr>
        <w:t>penicilinázu</w:t>
      </w:r>
      <w:proofErr w:type="spellEnd"/>
      <w:r w:rsidRPr="00191147">
        <w:rPr>
          <w:sz w:val="22"/>
          <w:szCs w:val="22"/>
        </w:rPr>
        <w:t xml:space="preserve"> produkujícím i neprodukujícím stafylokokům.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U kmenů rezistentních k aminoglykosidům, včetně neomycinu, byly doposud prokázány 4 základní mechanismy rezistence: </w:t>
      </w:r>
    </w:p>
    <w:p w:rsidR="003D28A5" w:rsidRPr="00191147" w:rsidRDefault="003D28A5" w:rsidP="003D28A5">
      <w:pPr>
        <w:numPr>
          <w:ilvl w:val="0"/>
          <w:numId w:val="39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tvorba inaktivačních enzymů (kódováno geny </w:t>
      </w:r>
      <w:proofErr w:type="spellStart"/>
      <w:r w:rsidRPr="00191147">
        <w:rPr>
          <w:i/>
          <w:color w:val="000000"/>
          <w:sz w:val="22"/>
          <w:szCs w:val="22"/>
        </w:rPr>
        <w:t>aph</w:t>
      </w:r>
      <w:proofErr w:type="spellEnd"/>
      <w:r w:rsidRPr="00191147">
        <w:rPr>
          <w:color w:val="000000"/>
          <w:sz w:val="22"/>
          <w:szCs w:val="22"/>
        </w:rPr>
        <w:t xml:space="preserve">, </w:t>
      </w:r>
      <w:proofErr w:type="spellStart"/>
      <w:r w:rsidRPr="00191147">
        <w:rPr>
          <w:i/>
          <w:color w:val="000000"/>
          <w:sz w:val="22"/>
          <w:szCs w:val="22"/>
        </w:rPr>
        <w:t>aac</w:t>
      </w:r>
      <w:proofErr w:type="spellEnd"/>
      <w:r w:rsidRPr="00191147">
        <w:rPr>
          <w:color w:val="000000"/>
          <w:sz w:val="22"/>
          <w:szCs w:val="22"/>
        </w:rPr>
        <w:t xml:space="preserve">, </w:t>
      </w:r>
      <w:r w:rsidRPr="00191147">
        <w:rPr>
          <w:i/>
          <w:color w:val="000000"/>
          <w:sz w:val="22"/>
          <w:szCs w:val="22"/>
        </w:rPr>
        <w:t>ant</w:t>
      </w:r>
      <w:r w:rsidRPr="00191147">
        <w:rPr>
          <w:color w:val="000000"/>
          <w:sz w:val="22"/>
          <w:szCs w:val="22"/>
        </w:rPr>
        <w:t xml:space="preserve">), </w:t>
      </w:r>
    </w:p>
    <w:p w:rsidR="003D28A5" w:rsidRPr="00191147" w:rsidRDefault="003D28A5" w:rsidP="003D28A5">
      <w:pPr>
        <w:numPr>
          <w:ilvl w:val="0"/>
          <w:numId w:val="39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alterace absorpce antibiotika do bakteriální buňky, </w:t>
      </w:r>
    </w:p>
    <w:p w:rsidR="003D28A5" w:rsidRPr="00191147" w:rsidRDefault="003D28A5" w:rsidP="003D28A5">
      <w:pPr>
        <w:numPr>
          <w:ilvl w:val="0"/>
          <w:numId w:val="39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využití aktivního </w:t>
      </w:r>
      <w:proofErr w:type="spellStart"/>
      <w:r w:rsidRPr="00191147">
        <w:rPr>
          <w:color w:val="000000"/>
          <w:sz w:val="22"/>
          <w:szCs w:val="22"/>
        </w:rPr>
        <w:t>efluxu</w:t>
      </w:r>
      <w:proofErr w:type="spellEnd"/>
      <w:r w:rsidRPr="00191147">
        <w:rPr>
          <w:color w:val="000000"/>
          <w:sz w:val="22"/>
          <w:szCs w:val="22"/>
        </w:rPr>
        <w:t>,</w:t>
      </w:r>
    </w:p>
    <w:p w:rsidR="003D28A5" w:rsidRPr="00191147" w:rsidRDefault="003D28A5" w:rsidP="003D28A5">
      <w:pPr>
        <w:numPr>
          <w:ilvl w:val="0"/>
          <w:numId w:val="39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>změna ribozomálního cílového místa.</w:t>
      </w:r>
    </w:p>
    <w:p w:rsidR="003D28A5" w:rsidRPr="00191147" w:rsidRDefault="003D28A5" w:rsidP="003D28A5">
      <w:pPr>
        <w:ind w:right="82"/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Geny </w:t>
      </w:r>
      <w:proofErr w:type="spellStart"/>
      <w:r w:rsidRPr="00191147">
        <w:rPr>
          <w:i/>
          <w:sz w:val="22"/>
          <w:szCs w:val="22"/>
        </w:rPr>
        <w:t>aph</w:t>
      </w:r>
      <w:proofErr w:type="spellEnd"/>
      <w:r w:rsidRPr="00191147">
        <w:rPr>
          <w:sz w:val="22"/>
          <w:szCs w:val="22"/>
        </w:rPr>
        <w:t xml:space="preserve">, </w:t>
      </w:r>
      <w:proofErr w:type="spellStart"/>
      <w:r w:rsidRPr="00191147">
        <w:rPr>
          <w:i/>
          <w:sz w:val="22"/>
          <w:szCs w:val="22"/>
        </w:rPr>
        <w:t>aac</w:t>
      </w:r>
      <w:proofErr w:type="spellEnd"/>
      <w:r w:rsidRPr="00191147">
        <w:rPr>
          <w:sz w:val="22"/>
          <w:szCs w:val="22"/>
        </w:rPr>
        <w:t xml:space="preserve">, </w:t>
      </w:r>
      <w:r w:rsidRPr="00191147">
        <w:rPr>
          <w:i/>
          <w:sz w:val="22"/>
          <w:szCs w:val="22"/>
        </w:rPr>
        <w:t>ant</w:t>
      </w:r>
      <w:r w:rsidRPr="00191147">
        <w:rPr>
          <w:sz w:val="22"/>
          <w:szCs w:val="22"/>
        </w:rPr>
        <w:t xml:space="preserve"> mohou být uloženy chromozomálně, nebo extrachromozomálně na mobilních gen</w:t>
      </w:r>
      <w:r>
        <w:rPr>
          <w:sz w:val="22"/>
          <w:szCs w:val="22"/>
        </w:rPr>
        <w:t xml:space="preserve">etických </w:t>
      </w:r>
      <w:r w:rsidRPr="00191147">
        <w:rPr>
          <w:sz w:val="22"/>
          <w:szCs w:val="22"/>
        </w:rPr>
        <w:t xml:space="preserve">elementech. </w:t>
      </w:r>
    </w:p>
    <w:p w:rsidR="003D28A5" w:rsidRPr="00191147" w:rsidRDefault="003D28A5" w:rsidP="003D28A5">
      <w:pPr>
        <w:ind w:right="82"/>
        <w:jc w:val="both"/>
        <w:rPr>
          <w:color w:val="000000"/>
          <w:sz w:val="22"/>
          <w:szCs w:val="22"/>
        </w:rPr>
      </w:pPr>
    </w:p>
    <w:p w:rsidR="003D28A5" w:rsidRPr="00191147" w:rsidRDefault="003D28A5" w:rsidP="003D28A5">
      <w:p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U kmenů rezistentních k </w:t>
      </w:r>
      <w:proofErr w:type="spellStart"/>
      <w:r w:rsidRPr="00191147">
        <w:rPr>
          <w:color w:val="000000"/>
          <w:sz w:val="22"/>
          <w:szCs w:val="22"/>
        </w:rPr>
        <w:t>linkosamidům</w:t>
      </w:r>
      <w:proofErr w:type="spellEnd"/>
      <w:r w:rsidRPr="00191147">
        <w:rPr>
          <w:color w:val="000000"/>
          <w:sz w:val="22"/>
          <w:szCs w:val="22"/>
        </w:rPr>
        <w:t xml:space="preserve">, včetně </w:t>
      </w:r>
      <w:proofErr w:type="spellStart"/>
      <w:r w:rsidRPr="00191147">
        <w:rPr>
          <w:color w:val="000000"/>
          <w:sz w:val="22"/>
          <w:szCs w:val="22"/>
        </w:rPr>
        <w:t>linkomycinu</w:t>
      </w:r>
      <w:proofErr w:type="spellEnd"/>
      <w:r w:rsidRPr="00191147">
        <w:rPr>
          <w:color w:val="000000"/>
          <w:sz w:val="22"/>
          <w:szCs w:val="22"/>
        </w:rPr>
        <w:t xml:space="preserve">, byly doposud prokázány 4 základní mechanismy rezistence: </w:t>
      </w:r>
    </w:p>
    <w:p w:rsidR="003D28A5" w:rsidRPr="00191147" w:rsidRDefault="003D28A5" w:rsidP="003D28A5">
      <w:pPr>
        <w:numPr>
          <w:ilvl w:val="0"/>
          <w:numId w:val="40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změna ribozomálního cílového místa (kódováno geny </w:t>
      </w:r>
      <w:proofErr w:type="spellStart"/>
      <w:r w:rsidRPr="00191147">
        <w:rPr>
          <w:i/>
          <w:color w:val="000000"/>
          <w:sz w:val="22"/>
          <w:szCs w:val="22"/>
        </w:rPr>
        <w:t>erm</w:t>
      </w:r>
      <w:proofErr w:type="spellEnd"/>
      <w:r w:rsidRPr="00191147">
        <w:rPr>
          <w:color w:val="000000"/>
          <w:sz w:val="22"/>
          <w:szCs w:val="22"/>
        </w:rPr>
        <w:t xml:space="preserve">), </w:t>
      </w:r>
    </w:p>
    <w:p w:rsidR="003D28A5" w:rsidRPr="00191147" w:rsidRDefault="003D28A5" w:rsidP="003D28A5">
      <w:pPr>
        <w:numPr>
          <w:ilvl w:val="0"/>
          <w:numId w:val="40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využití aktivního </w:t>
      </w:r>
      <w:proofErr w:type="spellStart"/>
      <w:r w:rsidRPr="00191147">
        <w:rPr>
          <w:color w:val="000000"/>
          <w:sz w:val="22"/>
          <w:szCs w:val="22"/>
        </w:rPr>
        <w:t>efluxu</w:t>
      </w:r>
      <w:proofErr w:type="spellEnd"/>
      <w:r w:rsidRPr="00191147">
        <w:rPr>
          <w:color w:val="000000"/>
          <w:sz w:val="22"/>
          <w:szCs w:val="22"/>
        </w:rPr>
        <w:t xml:space="preserve"> </w:t>
      </w:r>
      <w:r w:rsidRPr="00191147">
        <w:rPr>
          <w:sz w:val="22"/>
          <w:szCs w:val="22"/>
        </w:rPr>
        <w:t xml:space="preserve">(geny </w:t>
      </w:r>
      <w:proofErr w:type="spellStart"/>
      <w:r w:rsidRPr="00191147">
        <w:rPr>
          <w:i/>
          <w:sz w:val="22"/>
          <w:szCs w:val="22"/>
        </w:rPr>
        <w:t>msr</w:t>
      </w:r>
      <w:proofErr w:type="spellEnd"/>
      <w:r w:rsidRPr="00191147">
        <w:rPr>
          <w:sz w:val="22"/>
          <w:szCs w:val="22"/>
        </w:rPr>
        <w:t xml:space="preserve">, </w:t>
      </w:r>
      <w:proofErr w:type="spellStart"/>
      <w:r w:rsidRPr="00191147">
        <w:rPr>
          <w:i/>
          <w:sz w:val="22"/>
          <w:szCs w:val="22"/>
        </w:rPr>
        <w:t>vga</w:t>
      </w:r>
      <w:proofErr w:type="spellEnd"/>
      <w:r w:rsidRPr="00191147">
        <w:rPr>
          <w:sz w:val="22"/>
          <w:szCs w:val="22"/>
        </w:rPr>
        <w:t xml:space="preserve"> a </w:t>
      </w:r>
      <w:proofErr w:type="spellStart"/>
      <w:r w:rsidRPr="00191147">
        <w:rPr>
          <w:i/>
          <w:sz w:val="22"/>
          <w:szCs w:val="22"/>
        </w:rPr>
        <w:t>lsa</w:t>
      </w:r>
      <w:proofErr w:type="spellEnd"/>
      <w:r w:rsidRPr="00191147">
        <w:rPr>
          <w:sz w:val="22"/>
          <w:szCs w:val="22"/>
        </w:rPr>
        <w:t>)</w:t>
      </w:r>
      <w:r w:rsidRPr="00191147">
        <w:rPr>
          <w:color w:val="000000"/>
          <w:sz w:val="22"/>
          <w:szCs w:val="22"/>
        </w:rPr>
        <w:t xml:space="preserve">, </w:t>
      </w:r>
    </w:p>
    <w:p w:rsidR="003D28A5" w:rsidRPr="00191147" w:rsidRDefault="003D28A5" w:rsidP="003D28A5">
      <w:pPr>
        <w:numPr>
          <w:ilvl w:val="0"/>
          <w:numId w:val="40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tvorba inaktivačních enzymů (kódováno geny </w:t>
      </w:r>
      <w:r w:rsidRPr="00191147">
        <w:rPr>
          <w:i/>
          <w:color w:val="000000"/>
          <w:sz w:val="22"/>
          <w:szCs w:val="22"/>
        </w:rPr>
        <w:t>lnu</w:t>
      </w:r>
      <w:r w:rsidRPr="00191147">
        <w:rPr>
          <w:color w:val="000000"/>
          <w:sz w:val="22"/>
          <w:szCs w:val="22"/>
        </w:rPr>
        <w:t xml:space="preserve">), </w:t>
      </w:r>
    </w:p>
    <w:p w:rsidR="003D28A5" w:rsidRPr="00191147" w:rsidRDefault="003D28A5" w:rsidP="003D28A5">
      <w:pPr>
        <w:numPr>
          <w:ilvl w:val="0"/>
          <w:numId w:val="40"/>
        </w:num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mutace ribozomálního cílového místa. </w:t>
      </w:r>
    </w:p>
    <w:p w:rsidR="003D28A5" w:rsidRPr="00191147" w:rsidRDefault="003D28A5" w:rsidP="003D28A5">
      <w:pPr>
        <w:ind w:right="82"/>
        <w:jc w:val="both"/>
        <w:rPr>
          <w:color w:val="000000"/>
          <w:sz w:val="22"/>
          <w:szCs w:val="22"/>
        </w:rPr>
      </w:pPr>
      <w:r w:rsidRPr="00191147">
        <w:rPr>
          <w:color w:val="000000"/>
          <w:sz w:val="22"/>
          <w:szCs w:val="22"/>
        </w:rPr>
        <w:t xml:space="preserve">Existuje zkřížená rezistence k </w:t>
      </w:r>
      <w:proofErr w:type="spellStart"/>
      <w:r w:rsidRPr="00191147">
        <w:rPr>
          <w:color w:val="000000"/>
          <w:sz w:val="22"/>
          <w:szCs w:val="22"/>
        </w:rPr>
        <w:t>makrolidům</w:t>
      </w:r>
      <w:proofErr w:type="spellEnd"/>
      <w:r w:rsidRPr="00191147">
        <w:rPr>
          <w:color w:val="000000"/>
          <w:sz w:val="22"/>
          <w:szCs w:val="22"/>
        </w:rPr>
        <w:t xml:space="preserve">, </w:t>
      </w:r>
      <w:proofErr w:type="spellStart"/>
      <w:r w:rsidRPr="00191147">
        <w:rPr>
          <w:color w:val="000000"/>
          <w:sz w:val="22"/>
          <w:szCs w:val="22"/>
        </w:rPr>
        <w:t>linkosamidům</w:t>
      </w:r>
      <w:proofErr w:type="spellEnd"/>
      <w:r w:rsidRPr="00191147">
        <w:rPr>
          <w:color w:val="000000"/>
          <w:sz w:val="22"/>
          <w:szCs w:val="22"/>
        </w:rPr>
        <w:t xml:space="preserve"> a </w:t>
      </w:r>
      <w:proofErr w:type="spellStart"/>
      <w:r w:rsidRPr="00191147">
        <w:rPr>
          <w:color w:val="000000"/>
          <w:sz w:val="22"/>
          <w:szCs w:val="22"/>
        </w:rPr>
        <w:t>streptograminu</w:t>
      </w:r>
      <w:proofErr w:type="spellEnd"/>
      <w:r w:rsidRPr="00191147">
        <w:rPr>
          <w:color w:val="000000"/>
          <w:sz w:val="22"/>
          <w:szCs w:val="22"/>
        </w:rPr>
        <w:t xml:space="preserve"> B, označovaná jako MLS</w:t>
      </w:r>
      <w:r w:rsidRPr="00217AA5">
        <w:rPr>
          <w:color w:val="000000"/>
          <w:sz w:val="22"/>
          <w:szCs w:val="22"/>
          <w:vertAlign w:val="subscript"/>
        </w:rPr>
        <w:t>B</w:t>
      </w:r>
      <w:r w:rsidRPr="00191147">
        <w:rPr>
          <w:color w:val="000000"/>
          <w:sz w:val="22"/>
          <w:szCs w:val="22"/>
        </w:rPr>
        <w:t>. U kmenů s </w:t>
      </w:r>
      <w:bookmarkStart w:id="0" w:name="_GoBack"/>
      <w:bookmarkEnd w:id="0"/>
      <w:r w:rsidRPr="00191147">
        <w:rPr>
          <w:color w:val="000000"/>
          <w:sz w:val="22"/>
          <w:szCs w:val="22"/>
        </w:rPr>
        <w:t>rezistencí MLS</w:t>
      </w:r>
      <w:r w:rsidRPr="00217AA5">
        <w:rPr>
          <w:color w:val="000000"/>
          <w:sz w:val="22"/>
          <w:szCs w:val="22"/>
          <w:vertAlign w:val="subscript"/>
        </w:rPr>
        <w:t>B</w:t>
      </w:r>
      <w:r w:rsidRPr="00191147">
        <w:rPr>
          <w:color w:val="000000"/>
          <w:sz w:val="22"/>
          <w:szCs w:val="22"/>
        </w:rPr>
        <w:t xml:space="preserve"> se uplatňují 2 fenotypové projevy: konstitutivní (</w:t>
      </w:r>
      <w:proofErr w:type="spellStart"/>
      <w:r w:rsidRPr="00191147">
        <w:rPr>
          <w:color w:val="000000"/>
          <w:sz w:val="22"/>
          <w:szCs w:val="22"/>
        </w:rPr>
        <w:t>cMLS</w:t>
      </w:r>
      <w:r w:rsidRPr="00191147">
        <w:rPr>
          <w:color w:val="000000"/>
          <w:sz w:val="22"/>
          <w:szCs w:val="22"/>
          <w:vertAlign w:val="subscript"/>
        </w:rPr>
        <w:t>B</w:t>
      </w:r>
      <w:proofErr w:type="spellEnd"/>
      <w:r w:rsidRPr="00191147">
        <w:rPr>
          <w:color w:val="000000"/>
          <w:sz w:val="22"/>
          <w:szCs w:val="22"/>
        </w:rPr>
        <w:t xml:space="preserve">) a </w:t>
      </w:r>
      <w:proofErr w:type="spellStart"/>
      <w:r w:rsidRPr="00191147">
        <w:rPr>
          <w:color w:val="000000"/>
          <w:sz w:val="22"/>
          <w:szCs w:val="22"/>
        </w:rPr>
        <w:t>indu</w:t>
      </w:r>
      <w:r>
        <w:rPr>
          <w:color w:val="000000"/>
          <w:sz w:val="22"/>
          <w:szCs w:val="22"/>
        </w:rPr>
        <w:t>cibilní</w:t>
      </w:r>
      <w:proofErr w:type="spellEnd"/>
      <w:r w:rsidRPr="00191147">
        <w:rPr>
          <w:color w:val="000000"/>
          <w:sz w:val="22"/>
          <w:szCs w:val="22"/>
        </w:rPr>
        <w:t xml:space="preserve"> (</w:t>
      </w:r>
      <w:proofErr w:type="spellStart"/>
      <w:r w:rsidRPr="00191147">
        <w:rPr>
          <w:color w:val="000000"/>
          <w:sz w:val="22"/>
          <w:szCs w:val="22"/>
        </w:rPr>
        <w:t>iMLS</w:t>
      </w:r>
      <w:r w:rsidRPr="00191147">
        <w:rPr>
          <w:color w:val="000000"/>
          <w:sz w:val="22"/>
          <w:szCs w:val="22"/>
          <w:vertAlign w:val="subscript"/>
        </w:rPr>
        <w:t>B</w:t>
      </w:r>
      <w:proofErr w:type="spellEnd"/>
      <w:r w:rsidRPr="00191147">
        <w:rPr>
          <w:color w:val="000000"/>
          <w:sz w:val="22"/>
          <w:szCs w:val="22"/>
        </w:rPr>
        <w:t xml:space="preserve">). K průkazu </w:t>
      </w:r>
      <w:proofErr w:type="spellStart"/>
      <w:r w:rsidRPr="00191147">
        <w:rPr>
          <w:color w:val="000000"/>
          <w:sz w:val="22"/>
          <w:szCs w:val="22"/>
        </w:rPr>
        <w:t>iMLS</w:t>
      </w:r>
      <w:r w:rsidRPr="00191147">
        <w:rPr>
          <w:color w:val="000000"/>
          <w:sz w:val="22"/>
          <w:szCs w:val="22"/>
          <w:vertAlign w:val="subscript"/>
        </w:rPr>
        <w:t>B</w:t>
      </w:r>
      <w:proofErr w:type="spellEnd"/>
      <w:r w:rsidRPr="00191147">
        <w:rPr>
          <w:color w:val="000000"/>
          <w:sz w:val="22"/>
          <w:szCs w:val="22"/>
        </w:rPr>
        <w:t xml:space="preserve"> fenotypu je doporučeno provést tzv. D-test</w:t>
      </w:r>
      <w:r w:rsidRPr="00191147">
        <w:rPr>
          <w:b/>
          <w:sz w:val="22"/>
          <w:szCs w:val="22"/>
        </w:rPr>
        <w:t xml:space="preserve"> </w:t>
      </w:r>
      <w:r w:rsidRPr="00191147">
        <w:rPr>
          <w:sz w:val="22"/>
          <w:szCs w:val="22"/>
        </w:rPr>
        <w:t>s </w:t>
      </w:r>
      <w:proofErr w:type="spellStart"/>
      <w:r w:rsidRPr="00191147">
        <w:rPr>
          <w:sz w:val="22"/>
          <w:szCs w:val="22"/>
        </w:rPr>
        <w:t>klindamycinem</w:t>
      </w:r>
      <w:proofErr w:type="spellEnd"/>
      <w:r w:rsidRPr="00191147">
        <w:rPr>
          <w:sz w:val="22"/>
          <w:szCs w:val="22"/>
        </w:rPr>
        <w:t>, který je rovněž substrátem i pro rutinní testování citlivosti</w:t>
      </w:r>
      <w:r w:rsidRPr="00191147">
        <w:rPr>
          <w:color w:val="000000"/>
          <w:sz w:val="22"/>
          <w:szCs w:val="22"/>
        </w:rPr>
        <w:t>.</w:t>
      </w:r>
    </w:p>
    <w:p w:rsidR="003D28A5" w:rsidRPr="00442132" w:rsidRDefault="003D28A5" w:rsidP="003D28A5">
      <w:pPr>
        <w:ind w:right="82"/>
        <w:rPr>
          <w:color w:val="000000"/>
          <w:sz w:val="22"/>
        </w:rPr>
      </w:pPr>
      <w:r w:rsidRPr="00217AA5">
        <w:rPr>
          <w:sz w:val="22"/>
          <w:szCs w:val="22"/>
        </w:rPr>
        <w:t xml:space="preserve">Geny </w:t>
      </w:r>
      <w:proofErr w:type="spellStart"/>
      <w:r w:rsidRPr="00217AA5">
        <w:rPr>
          <w:i/>
          <w:iCs/>
          <w:sz w:val="22"/>
          <w:szCs w:val="22"/>
        </w:rPr>
        <w:t>erm</w:t>
      </w:r>
      <w:proofErr w:type="spellEnd"/>
      <w:r w:rsidRPr="00217AA5">
        <w:rPr>
          <w:sz w:val="22"/>
          <w:szCs w:val="22"/>
        </w:rPr>
        <w:t xml:space="preserve"> se nacházejí na mobilních genetických </w:t>
      </w:r>
      <w:r>
        <w:rPr>
          <w:sz w:val="22"/>
          <w:szCs w:val="22"/>
        </w:rPr>
        <w:t>elementech</w:t>
      </w:r>
      <w:r w:rsidRPr="00217AA5">
        <w:rPr>
          <w:sz w:val="22"/>
          <w:szCs w:val="22"/>
        </w:rPr>
        <w:t xml:space="preserve"> (</w:t>
      </w:r>
      <w:proofErr w:type="spellStart"/>
      <w:r w:rsidRPr="00217AA5">
        <w:rPr>
          <w:sz w:val="22"/>
          <w:szCs w:val="22"/>
        </w:rPr>
        <w:t>plazmidy</w:t>
      </w:r>
      <w:proofErr w:type="spellEnd"/>
      <w:r w:rsidRPr="00217AA5">
        <w:rPr>
          <w:sz w:val="22"/>
          <w:szCs w:val="22"/>
        </w:rPr>
        <w:t xml:space="preserve">, </w:t>
      </w:r>
      <w:proofErr w:type="spellStart"/>
      <w:r w:rsidRPr="00217AA5">
        <w:rPr>
          <w:sz w:val="22"/>
          <w:szCs w:val="22"/>
        </w:rPr>
        <w:t>transpozony</w:t>
      </w:r>
      <w:proofErr w:type="spellEnd"/>
      <w:r w:rsidRPr="00217AA5">
        <w:rPr>
          <w:sz w:val="22"/>
          <w:szCs w:val="22"/>
        </w:rPr>
        <w:t>) nebo se šíří vertikálně jako chromozomální mutace.</w:t>
      </w:r>
      <w:r w:rsidRPr="00442132">
        <w:rPr>
          <w:color w:val="000000"/>
          <w:sz w:val="22"/>
        </w:rPr>
        <w:t xml:space="preserve"> Geny kódující aktivní </w:t>
      </w:r>
      <w:proofErr w:type="spellStart"/>
      <w:r w:rsidRPr="00442132">
        <w:rPr>
          <w:color w:val="000000"/>
          <w:sz w:val="22"/>
        </w:rPr>
        <w:t>eflux</w:t>
      </w:r>
      <w:proofErr w:type="spellEnd"/>
      <w:r w:rsidRPr="00442132">
        <w:rPr>
          <w:color w:val="000000"/>
          <w:sz w:val="22"/>
        </w:rPr>
        <w:t xml:space="preserve"> jsou uloženy chromozomálně v gramnegativních bakteriích nebo na </w:t>
      </w:r>
      <w:proofErr w:type="spellStart"/>
      <w:r w:rsidRPr="00442132">
        <w:rPr>
          <w:color w:val="000000"/>
          <w:sz w:val="22"/>
        </w:rPr>
        <w:t>plazmidech</w:t>
      </w:r>
      <w:proofErr w:type="spellEnd"/>
      <w:r w:rsidRPr="00442132">
        <w:rPr>
          <w:color w:val="000000"/>
          <w:sz w:val="22"/>
        </w:rPr>
        <w:t xml:space="preserve"> v </w:t>
      </w:r>
      <w:proofErr w:type="spellStart"/>
      <w:r w:rsidRPr="00442132">
        <w:rPr>
          <w:color w:val="000000"/>
          <w:sz w:val="22"/>
        </w:rPr>
        <w:t>grampozitivních</w:t>
      </w:r>
      <w:proofErr w:type="spellEnd"/>
      <w:r w:rsidRPr="00442132">
        <w:rPr>
          <w:color w:val="000000"/>
          <w:sz w:val="22"/>
        </w:rPr>
        <w:t xml:space="preserve"> bakteriích. Geny </w:t>
      </w:r>
      <w:r w:rsidRPr="00217AA5">
        <w:rPr>
          <w:i/>
          <w:color w:val="000000"/>
          <w:sz w:val="22"/>
        </w:rPr>
        <w:t>lnu</w:t>
      </w:r>
      <w:r w:rsidRPr="00442132">
        <w:rPr>
          <w:color w:val="000000"/>
          <w:sz w:val="22"/>
        </w:rPr>
        <w:t xml:space="preserve"> jsou uloženy na </w:t>
      </w:r>
      <w:proofErr w:type="spellStart"/>
      <w:r w:rsidRPr="00442132">
        <w:rPr>
          <w:color w:val="000000"/>
          <w:sz w:val="22"/>
        </w:rPr>
        <w:t>plazmidech</w:t>
      </w:r>
      <w:proofErr w:type="spellEnd"/>
      <w:r w:rsidRPr="00442132">
        <w:rPr>
          <w:color w:val="000000"/>
          <w:sz w:val="22"/>
        </w:rPr>
        <w:t>.</w:t>
      </w: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5.2</w:t>
      </w:r>
      <w:r w:rsidRPr="00191147">
        <w:rPr>
          <w:b/>
          <w:sz w:val="22"/>
          <w:szCs w:val="22"/>
        </w:rPr>
        <w:tab/>
        <w:t>Farmakokinetické údaje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Po podání </w:t>
      </w:r>
      <w:proofErr w:type="spellStart"/>
      <w:r w:rsidRPr="00191147">
        <w:rPr>
          <w:sz w:val="22"/>
          <w:szCs w:val="22"/>
        </w:rPr>
        <w:t>intramamárního</w:t>
      </w:r>
      <w:proofErr w:type="spellEnd"/>
      <w:r w:rsidRPr="00191147">
        <w:rPr>
          <w:sz w:val="22"/>
          <w:szCs w:val="22"/>
        </w:rPr>
        <w:t xml:space="preserve"> roztoku obsahujícího </w:t>
      </w:r>
      <w:proofErr w:type="spellStart"/>
      <w:r w:rsidRPr="00191147">
        <w:rPr>
          <w:sz w:val="22"/>
          <w:szCs w:val="22"/>
        </w:rPr>
        <w:t>lincomycin</w:t>
      </w:r>
      <w:proofErr w:type="spellEnd"/>
      <w:r w:rsidRPr="00191147">
        <w:rPr>
          <w:sz w:val="22"/>
          <w:szCs w:val="22"/>
        </w:rPr>
        <w:t xml:space="preserve"> a neomycin sulfát v dávkách a intervalech odpovídajících doporučení pro podávání přípravku jsou v jednotlivých léčených čtvrtích dosaženy koncentrace </w:t>
      </w:r>
      <w:proofErr w:type="spellStart"/>
      <w:r w:rsidRPr="00191147">
        <w:rPr>
          <w:sz w:val="22"/>
          <w:szCs w:val="22"/>
        </w:rPr>
        <w:t>linkomycinu</w:t>
      </w:r>
      <w:proofErr w:type="spellEnd"/>
      <w:r w:rsidRPr="00191147">
        <w:rPr>
          <w:sz w:val="22"/>
          <w:szCs w:val="22"/>
        </w:rPr>
        <w:t xml:space="preserve"> a neomycinu: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5"/>
        <w:gridCol w:w="1794"/>
        <w:gridCol w:w="1794"/>
        <w:gridCol w:w="1794"/>
        <w:gridCol w:w="1685"/>
      </w:tblGrid>
      <w:tr w:rsidR="003D28A5" w:rsidRPr="00191147" w:rsidTr="00631F23">
        <w:tc>
          <w:tcPr>
            <w:tcW w:w="2030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58" w:type="dxa"/>
            <w:gridSpan w:val="4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Doba od prvního podání</w:t>
            </w:r>
          </w:p>
        </w:tc>
      </w:tr>
      <w:tr w:rsidR="003D28A5" w:rsidRPr="00191147" w:rsidTr="00631F23">
        <w:tc>
          <w:tcPr>
            <w:tcW w:w="2030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12 hod. *</w:t>
            </w: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24 hod. **</w:t>
            </w: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36 hod.</w:t>
            </w:r>
          </w:p>
        </w:tc>
        <w:tc>
          <w:tcPr>
            <w:tcW w:w="1729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48 hod.</w:t>
            </w:r>
          </w:p>
        </w:tc>
      </w:tr>
      <w:tr w:rsidR="003D28A5" w:rsidRPr="00191147" w:rsidTr="00631F23">
        <w:tc>
          <w:tcPr>
            <w:tcW w:w="2030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Antibiotikum</w:t>
            </w:r>
          </w:p>
        </w:tc>
        <w:tc>
          <w:tcPr>
            <w:tcW w:w="7258" w:type="dxa"/>
            <w:gridSpan w:val="4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Koncentrace [µg/ml] v mléce</w:t>
            </w:r>
          </w:p>
        </w:tc>
      </w:tr>
      <w:tr w:rsidR="003D28A5" w:rsidRPr="00191147" w:rsidTr="00631F23">
        <w:tc>
          <w:tcPr>
            <w:tcW w:w="2030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proofErr w:type="spellStart"/>
            <w:r w:rsidRPr="00191147">
              <w:rPr>
                <w:sz w:val="22"/>
                <w:szCs w:val="22"/>
              </w:rPr>
              <w:t>linkomycin</w:t>
            </w:r>
            <w:proofErr w:type="spellEnd"/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52,7</w:t>
            </w: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53,5</w:t>
            </w: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56,9</w:t>
            </w:r>
          </w:p>
        </w:tc>
        <w:tc>
          <w:tcPr>
            <w:tcW w:w="1729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4,6</w:t>
            </w:r>
          </w:p>
        </w:tc>
      </w:tr>
      <w:tr w:rsidR="003D28A5" w:rsidRPr="00191147" w:rsidTr="00631F23">
        <w:tc>
          <w:tcPr>
            <w:tcW w:w="2030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neomycin</w:t>
            </w: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22,2</w:t>
            </w: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29,7</w:t>
            </w:r>
          </w:p>
        </w:tc>
        <w:tc>
          <w:tcPr>
            <w:tcW w:w="1843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28,0</w:t>
            </w:r>
          </w:p>
        </w:tc>
        <w:tc>
          <w:tcPr>
            <w:tcW w:w="1729" w:type="dxa"/>
          </w:tcPr>
          <w:p w:rsidR="003D28A5" w:rsidRPr="00191147" w:rsidRDefault="003D28A5" w:rsidP="00631F23">
            <w:pPr>
              <w:jc w:val="both"/>
              <w:rPr>
                <w:sz w:val="22"/>
                <w:szCs w:val="22"/>
              </w:rPr>
            </w:pPr>
            <w:r w:rsidRPr="00191147">
              <w:rPr>
                <w:sz w:val="22"/>
                <w:szCs w:val="22"/>
              </w:rPr>
              <w:t>4,9</w:t>
            </w:r>
          </w:p>
        </w:tc>
      </w:tr>
    </w:tbl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>* V okamžiku před druhým podáním</w:t>
      </w:r>
    </w:p>
    <w:p w:rsidR="003D28A5" w:rsidRPr="00191147" w:rsidRDefault="003D28A5" w:rsidP="003D28A5">
      <w:pPr>
        <w:jc w:val="both"/>
        <w:rPr>
          <w:b/>
          <w:sz w:val="22"/>
          <w:szCs w:val="22"/>
        </w:rPr>
      </w:pPr>
      <w:r w:rsidRPr="00191147">
        <w:rPr>
          <w:sz w:val="22"/>
          <w:szCs w:val="22"/>
        </w:rPr>
        <w:t>** V okamžiku před třetím (posledním) podáním</w:t>
      </w: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6.</w:t>
      </w:r>
      <w:r w:rsidRPr="00191147">
        <w:rPr>
          <w:b/>
          <w:sz w:val="22"/>
          <w:szCs w:val="22"/>
        </w:rPr>
        <w:tab/>
        <w:t>FARMACEUTICKÉ ÚDAJE</w:t>
      </w: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6.1</w:t>
      </w:r>
      <w:r w:rsidRPr="00191147">
        <w:rPr>
          <w:b/>
          <w:sz w:val="22"/>
          <w:szCs w:val="22"/>
        </w:rPr>
        <w:tab/>
        <w:t>Seznam pomocných látek</w:t>
      </w:r>
    </w:p>
    <w:p w:rsidR="003D28A5" w:rsidRPr="00442132" w:rsidRDefault="003D28A5" w:rsidP="003D28A5">
      <w:pPr>
        <w:rPr>
          <w:sz w:val="22"/>
          <w:szCs w:val="22"/>
        </w:rPr>
      </w:pPr>
      <w:proofErr w:type="spellStart"/>
      <w:r>
        <w:rPr>
          <w:sz w:val="22"/>
        </w:rPr>
        <w:lastRenderedPageBreak/>
        <w:t>Dihydrát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dinatrium-edetátu</w:t>
      </w:r>
      <w:proofErr w:type="spellEnd"/>
      <w:r w:rsidRPr="00442132">
        <w:rPr>
          <w:sz w:val="22"/>
        </w:rPr>
        <w:t xml:space="preserve"> </w:t>
      </w:r>
    </w:p>
    <w:p w:rsidR="003D28A5" w:rsidRPr="00442132" w:rsidRDefault="003D28A5" w:rsidP="003D28A5">
      <w:pPr>
        <w:rPr>
          <w:sz w:val="22"/>
          <w:szCs w:val="22"/>
        </w:rPr>
      </w:pPr>
      <w:r>
        <w:rPr>
          <w:sz w:val="22"/>
        </w:rPr>
        <w:t>K</w:t>
      </w:r>
      <w:r w:rsidRPr="00442132">
        <w:rPr>
          <w:sz w:val="22"/>
        </w:rPr>
        <w:t xml:space="preserve">oncentrovaná </w:t>
      </w:r>
      <w:r>
        <w:rPr>
          <w:sz w:val="22"/>
        </w:rPr>
        <w:t>k</w:t>
      </w:r>
      <w:r w:rsidRPr="00442132">
        <w:rPr>
          <w:sz w:val="22"/>
        </w:rPr>
        <w:t>yselina chlorovodíková (pro úpravu pH)</w:t>
      </w:r>
    </w:p>
    <w:p w:rsidR="003D28A5" w:rsidRPr="00442132" w:rsidRDefault="003D28A5" w:rsidP="003D28A5">
      <w:pPr>
        <w:rPr>
          <w:sz w:val="22"/>
          <w:szCs w:val="22"/>
        </w:rPr>
      </w:pPr>
      <w:r w:rsidRPr="00442132">
        <w:rPr>
          <w:sz w:val="22"/>
        </w:rPr>
        <w:t>Hydroxid sodný (pro úpravu pH)</w:t>
      </w:r>
    </w:p>
    <w:p w:rsidR="003D28A5" w:rsidRDefault="003D28A5" w:rsidP="003D28A5">
      <w:pPr>
        <w:jc w:val="both"/>
        <w:rPr>
          <w:sz w:val="22"/>
        </w:rPr>
      </w:pPr>
      <w:r w:rsidRPr="00442132">
        <w:rPr>
          <w:sz w:val="22"/>
        </w:rPr>
        <w:t xml:space="preserve">Voda </w:t>
      </w:r>
      <w:r>
        <w:rPr>
          <w:sz w:val="22"/>
        </w:rPr>
        <w:t>pro</w:t>
      </w:r>
      <w:r w:rsidRPr="00442132">
        <w:rPr>
          <w:sz w:val="22"/>
        </w:rPr>
        <w:t xml:space="preserve"> injekci</w:t>
      </w:r>
    </w:p>
    <w:p w:rsidR="003D28A5" w:rsidRPr="00227466" w:rsidRDefault="003D28A5" w:rsidP="003D28A5">
      <w:pPr>
        <w:jc w:val="both"/>
        <w:rPr>
          <w:b/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6.2</w:t>
      </w:r>
      <w:r w:rsidRPr="00191147">
        <w:rPr>
          <w:b/>
          <w:sz w:val="22"/>
          <w:szCs w:val="22"/>
        </w:rPr>
        <w:tab/>
        <w:t>Hlavní inkompatibility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Neuplatňuje se.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6.3</w:t>
      </w:r>
      <w:r w:rsidRPr="00191147">
        <w:rPr>
          <w:b/>
          <w:sz w:val="22"/>
          <w:szCs w:val="22"/>
        </w:rPr>
        <w:tab/>
        <w:t>Doba použitelnosti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Doba použitelnosti veterinárního léčivého přípravku v neporušeném obalu: </w:t>
      </w:r>
      <w:r w:rsidR="003F1BD9">
        <w:rPr>
          <w:sz w:val="22"/>
          <w:szCs w:val="22"/>
        </w:rPr>
        <w:t>3</w:t>
      </w:r>
      <w:r w:rsidRPr="00191147">
        <w:rPr>
          <w:sz w:val="22"/>
          <w:szCs w:val="22"/>
        </w:rPr>
        <w:t xml:space="preserve"> roky. 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  <w:r w:rsidRPr="00191147">
        <w:rPr>
          <w:sz w:val="22"/>
          <w:szCs w:val="22"/>
        </w:rPr>
        <w:t>Doba použitelnosti po prvním otevření vnitřního obalu: spotřebujte ihned.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6.4</w:t>
      </w:r>
      <w:r w:rsidRPr="00191147">
        <w:rPr>
          <w:b/>
          <w:sz w:val="22"/>
          <w:szCs w:val="22"/>
        </w:rPr>
        <w:tab/>
        <w:t>Zvláštní opatření pro uchovávání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  <w:r w:rsidRPr="00191147">
        <w:rPr>
          <w:sz w:val="22"/>
          <w:szCs w:val="22"/>
        </w:rPr>
        <w:t>Chraňte před mrazem.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  <w:r w:rsidRPr="00191147">
        <w:rPr>
          <w:sz w:val="22"/>
          <w:szCs w:val="22"/>
        </w:rPr>
        <w:t>Chraňte před světlem.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6.5</w:t>
      </w:r>
      <w:r w:rsidRPr="00191147">
        <w:rPr>
          <w:b/>
          <w:sz w:val="22"/>
          <w:szCs w:val="22"/>
        </w:rPr>
        <w:tab/>
        <w:t>Druh a složení vnitřního obalu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  <w:r w:rsidRPr="00191147">
        <w:rPr>
          <w:sz w:val="22"/>
          <w:szCs w:val="22"/>
        </w:rPr>
        <w:t xml:space="preserve">LDPE aplikátory obsahující 10 ml přípravku opatřené LDPE krytkou a LDPE pístem. Baleno po 24 aplikátorech v papírové krabičce. Součástí balení je 24 ks dezinfekčních ubrousků navlhčených </w:t>
      </w:r>
      <w:proofErr w:type="gramStart"/>
      <w:r w:rsidRPr="00191147">
        <w:rPr>
          <w:sz w:val="22"/>
          <w:szCs w:val="22"/>
        </w:rPr>
        <w:t>65%</w:t>
      </w:r>
      <w:proofErr w:type="gramEnd"/>
      <w:r w:rsidRPr="00191147">
        <w:rPr>
          <w:sz w:val="22"/>
          <w:szCs w:val="22"/>
        </w:rPr>
        <w:t xml:space="preserve"> v/v roztokem izopropylalkoholu (2,4 ml/ubrousek) pro očištění struku. </w:t>
      </w:r>
    </w:p>
    <w:p w:rsidR="003D28A5" w:rsidRPr="00191147" w:rsidRDefault="003D28A5" w:rsidP="003D28A5">
      <w:pPr>
        <w:jc w:val="both"/>
        <w:rPr>
          <w:sz w:val="22"/>
          <w:szCs w:val="22"/>
        </w:rPr>
      </w:pPr>
    </w:p>
    <w:p w:rsidR="003D28A5" w:rsidRPr="00191147" w:rsidRDefault="003D28A5" w:rsidP="003D28A5">
      <w:pPr>
        <w:jc w:val="both"/>
        <w:rPr>
          <w:sz w:val="22"/>
          <w:szCs w:val="22"/>
        </w:rPr>
      </w:pPr>
      <w:r>
        <w:rPr>
          <w:sz w:val="22"/>
          <w:szCs w:val="22"/>
        </w:rPr>
        <w:t>Velikost b</w:t>
      </w:r>
      <w:r w:rsidRPr="00191147">
        <w:rPr>
          <w:sz w:val="22"/>
          <w:szCs w:val="22"/>
        </w:rPr>
        <w:t>alení: 24 x 10 ml</w:t>
      </w:r>
    </w:p>
    <w:p w:rsidR="003D28A5" w:rsidRPr="00191147" w:rsidRDefault="003D28A5" w:rsidP="003D28A5">
      <w:pPr>
        <w:ind w:left="567" w:hanging="567"/>
        <w:jc w:val="both"/>
        <w:rPr>
          <w:b/>
          <w:sz w:val="22"/>
          <w:szCs w:val="22"/>
        </w:rPr>
      </w:pPr>
    </w:p>
    <w:p w:rsidR="003D28A5" w:rsidRPr="00191147" w:rsidRDefault="003D28A5" w:rsidP="003D28A5">
      <w:pPr>
        <w:keepNext/>
        <w:ind w:left="567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6.6</w:t>
      </w:r>
      <w:r w:rsidRPr="00191147">
        <w:rPr>
          <w:sz w:val="22"/>
          <w:szCs w:val="22"/>
        </w:rPr>
        <w:tab/>
      </w:r>
      <w:r w:rsidRPr="00191147">
        <w:rPr>
          <w:b/>
          <w:sz w:val="22"/>
          <w:szCs w:val="22"/>
        </w:rPr>
        <w:t>Zvláštní opatření pro zneškodňování nepoužitého veterinárního léčivého přípravku nebo odpadu, který pochází z tohoto přípravku</w:t>
      </w:r>
    </w:p>
    <w:p w:rsidR="003D28A5" w:rsidRPr="00191147" w:rsidRDefault="003D28A5" w:rsidP="003D28A5">
      <w:pPr>
        <w:jc w:val="both"/>
        <w:rPr>
          <w:i/>
          <w:sz w:val="22"/>
          <w:szCs w:val="22"/>
        </w:rPr>
      </w:pPr>
      <w:r w:rsidRPr="00191147">
        <w:rPr>
          <w:sz w:val="22"/>
          <w:szCs w:val="22"/>
        </w:rPr>
        <w:t>Všechen nepoužitý veterinární léčivý přípravek nebo odpad, který pochází z tohoto přípravku, musí být likvidován podle místních právních předpisů.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right="-318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7.</w:t>
      </w:r>
      <w:r w:rsidRPr="00191147">
        <w:rPr>
          <w:b/>
          <w:sz w:val="22"/>
          <w:szCs w:val="22"/>
        </w:rPr>
        <w:tab/>
        <w:t>DRŽITEL ROZHODNUTÍ O REGISTRACI</w:t>
      </w:r>
    </w:p>
    <w:p w:rsidR="003D28A5" w:rsidRPr="00191147" w:rsidRDefault="003D28A5" w:rsidP="003D28A5">
      <w:pPr>
        <w:ind w:right="-318"/>
        <w:jc w:val="both"/>
        <w:rPr>
          <w:bCs/>
          <w:sz w:val="22"/>
          <w:szCs w:val="22"/>
        </w:rPr>
      </w:pPr>
      <w:proofErr w:type="spellStart"/>
      <w:r w:rsidRPr="00191147">
        <w:rPr>
          <w:sz w:val="22"/>
          <w:szCs w:val="22"/>
        </w:rPr>
        <w:t>Bioveta</w:t>
      </w:r>
      <w:proofErr w:type="spellEnd"/>
      <w:r w:rsidRPr="00191147">
        <w:rPr>
          <w:sz w:val="22"/>
          <w:szCs w:val="22"/>
        </w:rPr>
        <w:t>, a.s.</w:t>
      </w:r>
    </w:p>
    <w:p w:rsidR="003D28A5" w:rsidRPr="00191147" w:rsidRDefault="003D28A5" w:rsidP="003D28A5">
      <w:pPr>
        <w:ind w:right="-318"/>
        <w:jc w:val="both"/>
        <w:rPr>
          <w:bCs/>
          <w:sz w:val="22"/>
          <w:szCs w:val="22"/>
        </w:rPr>
      </w:pPr>
      <w:r w:rsidRPr="00191147">
        <w:rPr>
          <w:sz w:val="22"/>
          <w:szCs w:val="22"/>
        </w:rPr>
        <w:t>Komenského 212/12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  <w:r w:rsidRPr="00191147">
        <w:rPr>
          <w:sz w:val="22"/>
          <w:szCs w:val="22"/>
        </w:rPr>
        <w:t>683 23 Ivanovice na Hané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  <w:r w:rsidRPr="00191147">
        <w:rPr>
          <w:sz w:val="22"/>
          <w:szCs w:val="22"/>
        </w:rPr>
        <w:t>Czech Republic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right="-318" w:hanging="567"/>
        <w:jc w:val="both"/>
        <w:rPr>
          <w:sz w:val="22"/>
          <w:szCs w:val="22"/>
        </w:rPr>
      </w:pPr>
      <w:r w:rsidRPr="00191147">
        <w:rPr>
          <w:b/>
          <w:sz w:val="22"/>
          <w:szCs w:val="22"/>
        </w:rPr>
        <w:t>8.</w:t>
      </w:r>
      <w:r w:rsidRPr="00191147">
        <w:rPr>
          <w:b/>
          <w:sz w:val="22"/>
          <w:szCs w:val="22"/>
        </w:rPr>
        <w:tab/>
      </w:r>
      <w:r w:rsidRPr="00191147">
        <w:rPr>
          <w:b/>
          <w:caps/>
          <w:sz w:val="22"/>
          <w:szCs w:val="22"/>
        </w:rPr>
        <w:t>Registrační číslo</w:t>
      </w:r>
      <w:r>
        <w:rPr>
          <w:b/>
          <w:caps/>
          <w:sz w:val="22"/>
          <w:szCs w:val="22"/>
        </w:rPr>
        <w:t xml:space="preserve"> </w:t>
      </w:r>
      <w:r w:rsidRPr="00191147">
        <w:rPr>
          <w:b/>
          <w:caps/>
          <w:sz w:val="22"/>
          <w:szCs w:val="22"/>
        </w:rPr>
        <w:t>(a)</w:t>
      </w:r>
    </w:p>
    <w:p w:rsidR="003D28A5" w:rsidRPr="00C83DEB" w:rsidRDefault="003D28A5" w:rsidP="003D28A5">
      <w:pPr>
        <w:ind w:right="-318"/>
        <w:jc w:val="both"/>
        <w:rPr>
          <w:caps/>
          <w:sz w:val="22"/>
          <w:szCs w:val="22"/>
        </w:rPr>
      </w:pPr>
      <w:r w:rsidRPr="00260C86">
        <w:rPr>
          <w:caps/>
          <w:sz w:val="22"/>
          <w:szCs w:val="22"/>
        </w:rPr>
        <w:t>96/098/</w:t>
      </w:r>
      <w:proofErr w:type="gramStart"/>
      <w:r w:rsidRPr="00260C86">
        <w:rPr>
          <w:caps/>
          <w:sz w:val="22"/>
          <w:szCs w:val="22"/>
        </w:rPr>
        <w:t>15-C</w:t>
      </w:r>
      <w:proofErr w:type="gramEnd"/>
    </w:p>
    <w:p w:rsidR="003D28A5" w:rsidRPr="00191147" w:rsidRDefault="003D28A5" w:rsidP="003D28A5">
      <w:pPr>
        <w:ind w:right="-318"/>
        <w:jc w:val="both"/>
        <w:rPr>
          <w:b/>
          <w:caps/>
          <w:sz w:val="22"/>
          <w:szCs w:val="22"/>
        </w:rPr>
      </w:pPr>
    </w:p>
    <w:p w:rsidR="003D28A5" w:rsidRPr="00191147" w:rsidRDefault="003D28A5" w:rsidP="003D28A5">
      <w:pPr>
        <w:ind w:left="567" w:right="-318" w:hanging="567"/>
        <w:jc w:val="both"/>
        <w:rPr>
          <w:b/>
          <w:caps/>
          <w:sz w:val="22"/>
          <w:szCs w:val="22"/>
        </w:rPr>
      </w:pPr>
      <w:r w:rsidRPr="00191147">
        <w:rPr>
          <w:b/>
          <w:sz w:val="22"/>
          <w:szCs w:val="22"/>
        </w:rPr>
        <w:t>9.</w:t>
      </w:r>
      <w:r w:rsidRPr="00191147">
        <w:rPr>
          <w:b/>
          <w:sz w:val="22"/>
          <w:szCs w:val="22"/>
        </w:rPr>
        <w:tab/>
      </w:r>
      <w:r w:rsidRPr="00191147">
        <w:rPr>
          <w:b/>
          <w:caps/>
          <w:sz w:val="22"/>
          <w:szCs w:val="22"/>
        </w:rPr>
        <w:t>Datum registrace/ prodloužení registrace</w:t>
      </w:r>
    </w:p>
    <w:p w:rsidR="003D28A5" w:rsidRDefault="003D28A5" w:rsidP="003D28A5">
      <w:pPr>
        <w:ind w:right="-318"/>
        <w:jc w:val="both"/>
        <w:rPr>
          <w:sz w:val="22"/>
          <w:szCs w:val="22"/>
        </w:rPr>
      </w:pPr>
      <w:r>
        <w:rPr>
          <w:sz w:val="22"/>
          <w:szCs w:val="22"/>
        </w:rPr>
        <w:t>10. 2. 2021</w:t>
      </w:r>
    </w:p>
    <w:p w:rsidR="003D28A5" w:rsidRPr="00191147" w:rsidRDefault="003D28A5" w:rsidP="003D28A5">
      <w:pPr>
        <w:ind w:right="-318"/>
        <w:jc w:val="both"/>
        <w:rPr>
          <w:sz w:val="22"/>
          <w:szCs w:val="22"/>
        </w:rPr>
      </w:pPr>
    </w:p>
    <w:p w:rsidR="003D28A5" w:rsidRPr="00191147" w:rsidRDefault="003D28A5" w:rsidP="003D28A5">
      <w:pPr>
        <w:ind w:left="567" w:right="-318" w:hanging="567"/>
        <w:jc w:val="both"/>
        <w:rPr>
          <w:b/>
          <w:sz w:val="22"/>
          <w:szCs w:val="22"/>
        </w:rPr>
      </w:pPr>
      <w:r w:rsidRPr="00191147">
        <w:rPr>
          <w:b/>
          <w:sz w:val="22"/>
          <w:szCs w:val="22"/>
        </w:rPr>
        <w:t>10.</w:t>
      </w:r>
      <w:r w:rsidRPr="00191147">
        <w:rPr>
          <w:b/>
          <w:sz w:val="22"/>
          <w:szCs w:val="22"/>
        </w:rPr>
        <w:tab/>
        <w:t>DATUM REVIZE TEXTU</w:t>
      </w:r>
    </w:p>
    <w:p w:rsidR="003D28A5" w:rsidRDefault="003D28A5" w:rsidP="003D28A5">
      <w:pPr>
        <w:rPr>
          <w:sz w:val="22"/>
          <w:szCs w:val="22"/>
        </w:rPr>
      </w:pPr>
    </w:p>
    <w:p w:rsidR="003D28A5" w:rsidRDefault="00A57399" w:rsidP="003D28A5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Duben</w:t>
      </w:r>
      <w:proofErr w:type="gramEnd"/>
      <w:r>
        <w:rPr>
          <w:sz w:val="22"/>
          <w:szCs w:val="22"/>
        </w:rPr>
        <w:t xml:space="preserve"> 2023</w:t>
      </w:r>
    </w:p>
    <w:p w:rsidR="003D28A5" w:rsidRPr="00191147" w:rsidRDefault="003D28A5" w:rsidP="003D28A5">
      <w:pPr>
        <w:rPr>
          <w:sz w:val="22"/>
          <w:szCs w:val="22"/>
        </w:rPr>
      </w:pPr>
    </w:p>
    <w:p w:rsidR="003D28A5" w:rsidRPr="00191147" w:rsidRDefault="003D28A5" w:rsidP="003D28A5">
      <w:pPr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DalŠÍ Informace</w:t>
      </w:r>
    </w:p>
    <w:p w:rsidR="003D28A5" w:rsidRPr="00191147" w:rsidRDefault="003D28A5" w:rsidP="003D28A5">
      <w:pPr>
        <w:rPr>
          <w:sz w:val="22"/>
          <w:szCs w:val="22"/>
        </w:rPr>
      </w:pPr>
    </w:p>
    <w:p w:rsidR="003D28A5" w:rsidRPr="00191147" w:rsidRDefault="003D28A5" w:rsidP="003D28A5">
      <w:pPr>
        <w:rPr>
          <w:sz w:val="22"/>
          <w:szCs w:val="22"/>
        </w:rPr>
      </w:pPr>
      <w:r>
        <w:rPr>
          <w:sz w:val="22"/>
          <w:szCs w:val="22"/>
        </w:rPr>
        <w:t>Veterinární léčivý přípravek je vydáván pouze na předpis.</w:t>
      </w:r>
    </w:p>
    <w:p w:rsidR="00A57399" w:rsidRPr="00A57399" w:rsidRDefault="00A57399" w:rsidP="00A57399">
      <w:r w:rsidRPr="00A57399">
        <w:t>Podrobné informace o tomto veterinárním léčivém přípravku jsou k dispozici v databázi přípravků Unie</w:t>
      </w:r>
      <w:r w:rsidRPr="00A57399">
        <w:br/>
        <w:t>(</w:t>
      </w:r>
      <w:hyperlink r:id="rId7" w:history="1">
        <w:r w:rsidRPr="00A57399">
          <w:rPr>
            <w:rStyle w:val="Hypertextovodkaz"/>
          </w:rPr>
          <w:t>https://medicines.health.europa.eu/veterinary</w:t>
        </w:r>
      </w:hyperlink>
      <w:r w:rsidRPr="00A57399">
        <w:t>).</w:t>
      </w:r>
    </w:p>
    <w:p w:rsidR="00A57399" w:rsidRPr="00A57399" w:rsidRDefault="00A57399" w:rsidP="00A57399">
      <w:r w:rsidRPr="00A57399">
        <w:t>Podrobné informace o tomto veterinárním léčivém přípravku naleznete také v národní databázi (</w:t>
      </w:r>
      <w:hyperlink r:id="rId8" w:history="1">
        <w:r w:rsidRPr="00A57399">
          <w:rPr>
            <w:rStyle w:val="Hypertextovodkaz"/>
          </w:rPr>
          <w:t>https://www.uskvbl.cz</w:t>
        </w:r>
      </w:hyperlink>
      <w:r w:rsidRPr="00A57399">
        <w:t xml:space="preserve">). </w:t>
      </w:r>
    </w:p>
    <w:p w:rsidR="00AB7C92" w:rsidRPr="00285868" w:rsidRDefault="00AB7C92" w:rsidP="00285868"/>
    <w:sectPr w:rsidR="00AB7C92" w:rsidRPr="00285868" w:rsidSect="0060087B">
      <w:footerReference w:type="default" r:id="rId9"/>
      <w:footerReference w:type="first" r:id="rId10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365" w:rsidRDefault="005B3365">
      <w:r>
        <w:separator/>
      </w:r>
    </w:p>
  </w:endnote>
  <w:endnote w:type="continuationSeparator" w:id="0">
    <w:p w:rsidR="005B3365" w:rsidRDefault="005B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DC" w:rsidRDefault="00D33ED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:rsidR="00D33EDC" w:rsidRDefault="00EE093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60087B">
      <w:instrText xml:space="preserve"> PAGE  \* MERGEFORMAT </w:instrText>
    </w:r>
    <w:r>
      <w:fldChar w:fldCharType="separate"/>
    </w:r>
    <w:r w:rsidR="003D28A5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EDC" w:rsidRDefault="00D33EDC">
    <w:pPr>
      <w:pStyle w:val="Zpat"/>
      <w:tabs>
        <w:tab w:val="clear" w:pos="8930"/>
        <w:tab w:val="right" w:pos="8931"/>
      </w:tabs>
    </w:pPr>
  </w:p>
  <w:p w:rsidR="00D33EDC" w:rsidRDefault="00EE093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 w:rsidR="0060087B">
      <w:instrText xml:space="preserve"> PAGE  \* MERGEFORMAT </w:instrText>
    </w:r>
    <w:r>
      <w:fldChar w:fldCharType="separate"/>
    </w:r>
    <w:r w:rsidR="003D28A5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365" w:rsidRDefault="005B3365">
      <w:r>
        <w:separator/>
      </w:r>
    </w:p>
  </w:footnote>
  <w:footnote w:type="continuationSeparator" w:id="0">
    <w:p w:rsidR="005B3365" w:rsidRDefault="005B3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6C211F2"/>
    <w:multiLevelType w:val="hybridMultilevel"/>
    <w:tmpl w:val="C9E60F22"/>
    <w:lvl w:ilvl="0" w:tplc="930466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2254BFA"/>
    <w:multiLevelType w:val="hybridMultilevel"/>
    <w:tmpl w:val="5EDED004"/>
    <w:lvl w:ilvl="0" w:tplc="2000E4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1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3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4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6"/>
  </w:num>
  <w:num w:numId="5">
    <w:abstractNumId w:val="35"/>
  </w:num>
  <w:num w:numId="6">
    <w:abstractNumId w:val="12"/>
  </w:num>
  <w:num w:numId="7">
    <w:abstractNumId w:val="23"/>
  </w:num>
  <w:num w:numId="8">
    <w:abstractNumId w:val="22"/>
  </w:num>
  <w:num w:numId="9">
    <w:abstractNumId w:val="6"/>
  </w:num>
  <w:num w:numId="10">
    <w:abstractNumId w:val="33"/>
  </w:num>
  <w:num w:numId="11">
    <w:abstractNumId w:val="34"/>
  </w:num>
  <w:num w:numId="12">
    <w:abstractNumId w:val="17"/>
  </w:num>
  <w:num w:numId="13">
    <w:abstractNumId w:val="14"/>
  </w:num>
  <w:num w:numId="14">
    <w:abstractNumId w:val="2"/>
  </w:num>
  <w:num w:numId="15">
    <w:abstractNumId w:val="32"/>
  </w:num>
  <w:num w:numId="16">
    <w:abstractNumId w:val="20"/>
  </w:num>
  <w:num w:numId="17">
    <w:abstractNumId w:val="37"/>
  </w:num>
  <w:num w:numId="18">
    <w:abstractNumId w:val="7"/>
  </w:num>
  <w:num w:numId="19">
    <w:abstractNumId w:val="1"/>
  </w:num>
  <w:num w:numId="20">
    <w:abstractNumId w:val="18"/>
  </w:num>
  <w:num w:numId="21">
    <w:abstractNumId w:val="3"/>
  </w:num>
  <w:num w:numId="22">
    <w:abstractNumId w:val="5"/>
  </w:num>
  <w:num w:numId="23">
    <w:abstractNumId w:val="26"/>
  </w:num>
  <w:num w:numId="24">
    <w:abstractNumId w:val="10"/>
  </w:num>
  <w:num w:numId="25">
    <w:abstractNumId w:val="31"/>
  </w:num>
  <w:num w:numId="26">
    <w:abstractNumId w:val="25"/>
  </w:num>
  <w:num w:numId="27">
    <w:abstractNumId w:val="13"/>
  </w:num>
  <w:num w:numId="28">
    <w:abstractNumId w:val="9"/>
  </w:num>
  <w:num w:numId="29">
    <w:abstractNumId w:val="21"/>
  </w:num>
  <w:num w:numId="30">
    <w:abstractNumId w:val="24"/>
  </w:num>
  <w:num w:numId="31">
    <w:abstractNumId w:val="15"/>
  </w:num>
  <w:num w:numId="32">
    <w:abstractNumId w:val="8"/>
  </w:num>
  <w:num w:numId="33">
    <w:abstractNumId w:val="29"/>
  </w:num>
  <w:num w:numId="34">
    <w:abstractNumId w:val="30"/>
  </w:num>
  <w:num w:numId="35">
    <w:abstractNumId w:val="28"/>
  </w:num>
  <w:num w:numId="36">
    <w:abstractNumId w:val="16"/>
  </w:num>
  <w:num w:numId="37">
    <w:abstractNumId w:val="4"/>
  </w:num>
  <w:num w:numId="38">
    <w:abstractNumId w:val="38"/>
  </w:num>
  <w:num w:numId="39">
    <w:abstractNumId w:val="19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94"/>
    <w:rsid w:val="00005294"/>
    <w:rsid w:val="00135233"/>
    <w:rsid w:val="002100F0"/>
    <w:rsid w:val="00285868"/>
    <w:rsid w:val="002A1F2F"/>
    <w:rsid w:val="002B6B63"/>
    <w:rsid w:val="003D28A5"/>
    <w:rsid w:val="003F1BD9"/>
    <w:rsid w:val="004322DD"/>
    <w:rsid w:val="005B3365"/>
    <w:rsid w:val="0060087B"/>
    <w:rsid w:val="00610C60"/>
    <w:rsid w:val="006F584D"/>
    <w:rsid w:val="008C71AD"/>
    <w:rsid w:val="00A452C6"/>
    <w:rsid w:val="00A57399"/>
    <w:rsid w:val="00A841E0"/>
    <w:rsid w:val="00AA7DE7"/>
    <w:rsid w:val="00AB7C92"/>
    <w:rsid w:val="00AF0B96"/>
    <w:rsid w:val="00B362B1"/>
    <w:rsid w:val="00D33EDC"/>
    <w:rsid w:val="00DA2F9A"/>
    <w:rsid w:val="00DC0F6A"/>
    <w:rsid w:val="00E073FA"/>
    <w:rsid w:val="00EE0934"/>
    <w:rsid w:val="00F153C4"/>
    <w:rsid w:val="00F3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44BC9-A623-494C-BC5A-4AAC118F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60087B"/>
    <w:rPr>
      <w:sz w:val="24"/>
      <w:szCs w:val="24"/>
    </w:rPr>
  </w:style>
  <w:style w:type="paragraph" w:styleId="Nadpis1">
    <w:name w:val="heading 1"/>
    <w:basedOn w:val="Normln"/>
    <w:next w:val="Normln"/>
    <w:qFormat/>
    <w:rsid w:val="006008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0087B"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sid w:val="0060087B"/>
    <w:rPr>
      <w:rFonts w:ascii="Arial" w:hAnsi="Arial"/>
      <w:color w:val="0000FF"/>
      <w:sz w:val="20"/>
    </w:rPr>
  </w:style>
  <w:style w:type="character" w:customStyle="1" w:styleId="erven">
    <w:name w:val="červený"/>
    <w:rsid w:val="0060087B"/>
    <w:rPr>
      <w:rFonts w:ascii="Tahoma" w:hAnsi="Tahoma"/>
      <w:b/>
      <w:color w:val="FF0000"/>
    </w:rPr>
  </w:style>
  <w:style w:type="paragraph" w:customStyle="1" w:styleId="modr0">
    <w:name w:val="modrý"/>
    <w:basedOn w:val="Nadpis1"/>
    <w:rsid w:val="0060087B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rsid w:val="0060087B"/>
    <w:pPr>
      <w:spacing w:after="120"/>
    </w:pPr>
  </w:style>
  <w:style w:type="paragraph" w:customStyle="1" w:styleId="kurz">
    <w:name w:val="kurz"/>
    <w:basedOn w:val="Normln"/>
    <w:rsid w:val="0060087B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rsid w:val="0060087B"/>
    <w:pPr>
      <w:numPr>
        <w:numId w:val="2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rsid w:val="0060087B"/>
    <w:pPr>
      <w:numPr>
        <w:numId w:val="3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rsid w:val="0060087B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60087B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rsid w:val="0060087B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60087B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rsid w:val="0060087B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rsid w:val="0060087B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Normlnweb">
    <w:name w:val="Normal (Web)"/>
    <w:basedOn w:val="Normln"/>
    <w:rsid w:val="00285868"/>
    <w:pPr>
      <w:spacing w:before="96" w:after="96"/>
    </w:pPr>
  </w:style>
  <w:style w:type="character" w:styleId="Hypertextovodkaz">
    <w:name w:val="Hyperlink"/>
    <w:basedOn w:val="Standardnpsmoodstavce"/>
    <w:rsid w:val="00A573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rsid w:val="00A57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1545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dc:description/>
  <cp:lastModifiedBy>Morávková Věra</cp:lastModifiedBy>
  <cp:revision>7</cp:revision>
  <cp:lastPrinted>2006-05-02T09:18:00Z</cp:lastPrinted>
  <dcterms:created xsi:type="dcterms:W3CDTF">2023-03-27T08:37:00Z</dcterms:created>
  <dcterms:modified xsi:type="dcterms:W3CDTF">2023-04-05T08:17:00Z</dcterms:modified>
</cp:coreProperties>
</file>