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D0" w:rsidRPr="004D2995" w:rsidRDefault="00D83FD0" w:rsidP="00DA1CBE">
      <w:pPr>
        <w:pStyle w:val="TERE2"/>
        <w:jc w:val="center"/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 xml:space="preserve">B. </w:t>
      </w:r>
      <w:r w:rsidR="00DA1CBE" w:rsidRPr="004D2995">
        <w:rPr>
          <w:sz w:val="22"/>
          <w:szCs w:val="22"/>
          <w:lang w:val="cs-CZ"/>
        </w:rPr>
        <w:t>PŘÍBALOVÁ INFORMACE</w:t>
      </w:r>
    </w:p>
    <w:p w:rsidR="00617E19" w:rsidRPr="004D2995" w:rsidRDefault="00617E19" w:rsidP="00617E19">
      <w:pPr>
        <w:jc w:val="center"/>
        <w:rPr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PŘÍBALOVÁ INFORMACE</w:t>
      </w:r>
    </w:p>
    <w:p w:rsidR="004B2AFE" w:rsidRPr="004D2995" w:rsidRDefault="004B2AFE" w:rsidP="00D83FD0">
      <w:pPr>
        <w:ind w:right="113"/>
        <w:jc w:val="center"/>
        <w:rPr>
          <w:sz w:val="22"/>
          <w:szCs w:val="22"/>
          <w:lang w:val="cs-CZ"/>
        </w:rPr>
      </w:pPr>
    </w:p>
    <w:p w:rsidR="00617E19" w:rsidRPr="004D2995" w:rsidRDefault="00617E19" w:rsidP="00617E19">
      <w:pPr>
        <w:jc w:val="center"/>
        <w:rPr>
          <w:b/>
          <w:sz w:val="22"/>
          <w:szCs w:val="22"/>
          <w:lang w:val="cs-CZ"/>
        </w:rPr>
      </w:pPr>
      <w:proofErr w:type="spellStart"/>
      <w:r w:rsidRPr="004D2995">
        <w:rPr>
          <w:b/>
          <w:sz w:val="22"/>
          <w:szCs w:val="22"/>
          <w:lang w:val="cs-CZ"/>
        </w:rPr>
        <w:t>Alzane</w:t>
      </w:r>
      <w:proofErr w:type="spellEnd"/>
      <w:r w:rsidRPr="004D2995">
        <w:rPr>
          <w:b/>
          <w:sz w:val="22"/>
          <w:szCs w:val="22"/>
          <w:lang w:val="cs-CZ"/>
        </w:rPr>
        <w:t xml:space="preserve"> 5 mg/ml injekční roztok pro psy a kočky</w:t>
      </w:r>
    </w:p>
    <w:p w:rsidR="00D83FD0" w:rsidRPr="004D2995" w:rsidRDefault="00D83FD0" w:rsidP="004B2AFE">
      <w:pPr>
        <w:ind w:left="567" w:hanging="567"/>
        <w:jc w:val="center"/>
        <w:rPr>
          <w:sz w:val="22"/>
          <w:szCs w:val="22"/>
          <w:lang w:val="cs-CZ"/>
        </w:rPr>
      </w:pPr>
    </w:p>
    <w:p w:rsidR="00D83FD0" w:rsidRPr="004D2995" w:rsidRDefault="00D83FD0" w:rsidP="00D83FD0">
      <w:pPr>
        <w:ind w:left="567" w:hanging="567"/>
        <w:rPr>
          <w:sz w:val="22"/>
          <w:szCs w:val="22"/>
          <w:lang w:val="cs-CZ"/>
        </w:rPr>
      </w:pPr>
    </w:p>
    <w:p w:rsidR="00617E19" w:rsidRPr="004D2995" w:rsidRDefault="00617E19" w:rsidP="00617E19">
      <w:pPr>
        <w:rPr>
          <w:b/>
          <w:sz w:val="22"/>
          <w:szCs w:val="22"/>
          <w:lang w:val="cs-CZ"/>
        </w:rPr>
      </w:pPr>
      <w:proofErr w:type="gramStart"/>
      <w:r w:rsidRPr="004D2995">
        <w:rPr>
          <w:b/>
          <w:sz w:val="22"/>
          <w:szCs w:val="22"/>
          <w:lang w:val="cs-CZ"/>
        </w:rPr>
        <w:t>1.        JMÉNO</w:t>
      </w:r>
      <w:proofErr w:type="gramEnd"/>
      <w:r w:rsidRPr="004D2995">
        <w:rPr>
          <w:b/>
          <w:sz w:val="22"/>
          <w:szCs w:val="22"/>
          <w:lang w:val="cs-CZ"/>
        </w:rPr>
        <w:t xml:space="preserve"> A ADRESA DRŽITELE ROZHODNUTÍ O REGISTRACI A DRŽITELE POVOLENÍ K VÝROBĚ ODPOVĚDNÉHO ZA UVOLNĚNÍ ŠARŽE, POKUD SE NESHODUJE</w:t>
      </w:r>
    </w:p>
    <w:p w:rsidR="00617E19" w:rsidRPr="004D2995" w:rsidRDefault="00617E19" w:rsidP="00617E19">
      <w:pPr>
        <w:rPr>
          <w:b/>
          <w:sz w:val="22"/>
          <w:szCs w:val="22"/>
          <w:lang w:val="cs-CZ"/>
        </w:rPr>
      </w:pPr>
    </w:p>
    <w:p w:rsidR="004B2AFE" w:rsidRPr="004D2995" w:rsidRDefault="00617E19" w:rsidP="00617E19">
      <w:pPr>
        <w:rPr>
          <w:iCs/>
          <w:sz w:val="22"/>
          <w:szCs w:val="22"/>
          <w:lang w:val="cs-CZ"/>
        </w:rPr>
      </w:pPr>
      <w:r w:rsidRPr="00187716">
        <w:rPr>
          <w:sz w:val="22"/>
          <w:szCs w:val="22"/>
          <w:u w:val="single"/>
          <w:lang w:val="cs-CZ"/>
        </w:rPr>
        <w:t>Držitel rozhodnutí o registraci a výrobce</w:t>
      </w:r>
      <w:r w:rsidR="00457D6F" w:rsidRPr="00187716">
        <w:rPr>
          <w:sz w:val="22"/>
          <w:szCs w:val="22"/>
          <w:u w:val="single"/>
          <w:lang w:val="cs-CZ"/>
        </w:rPr>
        <w:t xml:space="preserve"> odpovědný za uvolnění šarže</w:t>
      </w:r>
      <w:r w:rsidRPr="00187716">
        <w:rPr>
          <w:sz w:val="22"/>
          <w:szCs w:val="22"/>
          <w:lang w:val="cs-CZ"/>
        </w:rPr>
        <w:t xml:space="preserve">: </w:t>
      </w:r>
      <w:proofErr w:type="spellStart"/>
      <w:r w:rsidR="004B2AFE" w:rsidRPr="00187716">
        <w:rPr>
          <w:sz w:val="22"/>
          <w:szCs w:val="22"/>
          <w:lang w:val="cs-CZ"/>
        </w:rPr>
        <w:t>Laboratorios</w:t>
      </w:r>
      <w:proofErr w:type="spellEnd"/>
      <w:r w:rsidR="004B2AFE" w:rsidRPr="00187716">
        <w:rPr>
          <w:sz w:val="22"/>
          <w:szCs w:val="22"/>
          <w:lang w:val="cs-CZ"/>
        </w:rPr>
        <w:t xml:space="preserve"> SYVA </w:t>
      </w:r>
      <w:proofErr w:type="gramStart"/>
      <w:r w:rsidR="004B2AFE" w:rsidRPr="00187716">
        <w:rPr>
          <w:sz w:val="22"/>
          <w:szCs w:val="22"/>
          <w:lang w:val="cs-CZ"/>
        </w:rPr>
        <w:t>S.A</w:t>
      </w:r>
      <w:r w:rsidR="00033B45" w:rsidRPr="00187716">
        <w:rPr>
          <w:sz w:val="22"/>
          <w:szCs w:val="22"/>
          <w:lang w:val="cs-CZ"/>
        </w:rPr>
        <w:t>.</w:t>
      </w:r>
      <w:proofErr w:type="gramEnd"/>
      <w:r w:rsidR="00033B45" w:rsidRPr="00187716">
        <w:rPr>
          <w:sz w:val="22"/>
          <w:szCs w:val="22"/>
          <w:lang w:val="cs-CZ"/>
        </w:rPr>
        <w:t>U.</w:t>
      </w:r>
      <w:r w:rsidR="004B2AFE" w:rsidRPr="00187716">
        <w:rPr>
          <w:sz w:val="22"/>
          <w:szCs w:val="22"/>
          <w:lang w:val="cs-CZ"/>
        </w:rPr>
        <w:t xml:space="preserve">, </w:t>
      </w:r>
      <w:proofErr w:type="spellStart"/>
      <w:r w:rsidR="004B2AFE" w:rsidRPr="00187716">
        <w:rPr>
          <w:sz w:val="22"/>
          <w:szCs w:val="22"/>
          <w:lang w:val="cs-CZ"/>
        </w:rPr>
        <w:t>Avda</w:t>
      </w:r>
      <w:proofErr w:type="spellEnd"/>
      <w:r w:rsidR="004B2AFE" w:rsidRPr="00187716">
        <w:rPr>
          <w:sz w:val="22"/>
          <w:szCs w:val="22"/>
          <w:lang w:val="cs-CZ"/>
        </w:rPr>
        <w:t xml:space="preserve">. </w:t>
      </w:r>
      <w:proofErr w:type="spellStart"/>
      <w:r w:rsidR="004B2AFE" w:rsidRPr="00187716">
        <w:rPr>
          <w:sz w:val="22"/>
          <w:szCs w:val="22"/>
          <w:lang w:val="cs-CZ"/>
        </w:rPr>
        <w:t>Párroco</w:t>
      </w:r>
      <w:proofErr w:type="spellEnd"/>
      <w:r w:rsidR="004B2AFE" w:rsidRPr="00187716">
        <w:rPr>
          <w:sz w:val="22"/>
          <w:szCs w:val="22"/>
          <w:lang w:val="cs-CZ"/>
        </w:rPr>
        <w:t xml:space="preserve"> Pablo </w:t>
      </w:r>
      <w:proofErr w:type="spellStart"/>
      <w:r w:rsidR="004B2AFE" w:rsidRPr="00187716">
        <w:rPr>
          <w:sz w:val="22"/>
          <w:szCs w:val="22"/>
          <w:lang w:val="cs-CZ"/>
        </w:rPr>
        <w:t>Díez</w:t>
      </w:r>
      <w:proofErr w:type="spellEnd"/>
      <w:r w:rsidR="004B2AFE" w:rsidRPr="00187716">
        <w:rPr>
          <w:sz w:val="22"/>
          <w:szCs w:val="22"/>
          <w:lang w:val="cs-CZ"/>
        </w:rPr>
        <w:t xml:space="preserve"> 49-57, 24010 Leon, </w:t>
      </w:r>
      <w:proofErr w:type="spellStart"/>
      <w:r w:rsidR="004B2AFE" w:rsidRPr="00187716">
        <w:rPr>
          <w:sz w:val="22"/>
          <w:szCs w:val="22"/>
          <w:lang w:val="cs-CZ"/>
        </w:rPr>
        <w:t>Spain</w:t>
      </w:r>
      <w:proofErr w:type="spellEnd"/>
      <w:r w:rsidR="004B2AFE" w:rsidRPr="00187716">
        <w:rPr>
          <w:sz w:val="22"/>
          <w:szCs w:val="22"/>
          <w:lang w:val="cs-CZ"/>
        </w:rPr>
        <w:t xml:space="preserve"> </w:t>
      </w:r>
    </w:p>
    <w:p w:rsidR="00D83FD0" w:rsidRPr="004D2995" w:rsidRDefault="00D83FD0" w:rsidP="00D83FD0">
      <w:pPr>
        <w:ind w:left="567" w:hanging="567"/>
        <w:rPr>
          <w:sz w:val="22"/>
          <w:szCs w:val="22"/>
          <w:lang w:val="cs-CZ"/>
        </w:rPr>
      </w:pPr>
    </w:p>
    <w:p w:rsidR="00D83FD0" w:rsidRPr="004D2995" w:rsidRDefault="00D83FD0" w:rsidP="00D83FD0">
      <w:pPr>
        <w:ind w:left="567" w:hanging="567"/>
        <w:rPr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2.</w:t>
      </w:r>
      <w:r w:rsidRPr="004D2995">
        <w:rPr>
          <w:b/>
          <w:sz w:val="22"/>
          <w:szCs w:val="22"/>
          <w:lang w:val="cs-CZ"/>
        </w:rPr>
        <w:tab/>
      </w:r>
      <w:r w:rsidR="00617E19" w:rsidRPr="004D2995">
        <w:rPr>
          <w:b/>
          <w:sz w:val="22"/>
          <w:szCs w:val="22"/>
          <w:lang w:val="cs-CZ"/>
        </w:rPr>
        <w:t>NÁZEV VETERINÁRNÍHO LÉČIVÉHO PŘÍPRAVKU</w:t>
      </w:r>
    </w:p>
    <w:p w:rsidR="00D83FD0" w:rsidRPr="004D2995" w:rsidRDefault="00D83FD0" w:rsidP="00D83FD0">
      <w:pPr>
        <w:rPr>
          <w:sz w:val="22"/>
          <w:szCs w:val="22"/>
          <w:lang w:val="cs-CZ"/>
        </w:rPr>
      </w:pPr>
    </w:p>
    <w:p w:rsidR="00617E19" w:rsidRPr="004D2995" w:rsidRDefault="00617E19" w:rsidP="00617E19">
      <w:pPr>
        <w:rPr>
          <w:sz w:val="22"/>
          <w:szCs w:val="22"/>
          <w:lang w:val="cs-CZ"/>
        </w:rPr>
      </w:pPr>
      <w:proofErr w:type="spellStart"/>
      <w:r w:rsidRPr="004D2995">
        <w:rPr>
          <w:sz w:val="22"/>
          <w:szCs w:val="22"/>
          <w:lang w:val="cs-CZ"/>
        </w:rPr>
        <w:t>Alzane</w:t>
      </w:r>
      <w:proofErr w:type="spellEnd"/>
      <w:r w:rsidRPr="004D2995">
        <w:rPr>
          <w:sz w:val="22"/>
          <w:szCs w:val="22"/>
          <w:lang w:val="cs-CZ"/>
        </w:rPr>
        <w:t xml:space="preserve"> 5 mg/ml injekční roztok pro psy a kočky</w:t>
      </w:r>
    </w:p>
    <w:p w:rsidR="00D83FD0" w:rsidRPr="004D2995" w:rsidRDefault="00B01F01" w:rsidP="00D83FD0">
      <w:pPr>
        <w:rPr>
          <w:sz w:val="22"/>
          <w:szCs w:val="22"/>
          <w:lang w:val="cs-CZ"/>
        </w:rPr>
      </w:pPr>
      <w:proofErr w:type="spellStart"/>
      <w:r w:rsidRPr="004D2995">
        <w:rPr>
          <w:sz w:val="22"/>
          <w:szCs w:val="22"/>
          <w:lang w:val="cs-CZ"/>
        </w:rPr>
        <w:t>A</w:t>
      </w:r>
      <w:r w:rsidR="00617E19" w:rsidRPr="004D2995">
        <w:rPr>
          <w:sz w:val="22"/>
          <w:szCs w:val="22"/>
          <w:lang w:val="cs-CZ"/>
        </w:rPr>
        <w:t>tipamezol</w:t>
      </w:r>
      <w:r w:rsidR="00162D52" w:rsidRPr="004D2995">
        <w:rPr>
          <w:sz w:val="22"/>
          <w:szCs w:val="22"/>
          <w:lang w:val="cs-CZ"/>
        </w:rPr>
        <w:t>i</w:t>
      </w:r>
      <w:proofErr w:type="spellEnd"/>
      <w:r w:rsidR="00617E19" w:rsidRPr="004D2995">
        <w:rPr>
          <w:sz w:val="22"/>
          <w:szCs w:val="22"/>
          <w:lang w:val="cs-CZ"/>
        </w:rPr>
        <w:t xml:space="preserve"> </w:t>
      </w:r>
      <w:proofErr w:type="spellStart"/>
      <w:r w:rsidR="00617E19" w:rsidRPr="004D2995">
        <w:rPr>
          <w:sz w:val="22"/>
          <w:szCs w:val="22"/>
          <w:lang w:val="cs-CZ"/>
        </w:rPr>
        <w:t>hydrochlorid</w:t>
      </w:r>
      <w:r w:rsidR="00162D52" w:rsidRPr="004D2995">
        <w:rPr>
          <w:sz w:val="22"/>
          <w:szCs w:val="22"/>
          <w:lang w:val="cs-CZ"/>
        </w:rPr>
        <w:t>um</w:t>
      </w:r>
      <w:proofErr w:type="spellEnd"/>
    </w:p>
    <w:p w:rsidR="00D83FD0" w:rsidRPr="004D2995" w:rsidRDefault="00D83FD0" w:rsidP="00D83FD0">
      <w:pPr>
        <w:rPr>
          <w:sz w:val="22"/>
          <w:szCs w:val="22"/>
          <w:lang w:val="cs-CZ"/>
        </w:rPr>
      </w:pPr>
    </w:p>
    <w:p w:rsidR="00D83FD0" w:rsidRPr="004D2995" w:rsidRDefault="00D83FD0" w:rsidP="00D83FD0">
      <w:pPr>
        <w:ind w:left="567" w:hanging="567"/>
        <w:rPr>
          <w:b/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3.</w:t>
      </w:r>
      <w:r w:rsidRPr="004D2995">
        <w:rPr>
          <w:b/>
          <w:sz w:val="22"/>
          <w:szCs w:val="22"/>
          <w:lang w:val="cs-CZ"/>
        </w:rPr>
        <w:tab/>
      </w:r>
      <w:r w:rsidR="00617E19" w:rsidRPr="004D2995">
        <w:rPr>
          <w:b/>
          <w:sz w:val="22"/>
          <w:szCs w:val="22"/>
          <w:lang w:val="cs-CZ"/>
        </w:rPr>
        <w:t>OBSAH LÉČIVÝCH A OSTATNÍCH LÁTEK</w:t>
      </w:r>
    </w:p>
    <w:p w:rsidR="00D83FD0" w:rsidRPr="004D2995" w:rsidRDefault="00D83FD0" w:rsidP="00D83FD0">
      <w:pPr>
        <w:rPr>
          <w:iCs/>
          <w:sz w:val="22"/>
          <w:szCs w:val="22"/>
          <w:lang w:val="cs-CZ"/>
        </w:rPr>
      </w:pPr>
    </w:p>
    <w:p w:rsidR="00D83FD0" w:rsidRPr="00187716" w:rsidRDefault="00794678" w:rsidP="00D83FD0">
      <w:pPr>
        <w:rPr>
          <w:sz w:val="22"/>
          <w:szCs w:val="22"/>
          <w:lang w:val="cs-CZ"/>
        </w:rPr>
      </w:pPr>
      <w:r w:rsidRPr="00187716">
        <w:rPr>
          <w:sz w:val="22"/>
          <w:szCs w:val="22"/>
          <w:lang w:val="cs-CZ"/>
        </w:rPr>
        <w:t>Přípravek je čirý</w:t>
      </w:r>
      <w:r w:rsidR="00162D52" w:rsidRPr="004D2995">
        <w:rPr>
          <w:sz w:val="22"/>
          <w:szCs w:val="22"/>
          <w:lang w:val="cs-CZ"/>
        </w:rPr>
        <w:t xml:space="preserve"> a </w:t>
      </w:r>
      <w:r w:rsidRPr="004D2995">
        <w:rPr>
          <w:sz w:val="22"/>
          <w:szCs w:val="22"/>
          <w:lang w:val="cs-CZ"/>
        </w:rPr>
        <w:t>bezbarvý sterilní vodný roztok</w:t>
      </w:r>
      <w:r w:rsidR="00457D6F" w:rsidRPr="004D2995">
        <w:rPr>
          <w:sz w:val="22"/>
          <w:szCs w:val="22"/>
          <w:lang w:val="cs-CZ"/>
        </w:rPr>
        <w:t xml:space="preserve">. Každý </w:t>
      </w:r>
      <w:r w:rsidR="00162D52" w:rsidRPr="004D2995">
        <w:rPr>
          <w:sz w:val="22"/>
          <w:szCs w:val="22"/>
          <w:lang w:val="cs-CZ"/>
        </w:rPr>
        <w:t xml:space="preserve">1 </w:t>
      </w:r>
      <w:r w:rsidR="00457D6F" w:rsidRPr="004D2995">
        <w:rPr>
          <w:sz w:val="22"/>
          <w:szCs w:val="22"/>
          <w:lang w:val="cs-CZ"/>
        </w:rPr>
        <w:t xml:space="preserve">ml roztoku </w:t>
      </w:r>
      <w:r w:rsidRPr="004D2995">
        <w:rPr>
          <w:sz w:val="22"/>
          <w:szCs w:val="22"/>
          <w:lang w:val="cs-CZ"/>
        </w:rPr>
        <w:t>obsahuj</w:t>
      </w:r>
      <w:r w:rsidR="00457D6F" w:rsidRPr="004D2995">
        <w:rPr>
          <w:sz w:val="22"/>
          <w:szCs w:val="22"/>
          <w:lang w:val="cs-CZ"/>
        </w:rPr>
        <w:t>e</w:t>
      </w:r>
      <w:r w:rsidRPr="00187716">
        <w:rPr>
          <w:sz w:val="22"/>
          <w:szCs w:val="22"/>
          <w:lang w:val="cs-CZ"/>
        </w:rPr>
        <w:t xml:space="preserve"> 5 mg </w:t>
      </w:r>
      <w:proofErr w:type="spellStart"/>
      <w:r w:rsidR="00457D6F" w:rsidRPr="004D2995">
        <w:rPr>
          <w:sz w:val="22"/>
          <w:szCs w:val="22"/>
          <w:lang w:val="cs-CZ"/>
        </w:rPr>
        <w:t>a</w:t>
      </w:r>
      <w:r w:rsidRPr="004D2995">
        <w:rPr>
          <w:sz w:val="22"/>
          <w:szCs w:val="22"/>
          <w:lang w:val="cs-CZ"/>
        </w:rPr>
        <w:t>tipamezol</w:t>
      </w:r>
      <w:r w:rsidR="00BF356C" w:rsidRPr="004D2995">
        <w:rPr>
          <w:sz w:val="22"/>
          <w:szCs w:val="22"/>
          <w:lang w:val="cs-CZ"/>
        </w:rPr>
        <w:t>i</w:t>
      </w:r>
      <w:proofErr w:type="spellEnd"/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4D2995">
        <w:rPr>
          <w:sz w:val="22"/>
          <w:szCs w:val="22"/>
          <w:lang w:val="cs-CZ"/>
        </w:rPr>
        <w:t>hydrochloridu</w:t>
      </w:r>
      <w:r w:rsidR="00BF356C" w:rsidRPr="004D2995">
        <w:rPr>
          <w:sz w:val="22"/>
          <w:szCs w:val="22"/>
          <w:lang w:val="cs-CZ"/>
        </w:rPr>
        <w:t>m</w:t>
      </w:r>
      <w:proofErr w:type="spellEnd"/>
      <w:r w:rsidRPr="00187716">
        <w:rPr>
          <w:sz w:val="22"/>
          <w:szCs w:val="22"/>
          <w:lang w:val="cs-CZ"/>
        </w:rPr>
        <w:t xml:space="preserve"> (</w:t>
      </w:r>
      <w:r w:rsidR="00BF356C" w:rsidRPr="00187716">
        <w:rPr>
          <w:sz w:val="22"/>
          <w:szCs w:val="22"/>
          <w:lang w:val="cs-CZ"/>
        </w:rPr>
        <w:t xml:space="preserve">léčivá </w:t>
      </w:r>
      <w:r w:rsidRPr="00187716">
        <w:rPr>
          <w:sz w:val="22"/>
          <w:szCs w:val="22"/>
          <w:lang w:val="cs-CZ"/>
        </w:rPr>
        <w:t>látka)</w:t>
      </w:r>
      <w:r w:rsidR="00162D52" w:rsidRPr="004D2995">
        <w:rPr>
          <w:sz w:val="22"/>
          <w:szCs w:val="22"/>
          <w:lang w:val="cs-CZ"/>
        </w:rPr>
        <w:t xml:space="preserve"> a</w:t>
      </w:r>
      <w:r w:rsidR="00BF356C" w:rsidRPr="004D2995">
        <w:rPr>
          <w:sz w:val="22"/>
          <w:szCs w:val="22"/>
          <w:lang w:val="cs-CZ"/>
        </w:rPr>
        <w:t xml:space="preserve"> dále </w:t>
      </w:r>
      <w:r w:rsidR="00162D52" w:rsidRPr="004D2995">
        <w:rPr>
          <w:sz w:val="22"/>
          <w:szCs w:val="22"/>
          <w:lang w:val="cs-CZ"/>
        </w:rPr>
        <w:t>1 mg</w:t>
      </w:r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4D2995">
        <w:rPr>
          <w:sz w:val="22"/>
          <w:szCs w:val="22"/>
          <w:lang w:val="cs-CZ"/>
        </w:rPr>
        <w:t>methylparaben</w:t>
      </w:r>
      <w:r w:rsidR="00162D52" w:rsidRPr="004D2995">
        <w:rPr>
          <w:sz w:val="22"/>
          <w:szCs w:val="22"/>
          <w:lang w:val="cs-CZ"/>
        </w:rPr>
        <w:t>u</w:t>
      </w:r>
      <w:proofErr w:type="spellEnd"/>
      <w:r w:rsidRPr="00187716">
        <w:rPr>
          <w:sz w:val="22"/>
          <w:szCs w:val="22"/>
          <w:lang w:val="cs-CZ"/>
        </w:rPr>
        <w:t xml:space="preserve"> (E218)</w:t>
      </w:r>
      <w:r w:rsidR="00162D52" w:rsidRPr="00187716">
        <w:rPr>
          <w:sz w:val="22"/>
          <w:szCs w:val="22"/>
          <w:lang w:val="cs-CZ"/>
        </w:rPr>
        <w:t xml:space="preserve"> jako </w:t>
      </w:r>
      <w:proofErr w:type="spellStart"/>
      <w:r w:rsidR="00162D52" w:rsidRPr="00187716">
        <w:rPr>
          <w:sz w:val="22"/>
          <w:szCs w:val="22"/>
          <w:lang w:val="cs-CZ"/>
        </w:rPr>
        <w:t>konzervantu</w:t>
      </w:r>
      <w:proofErr w:type="spellEnd"/>
      <w:r w:rsidR="00457D6F" w:rsidRPr="00187716">
        <w:rPr>
          <w:sz w:val="22"/>
          <w:szCs w:val="22"/>
          <w:lang w:val="cs-CZ"/>
        </w:rPr>
        <w:t>.</w:t>
      </w:r>
    </w:p>
    <w:p w:rsidR="00794678" w:rsidRPr="00187716" w:rsidRDefault="00794678" w:rsidP="00D83FD0">
      <w:pPr>
        <w:rPr>
          <w:sz w:val="22"/>
          <w:szCs w:val="22"/>
          <w:lang w:val="cs-CZ"/>
        </w:rPr>
      </w:pPr>
    </w:p>
    <w:p w:rsidR="00794678" w:rsidRPr="004D2995" w:rsidRDefault="00794678" w:rsidP="00794678">
      <w:pPr>
        <w:rPr>
          <w:b/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4.        INDIKACE</w:t>
      </w:r>
    </w:p>
    <w:p w:rsidR="00D83FD0" w:rsidRPr="004D2995" w:rsidRDefault="00D83FD0" w:rsidP="00D83FD0">
      <w:pPr>
        <w:rPr>
          <w:sz w:val="22"/>
          <w:szCs w:val="22"/>
          <w:lang w:val="cs-CZ"/>
        </w:rPr>
      </w:pPr>
    </w:p>
    <w:p w:rsidR="008B7A4B" w:rsidRPr="004D2995" w:rsidRDefault="008B7A4B" w:rsidP="008B7A4B">
      <w:pPr>
        <w:tabs>
          <w:tab w:val="left" w:pos="4536"/>
          <w:tab w:val="left" w:pos="5103"/>
        </w:tabs>
        <w:ind w:firstLine="12"/>
        <w:rPr>
          <w:sz w:val="22"/>
          <w:szCs w:val="22"/>
          <w:lang w:val="cs-CZ"/>
        </w:rPr>
      </w:pPr>
      <w:proofErr w:type="spellStart"/>
      <w:r w:rsidRPr="004D2995">
        <w:rPr>
          <w:sz w:val="22"/>
          <w:szCs w:val="22"/>
          <w:lang w:val="cs-CZ"/>
        </w:rPr>
        <w:t>Atipamezol</w:t>
      </w:r>
      <w:proofErr w:type="spellEnd"/>
      <w:r w:rsidRPr="004D2995">
        <w:rPr>
          <w:sz w:val="22"/>
          <w:szCs w:val="22"/>
          <w:lang w:val="cs-CZ"/>
        </w:rPr>
        <w:t xml:space="preserve"> </w:t>
      </w:r>
      <w:proofErr w:type="spellStart"/>
      <w:r w:rsidRPr="004D2995">
        <w:rPr>
          <w:sz w:val="22"/>
          <w:szCs w:val="22"/>
          <w:lang w:val="cs-CZ"/>
        </w:rPr>
        <w:t>hydrochlorid</w:t>
      </w:r>
      <w:proofErr w:type="spellEnd"/>
      <w:r w:rsidRPr="004D2995">
        <w:rPr>
          <w:sz w:val="22"/>
          <w:szCs w:val="22"/>
          <w:lang w:val="cs-CZ"/>
        </w:rPr>
        <w:t xml:space="preserve"> je selektivní α2-antagonista indikovaný ke zrušení sedativních účinků </w:t>
      </w:r>
      <w:proofErr w:type="spellStart"/>
      <w:r w:rsidRPr="004D2995">
        <w:rPr>
          <w:sz w:val="22"/>
          <w:szCs w:val="22"/>
          <w:lang w:val="cs-CZ"/>
        </w:rPr>
        <w:t>medetomidinu</w:t>
      </w:r>
      <w:proofErr w:type="spellEnd"/>
      <w:r w:rsidRPr="004D2995">
        <w:rPr>
          <w:sz w:val="22"/>
          <w:szCs w:val="22"/>
          <w:lang w:val="cs-CZ"/>
        </w:rPr>
        <w:t xml:space="preserve"> nebo </w:t>
      </w:r>
      <w:proofErr w:type="spellStart"/>
      <w:r w:rsidRPr="004D2995">
        <w:rPr>
          <w:sz w:val="22"/>
          <w:szCs w:val="22"/>
          <w:lang w:val="cs-CZ"/>
        </w:rPr>
        <w:t>dexmedetomidinu</w:t>
      </w:r>
      <w:proofErr w:type="spellEnd"/>
      <w:r w:rsidRPr="004D2995">
        <w:rPr>
          <w:sz w:val="22"/>
          <w:szCs w:val="22"/>
          <w:lang w:val="cs-CZ"/>
        </w:rPr>
        <w:t xml:space="preserve"> u psů a koček.</w:t>
      </w:r>
    </w:p>
    <w:p w:rsidR="00D83FD0" w:rsidRPr="004D2995" w:rsidRDefault="00D83FD0" w:rsidP="00D83FD0">
      <w:pPr>
        <w:rPr>
          <w:sz w:val="22"/>
          <w:szCs w:val="22"/>
          <w:lang w:val="cs-CZ"/>
        </w:rPr>
      </w:pPr>
    </w:p>
    <w:p w:rsidR="00794678" w:rsidRPr="004D2995" w:rsidRDefault="00794678" w:rsidP="00794678">
      <w:pPr>
        <w:rPr>
          <w:b/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5.        KONTRAINDIKACE</w:t>
      </w:r>
    </w:p>
    <w:p w:rsidR="00D83FD0" w:rsidRPr="004D2995" w:rsidRDefault="00D83FD0" w:rsidP="00D83FD0">
      <w:pPr>
        <w:rPr>
          <w:sz w:val="22"/>
          <w:szCs w:val="22"/>
          <w:lang w:val="cs-CZ"/>
        </w:rPr>
      </w:pPr>
    </w:p>
    <w:p w:rsidR="003576A2" w:rsidRPr="00187716" w:rsidRDefault="003576A2" w:rsidP="003576A2">
      <w:pPr>
        <w:rPr>
          <w:sz w:val="22"/>
          <w:szCs w:val="22"/>
          <w:lang w:val="cs-CZ"/>
        </w:rPr>
      </w:pPr>
      <w:r w:rsidRPr="00187716">
        <w:rPr>
          <w:sz w:val="22"/>
          <w:szCs w:val="22"/>
          <w:lang w:val="cs-CZ"/>
        </w:rPr>
        <w:t>Nepoužívat u zvířat se známou přecitlivělostí na léčivou látku nebo na některou z pomocných látek.</w:t>
      </w:r>
    </w:p>
    <w:p w:rsidR="003576A2" w:rsidRPr="004D2995" w:rsidRDefault="003576A2" w:rsidP="00D83FD0">
      <w:pPr>
        <w:rPr>
          <w:sz w:val="22"/>
          <w:szCs w:val="22"/>
          <w:lang w:val="cs-CZ"/>
        </w:rPr>
      </w:pPr>
    </w:p>
    <w:p w:rsidR="008B7A4B" w:rsidRPr="004D2995" w:rsidRDefault="008B7A4B" w:rsidP="008B7A4B">
      <w:pPr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 xml:space="preserve">Nepoužívat u chovných zvířat nebo u zvířat trpících jaterními, ledvinovými nebo srdečními chorobami. </w:t>
      </w:r>
    </w:p>
    <w:p w:rsidR="00794678" w:rsidRPr="004D2995" w:rsidRDefault="00794678" w:rsidP="00794678">
      <w:pPr>
        <w:rPr>
          <w:sz w:val="22"/>
          <w:szCs w:val="22"/>
          <w:lang w:val="cs-CZ"/>
        </w:rPr>
      </w:pPr>
    </w:p>
    <w:p w:rsidR="00794678" w:rsidRPr="004D2995" w:rsidRDefault="008B7A4B" w:rsidP="00794678">
      <w:pPr>
        <w:rPr>
          <w:b/>
          <w:bCs/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>Viz též bod</w:t>
      </w:r>
      <w:r w:rsidR="00794678" w:rsidRPr="004D2995">
        <w:rPr>
          <w:sz w:val="22"/>
          <w:szCs w:val="22"/>
          <w:lang w:val="cs-CZ"/>
        </w:rPr>
        <w:t xml:space="preserve"> 12.</w:t>
      </w:r>
    </w:p>
    <w:p w:rsidR="006F6F6B" w:rsidRPr="004D2995" w:rsidRDefault="006F6F6B" w:rsidP="006F6F6B">
      <w:pPr>
        <w:rPr>
          <w:sz w:val="22"/>
          <w:szCs w:val="22"/>
          <w:lang w:val="cs-CZ"/>
        </w:rPr>
      </w:pPr>
    </w:p>
    <w:p w:rsidR="00794678" w:rsidRPr="004D2995" w:rsidRDefault="00794678" w:rsidP="00794678">
      <w:pPr>
        <w:rPr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6.         NEŽÁDOUCÍ ÚČINKY</w:t>
      </w:r>
    </w:p>
    <w:p w:rsidR="00D83FD0" w:rsidRPr="004D2995" w:rsidRDefault="00D83FD0" w:rsidP="00D83FD0">
      <w:pPr>
        <w:rPr>
          <w:sz w:val="22"/>
          <w:szCs w:val="22"/>
          <w:lang w:val="cs-CZ"/>
        </w:rPr>
      </w:pPr>
    </w:p>
    <w:p w:rsidR="008B7A4B" w:rsidRPr="004D2995" w:rsidRDefault="008B7A4B" w:rsidP="008B7A4B">
      <w:pPr>
        <w:pStyle w:val="Normlnweb"/>
        <w:rPr>
          <w:sz w:val="22"/>
          <w:szCs w:val="22"/>
        </w:rPr>
      </w:pPr>
      <w:r w:rsidRPr="004D2995">
        <w:rPr>
          <w:sz w:val="22"/>
          <w:szCs w:val="22"/>
        </w:rPr>
        <w:t xml:space="preserve">Během prvních 10 minut po injekčním podání </w:t>
      </w:r>
      <w:proofErr w:type="spellStart"/>
      <w:r w:rsidRPr="004D2995">
        <w:rPr>
          <w:sz w:val="22"/>
          <w:szCs w:val="22"/>
        </w:rPr>
        <w:t>atipamezol</w:t>
      </w:r>
      <w:proofErr w:type="spellEnd"/>
      <w:r w:rsidRPr="004D2995">
        <w:rPr>
          <w:sz w:val="22"/>
          <w:szCs w:val="22"/>
        </w:rPr>
        <w:t xml:space="preserve"> </w:t>
      </w:r>
      <w:proofErr w:type="spellStart"/>
      <w:r w:rsidRPr="004D2995">
        <w:rPr>
          <w:sz w:val="22"/>
          <w:szCs w:val="22"/>
        </w:rPr>
        <w:t>hydrochloridu</w:t>
      </w:r>
      <w:proofErr w:type="spellEnd"/>
      <w:r w:rsidRPr="004D2995">
        <w:rPr>
          <w:sz w:val="22"/>
          <w:szCs w:val="22"/>
        </w:rPr>
        <w:t xml:space="preserve"> byl pozorován přechodný hypotenzní účinek. Ve vzácných případech může dojít k hyperaktivitě, tachykardii, slinění, atypickým hlasitým projevům, svalovému třesu, zvracení, zvýšené dechové frekvenci, nekontrolovanému močení a nekontrolovatelné defekaci. Ve velmi vzácných případech po podání </w:t>
      </w:r>
      <w:proofErr w:type="spellStart"/>
      <w:r w:rsidRPr="004D2995">
        <w:rPr>
          <w:sz w:val="22"/>
          <w:szCs w:val="22"/>
        </w:rPr>
        <w:t>atipamezolu</w:t>
      </w:r>
      <w:proofErr w:type="spellEnd"/>
      <w:r w:rsidRPr="004D2995">
        <w:rPr>
          <w:sz w:val="22"/>
          <w:szCs w:val="22"/>
        </w:rPr>
        <w:t xml:space="preserve"> může dojít k návratu sedativních účinků nebo nedojde ke zkrácení doby zotavení.</w:t>
      </w:r>
    </w:p>
    <w:p w:rsidR="008B7A4B" w:rsidRPr="004D2995" w:rsidRDefault="008B7A4B" w:rsidP="008B7A4B">
      <w:pPr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 xml:space="preserve">Pokud je použita nízká dávka u koček pro částečné </w:t>
      </w:r>
      <w:r w:rsidR="00B01F01" w:rsidRPr="004D2995">
        <w:rPr>
          <w:sz w:val="22"/>
          <w:szCs w:val="22"/>
          <w:lang w:val="cs-CZ"/>
        </w:rPr>
        <w:t xml:space="preserve">zrušení </w:t>
      </w:r>
      <w:r w:rsidRPr="004D2995">
        <w:rPr>
          <w:sz w:val="22"/>
          <w:szCs w:val="22"/>
          <w:lang w:val="cs-CZ"/>
        </w:rPr>
        <w:t xml:space="preserve">účinku </w:t>
      </w:r>
      <w:proofErr w:type="spellStart"/>
      <w:r w:rsidRPr="004D2995">
        <w:rPr>
          <w:sz w:val="22"/>
          <w:szCs w:val="22"/>
          <w:lang w:val="cs-CZ"/>
        </w:rPr>
        <w:t>medetomidinu</w:t>
      </w:r>
      <w:proofErr w:type="spellEnd"/>
      <w:r w:rsidRPr="004D2995">
        <w:rPr>
          <w:sz w:val="22"/>
          <w:szCs w:val="22"/>
          <w:lang w:val="cs-CZ"/>
        </w:rPr>
        <w:t xml:space="preserve"> nebo </w:t>
      </w:r>
      <w:proofErr w:type="spellStart"/>
      <w:r w:rsidRPr="004D2995">
        <w:rPr>
          <w:sz w:val="22"/>
          <w:szCs w:val="22"/>
          <w:lang w:val="cs-CZ"/>
        </w:rPr>
        <w:t>dexmedetomidinu</w:t>
      </w:r>
      <w:proofErr w:type="spellEnd"/>
      <w:r w:rsidRPr="004D2995">
        <w:rPr>
          <w:sz w:val="22"/>
          <w:szCs w:val="22"/>
          <w:lang w:val="cs-CZ"/>
        </w:rPr>
        <w:t xml:space="preserve">, je třeba mít na paměti možnost podchlazení (i po probuzení ze </w:t>
      </w:r>
      <w:proofErr w:type="spellStart"/>
      <w:r w:rsidRPr="004D2995">
        <w:rPr>
          <w:sz w:val="22"/>
          <w:szCs w:val="22"/>
          <w:lang w:val="cs-CZ"/>
        </w:rPr>
        <w:t>sedace</w:t>
      </w:r>
      <w:proofErr w:type="spellEnd"/>
      <w:r w:rsidRPr="004D2995">
        <w:rPr>
          <w:sz w:val="22"/>
          <w:szCs w:val="22"/>
          <w:lang w:val="cs-CZ"/>
        </w:rPr>
        <w:t>).</w:t>
      </w:r>
    </w:p>
    <w:p w:rsidR="00F05FEC" w:rsidRPr="004D2995" w:rsidRDefault="00F05FEC" w:rsidP="00D83FD0">
      <w:pPr>
        <w:rPr>
          <w:sz w:val="22"/>
          <w:szCs w:val="22"/>
          <w:lang w:val="cs-CZ"/>
        </w:rPr>
      </w:pPr>
    </w:p>
    <w:p w:rsidR="00FF0FA1" w:rsidRPr="00187716" w:rsidRDefault="00FF0FA1" w:rsidP="00FF0FA1">
      <w:pPr>
        <w:rPr>
          <w:sz w:val="22"/>
          <w:szCs w:val="22"/>
          <w:lang w:val="cs-CZ"/>
        </w:rPr>
      </w:pPr>
      <w:r w:rsidRPr="00187716">
        <w:rPr>
          <w:sz w:val="22"/>
          <w:szCs w:val="22"/>
          <w:lang w:val="cs-CZ"/>
        </w:rPr>
        <w:t>Četnost nežádoucích účinků je charakterizována podle následujících pravidel:</w:t>
      </w:r>
    </w:p>
    <w:p w:rsidR="00FF0FA1" w:rsidRPr="00187716" w:rsidRDefault="00FF0FA1" w:rsidP="00FF0FA1">
      <w:pPr>
        <w:rPr>
          <w:sz w:val="22"/>
          <w:szCs w:val="22"/>
        </w:rPr>
      </w:pPr>
      <w:r w:rsidRPr="00187716">
        <w:rPr>
          <w:sz w:val="22"/>
          <w:szCs w:val="22"/>
        </w:rPr>
        <w:t xml:space="preserve">- </w:t>
      </w:r>
      <w:proofErr w:type="spellStart"/>
      <w:r w:rsidRPr="00187716">
        <w:rPr>
          <w:sz w:val="22"/>
          <w:szCs w:val="22"/>
        </w:rPr>
        <w:t>velmi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časté</w:t>
      </w:r>
      <w:proofErr w:type="spellEnd"/>
      <w:r w:rsidRPr="00187716">
        <w:rPr>
          <w:sz w:val="22"/>
          <w:szCs w:val="22"/>
        </w:rPr>
        <w:t xml:space="preserve"> (</w:t>
      </w:r>
      <w:proofErr w:type="spellStart"/>
      <w:r w:rsidRPr="00187716">
        <w:rPr>
          <w:sz w:val="22"/>
          <w:szCs w:val="22"/>
        </w:rPr>
        <w:t>nežádoucí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účinky</w:t>
      </w:r>
      <w:proofErr w:type="spellEnd"/>
      <w:r w:rsidRPr="00187716">
        <w:rPr>
          <w:sz w:val="22"/>
          <w:szCs w:val="22"/>
        </w:rPr>
        <w:t xml:space="preserve"> se </w:t>
      </w:r>
      <w:proofErr w:type="spellStart"/>
      <w:r w:rsidRPr="00187716">
        <w:rPr>
          <w:sz w:val="22"/>
          <w:szCs w:val="22"/>
        </w:rPr>
        <w:t>projevily</w:t>
      </w:r>
      <w:proofErr w:type="spellEnd"/>
      <w:r w:rsidRPr="00187716">
        <w:rPr>
          <w:sz w:val="22"/>
          <w:szCs w:val="22"/>
        </w:rPr>
        <w:t xml:space="preserve"> u </w:t>
      </w:r>
      <w:proofErr w:type="spellStart"/>
      <w:r w:rsidRPr="00187716">
        <w:rPr>
          <w:sz w:val="22"/>
          <w:szCs w:val="22"/>
        </w:rPr>
        <w:t>více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než</w:t>
      </w:r>
      <w:proofErr w:type="spellEnd"/>
      <w:r w:rsidRPr="00187716">
        <w:rPr>
          <w:sz w:val="22"/>
          <w:szCs w:val="22"/>
        </w:rPr>
        <w:t xml:space="preserve"> 1 z 10 </w:t>
      </w:r>
      <w:proofErr w:type="spellStart"/>
      <w:r w:rsidRPr="00187716">
        <w:rPr>
          <w:sz w:val="22"/>
          <w:szCs w:val="22"/>
        </w:rPr>
        <w:t>zvířat</w:t>
      </w:r>
      <w:proofErr w:type="spellEnd"/>
      <w:r w:rsidRPr="00187716">
        <w:rPr>
          <w:sz w:val="22"/>
          <w:szCs w:val="22"/>
        </w:rPr>
        <w:t xml:space="preserve"> v </w:t>
      </w:r>
      <w:proofErr w:type="spellStart"/>
      <w:r w:rsidRPr="00187716">
        <w:rPr>
          <w:sz w:val="22"/>
          <w:szCs w:val="22"/>
        </w:rPr>
        <w:t>průběhu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jednoho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ošetření</w:t>
      </w:r>
      <w:proofErr w:type="spellEnd"/>
      <w:r w:rsidRPr="00187716">
        <w:rPr>
          <w:sz w:val="22"/>
          <w:szCs w:val="22"/>
        </w:rPr>
        <w:t>)</w:t>
      </w:r>
    </w:p>
    <w:p w:rsidR="00FF0FA1" w:rsidRPr="00187716" w:rsidRDefault="00FF0FA1" w:rsidP="00FF0FA1">
      <w:pPr>
        <w:rPr>
          <w:sz w:val="22"/>
          <w:szCs w:val="22"/>
        </w:rPr>
      </w:pPr>
      <w:r w:rsidRPr="00187716">
        <w:rPr>
          <w:sz w:val="22"/>
          <w:szCs w:val="22"/>
        </w:rPr>
        <w:t xml:space="preserve">- </w:t>
      </w:r>
      <w:proofErr w:type="spellStart"/>
      <w:r w:rsidRPr="00187716">
        <w:rPr>
          <w:sz w:val="22"/>
          <w:szCs w:val="22"/>
        </w:rPr>
        <w:t>časté</w:t>
      </w:r>
      <w:proofErr w:type="spellEnd"/>
      <w:r w:rsidRPr="00187716">
        <w:rPr>
          <w:sz w:val="22"/>
          <w:szCs w:val="22"/>
        </w:rPr>
        <w:t xml:space="preserve"> (u </w:t>
      </w:r>
      <w:proofErr w:type="spellStart"/>
      <w:r w:rsidRPr="00187716">
        <w:rPr>
          <w:sz w:val="22"/>
          <w:szCs w:val="22"/>
        </w:rPr>
        <w:t>více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než</w:t>
      </w:r>
      <w:proofErr w:type="spellEnd"/>
      <w:r w:rsidRPr="00187716">
        <w:rPr>
          <w:sz w:val="22"/>
          <w:szCs w:val="22"/>
        </w:rPr>
        <w:t xml:space="preserve"> 1, ale </w:t>
      </w:r>
      <w:proofErr w:type="spellStart"/>
      <w:r w:rsidRPr="00187716">
        <w:rPr>
          <w:sz w:val="22"/>
          <w:szCs w:val="22"/>
        </w:rPr>
        <w:t>méně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než</w:t>
      </w:r>
      <w:proofErr w:type="spellEnd"/>
      <w:r w:rsidRPr="00187716">
        <w:rPr>
          <w:sz w:val="22"/>
          <w:szCs w:val="22"/>
        </w:rPr>
        <w:t xml:space="preserve"> 10 </w:t>
      </w:r>
      <w:proofErr w:type="spellStart"/>
      <w:r w:rsidRPr="00187716">
        <w:rPr>
          <w:sz w:val="22"/>
          <w:szCs w:val="22"/>
        </w:rPr>
        <w:t>ze</w:t>
      </w:r>
      <w:proofErr w:type="spellEnd"/>
      <w:r w:rsidRPr="00187716">
        <w:rPr>
          <w:sz w:val="22"/>
          <w:szCs w:val="22"/>
        </w:rPr>
        <w:t xml:space="preserve"> 100 </w:t>
      </w:r>
      <w:proofErr w:type="spellStart"/>
      <w:r w:rsidRPr="00187716">
        <w:rPr>
          <w:sz w:val="22"/>
          <w:szCs w:val="22"/>
        </w:rPr>
        <w:t>zvířat</w:t>
      </w:r>
      <w:proofErr w:type="spellEnd"/>
      <w:r w:rsidRPr="00187716">
        <w:rPr>
          <w:sz w:val="22"/>
          <w:szCs w:val="22"/>
        </w:rPr>
        <w:t>)</w:t>
      </w:r>
    </w:p>
    <w:p w:rsidR="00FF0FA1" w:rsidRPr="00187716" w:rsidRDefault="00FF0FA1" w:rsidP="00FF0FA1">
      <w:pPr>
        <w:rPr>
          <w:sz w:val="22"/>
          <w:szCs w:val="22"/>
        </w:rPr>
      </w:pPr>
      <w:r w:rsidRPr="00187716">
        <w:rPr>
          <w:sz w:val="22"/>
          <w:szCs w:val="22"/>
        </w:rPr>
        <w:t xml:space="preserve">- </w:t>
      </w:r>
      <w:proofErr w:type="spellStart"/>
      <w:r w:rsidRPr="00187716">
        <w:rPr>
          <w:sz w:val="22"/>
          <w:szCs w:val="22"/>
        </w:rPr>
        <w:t>neobvyklé</w:t>
      </w:r>
      <w:proofErr w:type="spellEnd"/>
      <w:r w:rsidRPr="00187716">
        <w:rPr>
          <w:sz w:val="22"/>
          <w:szCs w:val="22"/>
        </w:rPr>
        <w:t xml:space="preserve"> (u </w:t>
      </w:r>
      <w:proofErr w:type="spellStart"/>
      <w:r w:rsidRPr="00187716">
        <w:rPr>
          <w:sz w:val="22"/>
          <w:szCs w:val="22"/>
        </w:rPr>
        <w:t>více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než</w:t>
      </w:r>
      <w:proofErr w:type="spellEnd"/>
      <w:r w:rsidRPr="00187716">
        <w:rPr>
          <w:sz w:val="22"/>
          <w:szCs w:val="22"/>
        </w:rPr>
        <w:t xml:space="preserve"> 1, ale </w:t>
      </w:r>
      <w:proofErr w:type="spellStart"/>
      <w:r w:rsidRPr="00187716">
        <w:rPr>
          <w:sz w:val="22"/>
          <w:szCs w:val="22"/>
        </w:rPr>
        <w:t>méně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než</w:t>
      </w:r>
      <w:proofErr w:type="spellEnd"/>
      <w:r w:rsidRPr="00187716">
        <w:rPr>
          <w:sz w:val="22"/>
          <w:szCs w:val="22"/>
        </w:rPr>
        <w:t xml:space="preserve"> 10 z 1000 </w:t>
      </w:r>
      <w:proofErr w:type="spellStart"/>
      <w:r w:rsidRPr="00187716">
        <w:rPr>
          <w:sz w:val="22"/>
          <w:szCs w:val="22"/>
        </w:rPr>
        <w:t>zvířat</w:t>
      </w:r>
      <w:proofErr w:type="spellEnd"/>
      <w:r w:rsidRPr="00187716">
        <w:rPr>
          <w:sz w:val="22"/>
          <w:szCs w:val="22"/>
        </w:rPr>
        <w:t>)</w:t>
      </w:r>
    </w:p>
    <w:p w:rsidR="00FF0FA1" w:rsidRPr="00187716" w:rsidRDefault="00FF0FA1" w:rsidP="00FF0FA1">
      <w:pPr>
        <w:rPr>
          <w:sz w:val="22"/>
          <w:szCs w:val="22"/>
        </w:rPr>
      </w:pPr>
      <w:r w:rsidRPr="00187716">
        <w:rPr>
          <w:sz w:val="22"/>
          <w:szCs w:val="22"/>
        </w:rPr>
        <w:t xml:space="preserve">- </w:t>
      </w:r>
      <w:proofErr w:type="spellStart"/>
      <w:r w:rsidRPr="00187716">
        <w:rPr>
          <w:sz w:val="22"/>
          <w:szCs w:val="22"/>
        </w:rPr>
        <w:t>vzácné</w:t>
      </w:r>
      <w:proofErr w:type="spellEnd"/>
      <w:r w:rsidRPr="00187716">
        <w:rPr>
          <w:sz w:val="22"/>
          <w:szCs w:val="22"/>
        </w:rPr>
        <w:t xml:space="preserve"> (u </w:t>
      </w:r>
      <w:proofErr w:type="spellStart"/>
      <w:r w:rsidRPr="00187716">
        <w:rPr>
          <w:sz w:val="22"/>
          <w:szCs w:val="22"/>
        </w:rPr>
        <w:t>více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než</w:t>
      </w:r>
      <w:proofErr w:type="spellEnd"/>
      <w:r w:rsidRPr="00187716">
        <w:rPr>
          <w:sz w:val="22"/>
          <w:szCs w:val="22"/>
        </w:rPr>
        <w:t xml:space="preserve"> 1, ale </w:t>
      </w:r>
      <w:proofErr w:type="spellStart"/>
      <w:r w:rsidRPr="00187716">
        <w:rPr>
          <w:sz w:val="22"/>
          <w:szCs w:val="22"/>
        </w:rPr>
        <w:t>méně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než</w:t>
      </w:r>
      <w:proofErr w:type="spellEnd"/>
      <w:r w:rsidRPr="00187716">
        <w:rPr>
          <w:sz w:val="22"/>
          <w:szCs w:val="22"/>
        </w:rPr>
        <w:t xml:space="preserve"> 10 z  10000 </w:t>
      </w:r>
      <w:proofErr w:type="spellStart"/>
      <w:r w:rsidRPr="00187716">
        <w:rPr>
          <w:sz w:val="22"/>
          <w:szCs w:val="22"/>
        </w:rPr>
        <w:t>zvířat</w:t>
      </w:r>
      <w:proofErr w:type="spellEnd"/>
      <w:r w:rsidRPr="00187716">
        <w:rPr>
          <w:sz w:val="22"/>
          <w:szCs w:val="22"/>
        </w:rPr>
        <w:t>)</w:t>
      </w:r>
    </w:p>
    <w:p w:rsidR="00FF0FA1" w:rsidRPr="00187716" w:rsidRDefault="00FF0FA1" w:rsidP="00FF0FA1">
      <w:pPr>
        <w:rPr>
          <w:sz w:val="22"/>
          <w:szCs w:val="22"/>
        </w:rPr>
      </w:pPr>
      <w:r w:rsidRPr="00187716">
        <w:rPr>
          <w:sz w:val="22"/>
          <w:szCs w:val="22"/>
        </w:rPr>
        <w:t xml:space="preserve">- </w:t>
      </w:r>
      <w:proofErr w:type="spellStart"/>
      <w:r w:rsidRPr="00187716">
        <w:rPr>
          <w:sz w:val="22"/>
          <w:szCs w:val="22"/>
        </w:rPr>
        <w:t>velmi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vzácné</w:t>
      </w:r>
      <w:proofErr w:type="spellEnd"/>
      <w:r w:rsidRPr="00187716">
        <w:rPr>
          <w:sz w:val="22"/>
          <w:szCs w:val="22"/>
        </w:rPr>
        <w:t xml:space="preserve"> (u </w:t>
      </w:r>
      <w:proofErr w:type="spellStart"/>
      <w:r w:rsidRPr="00187716">
        <w:rPr>
          <w:sz w:val="22"/>
          <w:szCs w:val="22"/>
        </w:rPr>
        <w:t>méně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než</w:t>
      </w:r>
      <w:proofErr w:type="spellEnd"/>
      <w:r w:rsidRPr="00187716">
        <w:rPr>
          <w:sz w:val="22"/>
          <w:szCs w:val="22"/>
        </w:rPr>
        <w:t xml:space="preserve"> 1 z 10000 </w:t>
      </w:r>
      <w:proofErr w:type="spellStart"/>
      <w:r w:rsidRPr="00187716">
        <w:rPr>
          <w:sz w:val="22"/>
          <w:szCs w:val="22"/>
        </w:rPr>
        <w:t>zvířat</w:t>
      </w:r>
      <w:proofErr w:type="spellEnd"/>
      <w:r w:rsidRPr="00187716">
        <w:rPr>
          <w:sz w:val="22"/>
          <w:szCs w:val="22"/>
        </w:rPr>
        <w:t xml:space="preserve">, </w:t>
      </w:r>
      <w:proofErr w:type="spellStart"/>
      <w:r w:rsidRPr="00187716">
        <w:rPr>
          <w:sz w:val="22"/>
          <w:szCs w:val="22"/>
        </w:rPr>
        <w:t>včetně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ojedinělých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hlášení</w:t>
      </w:r>
      <w:proofErr w:type="spellEnd"/>
      <w:r w:rsidRPr="00187716">
        <w:rPr>
          <w:sz w:val="22"/>
          <w:szCs w:val="22"/>
        </w:rPr>
        <w:t>).</w:t>
      </w:r>
    </w:p>
    <w:p w:rsidR="00FF0FA1" w:rsidRPr="004D2995" w:rsidRDefault="00FF0FA1" w:rsidP="00D83FD0">
      <w:pPr>
        <w:rPr>
          <w:sz w:val="22"/>
          <w:szCs w:val="22"/>
          <w:lang w:val="cs-CZ"/>
        </w:rPr>
      </w:pPr>
    </w:p>
    <w:p w:rsidR="00D83FD0" w:rsidRPr="004D2995" w:rsidRDefault="00794678" w:rsidP="00D83FD0">
      <w:pPr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:rsidR="00D83FD0" w:rsidRPr="004D2995" w:rsidRDefault="00D83FD0" w:rsidP="00D83FD0">
      <w:pPr>
        <w:rPr>
          <w:sz w:val="22"/>
          <w:szCs w:val="22"/>
          <w:lang w:val="cs-CZ"/>
        </w:rPr>
      </w:pPr>
    </w:p>
    <w:p w:rsidR="00D83FD0" w:rsidRPr="004D2995" w:rsidRDefault="00D83FD0" w:rsidP="00D83FD0">
      <w:pPr>
        <w:ind w:left="567" w:hanging="567"/>
        <w:rPr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7.</w:t>
      </w:r>
      <w:r w:rsidRPr="004D2995">
        <w:rPr>
          <w:b/>
          <w:sz w:val="22"/>
          <w:szCs w:val="22"/>
          <w:lang w:val="cs-CZ"/>
        </w:rPr>
        <w:tab/>
      </w:r>
      <w:r w:rsidR="00794678" w:rsidRPr="004D2995">
        <w:rPr>
          <w:b/>
          <w:sz w:val="22"/>
          <w:szCs w:val="22"/>
          <w:lang w:val="cs-CZ"/>
        </w:rPr>
        <w:t>CÍLOVÝ DRUH ZVÍŘAT</w:t>
      </w:r>
    </w:p>
    <w:p w:rsidR="00D83FD0" w:rsidRPr="004D2995" w:rsidRDefault="00F05FEC" w:rsidP="00D83FD0">
      <w:pPr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 xml:space="preserve"> </w:t>
      </w:r>
    </w:p>
    <w:p w:rsidR="00F05FEC" w:rsidRPr="004D2995" w:rsidRDefault="00794678" w:rsidP="00D83FD0">
      <w:pPr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>Psi a kočky.</w:t>
      </w:r>
    </w:p>
    <w:p w:rsidR="00D83FD0" w:rsidRPr="004D2995" w:rsidRDefault="00D83FD0" w:rsidP="00D83FD0">
      <w:pPr>
        <w:rPr>
          <w:sz w:val="22"/>
          <w:szCs w:val="22"/>
          <w:lang w:val="cs-CZ"/>
        </w:rPr>
      </w:pPr>
    </w:p>
    <w:p w:rsidR="00CB10E9" w:rsidRPr="004D2995" w:rsidRDefault="00D83FD0" w:rsidP="00D83FD0">
      <w:pPr>
        <w:ind w:left="567" w:hanging="567"/>
        <w:rPr>
          <w:b/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8.</w:t>
      </w:r>
      <w:r w:rsidRPr="004D2995">
        <w:rPr>
          <w:b/>
          <w:sz w:val="22"/>
          <w:szCs w:val="22"/>
          <w:lang w:val="cs-CZ"/>
        </w:rPr>
        <w:tab/>
      </w:r>
      <w:r w:rsidR="00794678" w:rsidRPr="004D2995">
        <w:rPr>
          <w:b/>
          <w:sz w:val="22"/>
          <w:szCs w:val="22"/>
          <w:lang w:val="cs-CZ"/>
        </w:rPr>
        <w:t>DÁVKOVÁNÍ PRO KAŽDÝ DRUH, CESTA(Y) A ZPŮSOB PODÁNÍ</w:t>
      </w:r>
    </w:p>
    <w:p w:rsidR="00FF0FA1" w:rsidRPr="00187716" w:rsidRDefault="00FF0FA1" w:rsidP="00FF0FA1">
      <w:pPr>
        <w:pStyle w:val="Zkladntext"/>
        <w:rPr>
          <w:sz w:val="22"/>
          <w:szCs w:val="22"/>
          <w:lang w:val="cs-CZ"/>
        </w:rPr>
      </w:pPr>
      <w:r w:rsidRPr="00187716">
        <w:rPr>
          <w:sz w:val="22"/>
          <w:szCs w:val="22"/>
          <w:lang w:val="cs-CZ"/>
        </w:rPr>
        <w:t xml:space="preserve">Jednorázové intramuskulární použití. Dávka závisí na dříve podané dávce </w:t>
      </w:r>
      <w:proofErr w:type="spellStart"/>
      <w:r w:rsidRPr="00187716">
        <w:rPr>
          <w:sz w:val="22"/>
          <w:szCs w:val="22"/>
          <w:lang w:val="cs-CZ"/>
        </w:rPr>
        <w:t>medetomidinu</w:t>
      </w:r>
      <w:proofErr w:type="spellEnd"/>
      <w:r w:rsidRPr="00187716">
        <w:rPr>
          <w:sz w:val="22"/>
          <w:szCs w:val="22"/>
          <w:lang w:val="cs-CZ"/>
        </w:rPr>
        <w:t xml:space="preserve"> nebo </w:t>
      </w:r>
      <w:proofErr w:type="spellStart"/>
      <w:r w:rsidRPr="00187716">
        <w:rPr>
          <w:sz w:val="22"/>
          <w:szCs w:val="22"/>
          <w:lang w:val="cs-CZ"/>
        </w:rPr>
        <w:t>dexmedetomidinu</w:t>
      </w:r>
      <w:proofErr w:type="spellEnd"/>
      <w:r w:rsidRPr="00187716">
        <w:rPr>
          <w:sz w:val="22"/>
          <w:szCs w:val="22"/>
          <w:lang w:val="cs-CZ"/>
        </w:rPr>
        <w:t xml:space="preserve">. Doporučuje se použití vhodně kalibrované injekční stříkačky, aby bylo zajištěno přesné dávkování při podávání malých objemů. </w:t>
      </w:r>
      <w:proofErr w:type="spellStart"/>
      <w:r w:rsidRPr="00187716">
        <w:rPr>
          <w:sz w:val="22"/>
          <w:szCs w:val="22"/>
          <w:lang w:val="cs-CZ"/>
        </w:rPr>
        <w:t>Atipamezol</w:t>
      </w:r>
      <w:proofErr w:type="spellEnd"/>
      <w:r w:rsidRPr="00187716">
        <w:rPr>
          <w:sz w:val="22"/>
          <w:szCs w:val="22"/>
          <w:lang w:val="cs-CZ"/>
        </w:rPr>
        <w:t xml:space="preserve"> je obecně podáván 15-60 minut po injekčním podání </w:t>
      </w:r>
      <w:proofErr w:type="spellStart"/>
      <w:r w:rsidRPr="00187716">
        <w:rPr>
          <w:sz w:val="22"/>
          <w:szCs w:val="22"/>
          <w:lang w:val="cs-CZ"/>
        </w:rPr>
        <w:t>medetomidinu</w:t>
      </w:r>
      <w:proofErr w:type="spellEnd"/>
      <w:r w:rsidRPr="00187716">
        <w:rPr>
          <w:sz w:val="22"/>
          <w:szCs w:val="22"/>
          <w:lang w:val="cs-CZ"/>
        </w:rPr>
        <w:t xml:space="preserve"> nebo </w:t>
      </w:r>
      <w:proofErr w:type="spellStart"/>
      <w:r w:rsidRPr="00187716">
        <w:rPr>
          <w:sz w:val="22"/>
          <w:szCs w:val="22"/>
          <w:lang w:val="cs-CZ"/>
        </w:rPr>
        <w:t>dexmedetomidinu</w:t>
      </w:r>
      <w:proofErr w:type="spellEnd"/>
      <w:r w:rsidRPr="00187716">
        <w:rPr>
          <w:sz w:val="22"/>
          <w:szCs w:val="22"/>
          <w:lang w:val="cs-CZ"/>
        </w:rPr>
        <w:t>.</w:t>
      </w:r>
    </w:p>
    <w:p w:rsidR="00FF0FA1" w:rsidRPr="00187716" w:rsidRDefault="00FF0FA1" w:rsidP="00FF0FA1">
      <w:pPr>
        <w:rPr>
          <w:sz w:val="22"/>
          <w:szCs w:val="22"/>
          <w:lang w:val="cs-CZ"/>
        </w:rPr>
      </w:pPr>
    </w:p>
    <w:p w:rsidR="00FF0FA1" w:rsidRPr="00187716" w:rsidRDefault="00FF0FA1" w:rsidP="00FF0FA1">
      <w:pPr>
        <w:rPr>
          <w:sz w:val="22"/>
          <w:szCs w:val="22"/>
          <w:lang w:val="cs-CZ"/>
        </w:rPr>
      </w:pPr>
      <w:r w:rsidRPr="00187716">
        <w:rPr>
          <w:sz w:val="22"/>
          <w:szCs w:val="22"/>
          <w:u w:val="single"/>
          <w:lang w:val="cs-CZ"/>
        </w:rPr>
        <w:t>Psi:</w:t>
      </w:r>
      <w:r w:rsidRPr="00187716">
        <w:rPr>
          <w:sz w:val="22"/>
          <w:szCs w:val="22"/>
          <w:lang w:val="cs-CZ"/>
        </w:rPr>
        <w:t xml:space="preserve"> Dávka </w:t>
      </w:r>
      <w:proofErr w:type="spellStart"/>
      <w:r w:rsidRPr="00187716">
        <w:rPr>
          <w:sz w:val="22"/>
          <w:szCs w:val="22"/>
          <w:lang w:val="cs-CZ"/>
        </w:rPr>
        <w:t>atipamezol</w:t>
      </w:r>
      <w:proofErr w:type="spellEnd"/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187716">
        <w:rPr>
          <w:sz w:val="22"/>
          <w:szCs w:val="22"/>
          <w:lang w:val="cs-CZ"/>
        </w:rPr>
        <w:t>hydrochloridu</w:t>
      </w:r>
      <w:proofErr w:type="spellEnd"/>
      <w:r w:rsidRPr="00187716">
        <w:rPr>
          <w:sz w:val="22"/>
          <w:szCs w:val="22"/>
          <w:lang w:val="cs-CZ"/>
        </w:rPr>
        <w:t xml:space="preserve"> (v µg na kg živé hmotnosti) je 5-krát vyšší než předchozí dávka </w:t>
      </w:r>
      <w:proofErr w:type="spellStart"/>
      <w:r w:rsidRPr="00187716">
        <w:rPr>
          <w:sz w:val="22"/>
          <w:szCs w:val="22"/>
          <w:lang w:val="cs-CZ"/>
        </w:rPr>
        <w:t>medetomidin</w:t>
      </w:r>
      <w:proofErr w:type="spellEnd"/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187716">
        <w:rPr>
          <w:sz w:val="22"/>
          <w:szCs w:val="22"/>
          <w:lang w:val="cs-CZ"/>
        </w:rPr>
        <w:t>hydrochloridu</w:t>
      </w:r>
      <w:proofErr w:type="spellEnd"/>
      <w:r w:rsidRPr="00187716">
        <w:rPr>
          <w:sz w:val="22"/>
          <w:szCs w:val="22"/>
          <w:lang w:val="cs-CZ"/>
        </w:rPr>
        <w:t xml:space="preserve"> nebo 10-krát vyšší než dávka </w:t>
      </w:r>
      <w:proofErr w:type="spellStart"/>
      <w:r w:rsidRPr="00187716">
        <w:rPr>
          <w:sz w:val="22"/>
          <w:szCs w:val="22"/>
          <w:lang w:val="cs-CZ"/>
        </w:rPr>
        <w:t>dexmedetomidin</w:t>
      </w:r>
      <w:proofErr w:type="spellEnd"/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187716">
        <w:rPr>
          <w:sz w:val="22"/>
          <w:szCs w:val="22"/>
          <w:lang w:val="cs-CZ"/>
        </w:rPr>
        <w:t>hydrochloridu</w:t>
      </w:r>
      <w:proofErr w:type="spellEnd"/>
      <w:r w:rsidRPr="00187716">
        <w:rPr>
          <w:sz w:val="22"/>
          <w:szCs w:val="22"/>
          <w:lang w:val="cs-CZ"/>
        </w:rPr>
        <w:t>. Vzhledem k pětinásobné koncentraci účinné látky (</w:t>
      </w:r>
      <w:proofErr w:type="spellStart"/>
      <w:r w:rsidRPr="00187716">
        <w:rPr>
          <w:sz w:val="22"/>
          <w:szCs w:val="22"/>
          <w:lang w:val="cs-CZ"/>
        </w:rPr>
        <w:t>atipamezol</w:t>
      </w:r>
      <w:proofErr w:type="spellEnd"/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187716">
        <w:rPr>
          <w:sz w:val="22"/>
          <w:szCs w:val="22"/>
          <w:lang w:val="cs-CZ"/>
        </w:rPr>
        <w:t>hydrochlorid</w:t>
      </w:r>
      <w:proofErr w:type="spellEnd"/>
      <w:r w:rsidRPr="00187716">
        <w:rPr>
          <w:sz w:val="22"/>
          <w:szCs w:val="22"/>
          <w:lang w:val="cs-CZ"/>
        </w:rPr>
        <w:t xml:space="preserve">) v tomto přípravku ve srovnání s přípravky obsahujícími 1 mg / ml </w:t>
      </w:r>
      <w:proofErr w:type="spellStart"/>
      <w:r w:rsidRPr="00187716">
        <w:rPr>
          <w:sz w:val="22"/>
          <w:szCs w:val="22"/>
          <w:lang w:val="cs-CZ"/>
        </w:rPr>
        <w:t>medetomidin</w:t>
      </w:r>
      <w:proofErr w:type="spellEnd"/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187716">
        <w:rPr>
          <w:sz w:val="22"/>
          <w:szCs w:val="22"/>
          <w:lang w:val="cs-CZ"/>
        </w:rPr>
        <w:t>hydrochloridu</w:t>
      </w:r>
      <w:proofErr w:type="spellEnd"/>
      <w:r w:rsidRPr="00187716">
        <w:rPr>
          <w:sz w:val="22"/>
          <w:szCs w:val="22"/>
          <w:lang w:val="cs-CZ"/>
        </w:rPr>
        <w:t xml:space="preserve">  nebo desetinásobné koncentraci ve srovnání s přípravky s obsahem 0,5 mg / ml </w:t>
      </w:r>
      <w:proofErr w:type="spellStart"/>
      <w:r w:rsidRPr="00187716">
        <w:rPr>
          <w:sz w:val="22"/>
          <w:szCs w:val="22"/>
          <w:lang w:val="cs-CZ"/>
        </w:rPr>
        <w:t>dexmedetomidin</w:t>
      </w:r>
      <w:proofErr w:type="spellEnd"/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187716">
        <w:rPr>
          <w:sz w:val="22"/>
          <w:szCs w:val="22"/>
          <w:lang w:val="cs-CZ"/>
        </w:rPr>
        <w:t>hydrochloridu</w:t>
      </w:r>
      <w:proofErr w:type="spellEnd"/>
      <w:r w:rsidRPr="00187716">
        <w:rPr>
          <w:sz w:val="22"/>
          <w:szCs w:val="22"/>
          <w:lang w:val="cs-CZ"/>
        </w:rPr>
        <w:t xml:space="preserve"> se podává vždy stejný objem obou přípravků.</w:t>
      </w:r>
    </w:p>
    <w:p w:rsidR="00FF0FA1" w:rsidRPr="00187716" w:rsidRDefault="00FF0FA1" w:rsidP="00FF0FA1">
      <w:pPr>
        <w:rPr>
          <w:sz w:val="22"/>
          <w:szCs w:val="22"/>
          <w:lang w:val="cs-CZ"/>
        </w:rPr>
      </w:pPr>
    </w:p>
    <w:p w:rsidR="00FF0FA1" w:rsidRPr="00187716" w:rsidRDefault="00FF0FA1" w:rsidP="00FF0FA1">
      <w:pPr>
        <w:rPr>
          <w:sz w:val="22"/>
          <w:szCs w:val="22"/>
        </w:rPr>
      </w:pPr>
      <w:proofErr w:type="spellStart"/>
      <w:r w:rsidRPr="00187716">
        <w:rPr>
          <w:sz w:val="22"/>
          <w:szCs w:val="22"/>
        </w:rPr>
        <w:t>Vzhledem</w:t>
      </w:r>
      <w:proofErr w:type="spellEnd"/>
      <w:r w:rsidRPr="00187716">
        <w:rPr>
          <w:sz w:val="22"/>
          <w:szCs w:val="22"/>
        </w:rPr>
        <w:t xml:space="preserve"> k 50-krát </w:t>
      </w:r>
      <w:proofErr w:type="spellStart"/>
      <w:r w:rsidRPr="00187716">
        <w:rPr>
          <w:sz w:val="22"/>
          <w:szCs w:val="22"/>
        </w:rPr>
        <w:t>vyšší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koncentraci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účinné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látky</w:t>
      </w:r>
      <w:proofErr w:type="spellEnd"/>
      <w:r w:rsidRPr="00187716">
        <w:rPr>
          <w:sz w:val="22"/>
          <w:szCs w:val="22"/>
        </w:rPr>
        <w:t xml:space="preserve"> v </w:t>
      </w:r>
      <w:proofErr w:type="spellStart"/>
      <w:r w:rsidRPr="00187716">
        <w:rPr>
          <w:sz w:val="22"/>
          <w:szCs w:val="22"/>
        </w:rPr>
        <w:t>tomto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přípravku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ve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srovnání</w:t>
      </w:r>
      <w:proofErr w:type="spellEnd"/>
      <w:r w:rsidRPr="00187716">
        <w:rPr>
          <w:sz w:val="22"/>
          <w:szCs w:val="22"/>
        </w:rPr>
        <w:t xml:space="preserve"> s </w:t>
      </w:r>
      <w:proofErr w:type="spellStart"/>
      <w:r w:rsidRPr="00187716">
        <w:rPr>
          <w:sz w:val="22"/>
          <w:szCs w:val="22"/>
        </w:rPr>
        <w:t>přípravky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obsahujícími</w:t>
      </w:r>
      <w:proofErr w:type="spellEnd"/>
      <w:r w:rsidRPr="00187716">
        <w:rPr>
          <w:sz w:val="22"/>
          <w:szCs w:val="22"/>
        </w:rPr>
        <w:t xml:space="preserve"> 0,1 mg /ml </w:t>
      </w:r>
      <w:proofErr w:type="spellStart"/>
      <w:r w:rsidRPr="00187716">
        <w:rPr>
          <w:sz w:val="22"/>
          <w:szCs w:val="22"/>
        </w:rPr>
        <w:t>dexmedetomidin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hydrochloridu</w:t>
      </w:r>
      <w:proofErr w:type="spellEnd"/>
      <w:r w:rsidRPr="00187716">
        <w:rPr>
          <w:sz w:val="22"/>
          <w:szCs w:val="22"/>
        </w:rPr>
        <w:t xml:space="preserve">, je </w:t>
      </w:r>
      <w:proofErr w:type="spellStart"/>
      <w:r w:rsidRPr="00187716">
        <w:rPr>
          <w:sz w:val="22"/>
          <w:szCs w:val="22"/>
        </w:rPr>
        <w:t>třeba</w:t>
      </w:r>
      <w:proofErr w:type="spellEnd"/>
      <w:r w:rsidRPr="00187716">
        <w:rPr>
          <w:sz w:val="22"/>
          <w:szCs w:val="22"/>
        </w:rPr>
        <w:t xml:space="preserve"> 5-krát </w:t>
      </w:r>
      <w:proofErr w:type="spellStart"/>
      <w:r w:rsidRPr="00187716">
        <w:rPr>
          <w:sz w:val="22"/>
          <w:szCs w:val="22"/>
        </w:rPr>
        <w:t>menší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objem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přípravku</w:t>
      </w:r>
      <w:proofErr w:type="spellEnd"/>
      <w:r w:rsidRPr="00187716">
        <w:rPr>
          <w:sz w:val="22"/>
          <w:szCs w:val="22"/>
        </w:rPr>
        <w:t xml:space="preserve"> s </w:t>
      </w:r>
      <w:proofErr w:type="spellStart"/>
      <w:r w:rsidRPr="00187716">
        <w:rPr>
          <w:sz w:val="22"/>
          <w:szCs w:val="22"/>
        </w:rPr>
        <w:t>atipamezolem</w:t>
      </w:r>
      <w:proofErr w:type="spellEnd"/>
      <w:r w:rsidRPr="00187716">
        <w:rPr>
          <w:sz w:val="22"/>
          <w:szCs w:val="22"/>
        </w:rPr>
        <w:t xml:space="preserve">.  </w:t>
      </w:r>
    </w:p>
    <w:p w:rsidR="00FF0FA1" w:rsidRPr="00187716" w:rsidRDefault="00FF0FA1" w:rsidP="00FF0FA1">
      <w:pPr>
        <w:rPr>
          <w:sz w:val="22"/>
          <w:szCs w:val="22"/>
        </w:rPr>
      </w:pPr>
    </w:p>
    <w:p w:rsidR="00FF0FA1" w:rsidRPr="004D2995" w:rsidRDefault="00FF0FA1" w:rsidP="00FF0FA1">
      <w:pPr>
        <w:pStyle w:val="Standard"/>
        <w:rPr>
          <w:rFonts w:ascii="Times New Roman" w:hAnsi="Times New Roman"/>
          <w:sz w:val="22"/>
          <w:szCs w:val="22"/>
          <w:lang w:val="cs-CZ"/>
        </w:rPr>
      </w:pPr>
      <w:r w:rsidRPr="004D2995">
        <w:rPr>
          <w:rFonts w:ascii="Times New Roman" w:hAnsi="Times New Roman"/>
          <w:sz w:val="22"/>
          <w:szCs w:val="22"/>
          <w:lang w:val="cs-CZ"/>
        </w:rPr>
        <w:t>Příklad dávkování u psů:</w:t>
      </w: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4464"/>
        <w:gridCol w:w="4253"/>
      </w:tblGrid>
      <w:tr w:rsidR="00FF0FA1" w:rsidRPr="004D2995" w:rsidTr="00DF2E61">
        <w:trPr>
          <w:trHeight w:val="508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0FA1" w:rsidRPr="00501F61" w:rsidRDefault="00FF0FA1" w:rsidP="00187716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501F61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Medetomidin</w:t>
            </w:r>
            <w:proofErr w:type="spellEnd"/>
            <w:r w:rsidRPr="00501F61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1,0 mg/ml injekční roztok -</w:t>
            </w:r>
          </w:p>
          <w:p w:rsidR="00FF0FA1" w:rsidRPr="00187716" w:rsidRDefault="00FF0FA1" w:rsidP="00187716">
            <w:pPr>
              <w:rPr>
                <w:sz w:val="22"/>
                <w:szCs w:val="22"/>
              </w:rPr>
            </w:pPr>
            <w:proofErr w:type="spellStart"/>
            <w:r w:rsidRPr="00187716">
              <w:rPr>
                <w:b/>
                <w:bCs/>
                <w:sz w:val="22"/>
                <w:szCs w:val="22"/>
              </w:rPr>
              <w:t>dávkování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0FA1" w:rsidRPr="004D2995" w:rsidRDefault="00FF0FA1" w:rsidP="00187716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proofErr w:type="spellStart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</w:t>
            </w:r>
            <w:proofErr w:type="spellEnd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hydrochlorid</w:t>
            </w:r>
            <w:proofErr w:type="spellEnd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5,0 mg/ml injekční roztok -</w:t>
            </w:r>
            <w:r w:rsidR="002704D4" w:rsidRPr="004D2995">
              <w:rPr>
                <w:b/>
                <w:bCs/>
                <w:sz w:val="22"/>
                <w:szCs w:val="22"/>
                <w:lang w:val="cs-CZ"/>
              </w:rPr>
              <w:t xml:space="preserve"> </w:t>
            </w:r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FF0FA1" w:rsidRPr="004D2995" w:rsidTr="00DF2E61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0FA1" w:rsidRPr="00501F61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0,04 ml/kg živé hmotnosti (ž.hm.), </w:t>
            </w:r>
          </w:p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40 </w:t>
            </w:r>
            <w:proofErr w:type="spellStart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/kg ž.hm. 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tj.200 </w:t>
            </w:r>
            <w:proofErr w:type="spellStart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/kg ž.hm.</w:t>
            </w:r>
          </w:p>
        </w:tc>
      </w:tr>
      <w:tr w:rsidR="00FF0FA1" w:rsidRPr="004D2995" w:rsidTr="00DF2E61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0FA1" w:rsidRPr="004D2995" w:rsidRDefault="00FF0FA1" w:rsidP="00187716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proofErr w:type="spellStart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Dexmedetomidin</w:t>
            </w:r>
            <w:proofErr w:type="spellEnd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0,5 mg/ml injekční roztok - dávkování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0FA1" w:rsidRPr="004D2995" w:rsidRDefault="00FF0FA1" w:rsidP="00187716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</w:t>
            </w:r>
            <w:proofErr w:type="spellEnd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hydrochlorid</w:t>
            </w:r>
            <w:proofErr w:type="spellEnd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5,0 mg/ml injekční roztok -</w:t>
            </w:r>
          </w:p>
          <w:p w:rsidR="00FF0FA1" w:rsidRPr="004D2995" w:rsidRDefault="00FF0FA1" w:rsidP="00187716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FF0FA1" w:rsidRPr="004D2995" w:rsidTr="00DF2E61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:rsidR="00FF0FA1" w:rsidRPr="004D2995" w:rsidRDefault="002704D4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tj.</w:t>
            </w:r>
            <w:r w:rsidR="00FF0FA1"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20 </w:t>
            </w:r>
            <w:proofErr w:type="spellStart"/>
            <w:r w:rsidR="00FF0FA1" w:rsidRPr="004D2995"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 w:rsidR="00FF0FA1" w:rsidRPr="004D2995">
              <w:rPr>
                <w:rFonts w:ascii="Times New Roman" w:hAnsi="Times New Roman"/>
                <w:sz w:val="22"/>
                <w:szCs w:val="22"/>
                <w:lang w:val="cs-CZ"/>
              </w:rPr>
              <w:t>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:rsidR="00FF0FA1" w:rsidRPr="004D2995" w:rsidRDefault="002704D4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tj.</w:t>
            </w:r>
            <w:r w:rsidR="00FF0FA1"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200 </w:t>
            </w:r>
            <w:proofErr w:type="spellStart"/>
            <w:r w:rsidR="00FF0FA1" w:rsidRPr="004D2995"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 w:rsidR="00FF0FA1" w:rsidRPr="004D2995">
              <w:rPr>
                <w:rFonts w:ascii="Times New Roman" w:hAnsi="Times New Roman"/>
                <w:sz w:val="22"/>
                <w:szCs w:val="22"/>
                <w:lang w:val="cs-CZ"/>
              </w:rPr>
              <w:t>/kg ž.hm.</w:t>
            </w:r>
          </w:p>
        </w:tc>
      </w:tr>
      <w:tr w:rsidR="00FF0FA1" w:rsidRPr="004D2995" w:rsidTr="00DF2E61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proofErr w:type="spellStart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Dexmedetomidin</w:t>
            </w:r>
            <w:proofErr w:type="spellEnd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0,1 mg/ml injekční roztok - dávkování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0FA1" w:rsidRPr="004D2995" w:rsidRDefault="00FF0FA1" w:rsidP="00187716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</w:t>
            </w:r>
            <w:proofErr w:type="spellEnd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hydrochlorid</w:t>
            </w:r>
            <w:proofErr w:type="spellEnd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5,0 mg/ml injekční roztok -</w:t>
            </w:r>
          </w:p>
          <w:p w:rsidR="00FF0FA1" w:rsidRPr="004D2995" w:rsidRDefault="00FF0FA1" w:rsidP="002704D4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FF0FA1" w:rsidRPr="004D2995" w:rsidTr="00DF2E61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0,2 ml/kg živé hmotnosti (ž.hm.),</w:t>
            </w:r>
          </w:p>
          <w:p w:rsidR="00FF0FA1" w:rsidRPr="004D2995" w:rsidRDefault="002704D4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tj.</w:t>
            </w:r>
            <w:r w:rsidR="00FF0FA1"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20 </w:t>
            </w:r>
            <w:proofErr w:type="spellStart"/>
            <w:r w:rsidR="00FF0FA1" w:rsidRPr="004D2995"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 w:rsidR="00FF0FA1" w:rsidRPr="004D2995">
              <w:rPr>
                <w:rFonts w:ascii="Times New Roman" w:hAnsi="Times New Roman"/>
                <w:sz w:val="22"/>
                <w:szCs w:val="22"/>
                <w:lang w:val="cs-CZ"/>
              </w:rPr>
              <w:t>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:rsidR="00FF0FA1" w:rsidRPr="004D2995" w:rsidRDefault="002704D4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tj.</w:t>
            </w:r>
            <w:r w:rsidR="00FF0FA1"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200 </w:t>
            </w:r>
            <w:proofErr w:type="spellStart"/>
            <w:r w:rsidR="00FF0FA1" w:rsidRPr="004D2995"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 w:rsidR="00FF0FA1" w:rsidRPr="004D2995">
              <w:rPr>
                <w:rFonts w:ascii="Times New Roman" w:hAnsi="Times New Roman"/>
                <w:sz w:val="22"/>
                <w:szCs w:val="22"/>
                <w:lang w:val="cs-CZ"/>
              </w:rPr>
              <w:t>/kg ž.hm.</w:t>
            </w:r>
          </w:p>
        </w:tc>
      </w:tr>
    </w:tbl>
    <w:p w:rsidR="00FF0FA1" w:rsidRPr="00187716" w:rsidRDefault="00FF0FA1" w:rsidP="00FF0FA1">
      <w:pPr>
        <w:rPr>
          <w:sz w:val="22"/>
          <w:szCs w:val="22"/>
          <w:lang w:val="cs-CZ"/>
        </w:rPr>
      </w:pPr>
      <w:r w:rsidRPr="00187716">
        <w:rPr>
          <w:dstrike/>
          <w:sz w:val="22"/>
          <w:szCs w:val="22"/>
          <w:lang w:val="cs-CZ"/>
        </w:rPr>
        <w:br/>
      </w:r>
      <w:r w:rsidRPr="00187716">
        <w:rPr>
          <w:sz w:val="22"/>
          <w:szCs w:val="22"/>
          <w:u w:val="single"/>
          <w:lang w:val="cs-CZ"/>
        </w:rPr>
        <w:lastRenderedPageBreak/>
        <w:t>Kočky:</w:t>
      </w:r>
      <w:r w:rsidRPr="00187716">
        <w:rPr>
          <w:sz w:val="22"/>
          <w:szCs w:val="22"/>
          <w:lang w:val="cs-CZ"/>
        </w:rPr>
        <w:t xml:space="preserve"> Dávka </w:t>
      </w:r>
      <w:proofErr w:type="spellStart"/>
      <w:r w:rsidRPr="00187716">
        <w:rPr>
          <w:sz w:val="22"/>
          <w:szCs w:val="22"/>
          <w:lang w:val="cs-CZ"/>
        </w:rPr>
        <w:t>atipamezol</w:t>
      </w:r>
      <w:proofErr w:type="spellEnd"/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187716">
        <w:rPr>
          <w:sz w:val="22"/>
          <w:szCs w:val="22"/>
          <w:lang w:val="cs-CZ"/>
        </w:rPr>
        <w:t>hydrochloridu</w:t>
      </w:r>
      <w:proofErr w:type="spellEnd"/>
      <w:r w:rsidRPr="00187716">
        <w:rPr>
          <w:sz w:val="22"/>
          <w:szCs w:val="22"/>
          <w:lang w:val="cs-CZ"/>
        </w:rPr>
        <w:t xml:space="preserve"> (v µg na kg živé hmotnosti) je 2,5-krát vyšší než předchozí dávka </w:t>
      </w:r>
      <w:proofErr w:type="spellStart"/>
      <w:r w:rsidRPr="00187716">
        <w:rPr>
          <w:sz w:val="22"/>
          <w:szCs w:val="22"/>
          <w:lang w:val="cs-CZ"/>
        </w:rPr>
        <w:t>medetomidin</w:t>
      </w:r>
      <w:proofErr w:type="spellEnd"/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187716">
        <w:rPr>
          <w:sz w:val="22"/>
          <w:szCs w:val="22"/>
          <w:lang w:val="cs-CZ"/>
        </w:rPr>
        <w:t>hydrochloridu</w:t>
      </w:r>
      <w:proofErr w:type="spellEnd"/>
      <w:r w:rsidRPr="00187716">
        <w:rPr>
          <w:sz w:val="22"/>
          <w:szCs w:val="22"/>
          <w:lang w:val="cs-CZ"/>
        </w:rPr>
        <w:t xml:space="preserve"> nebo 5-krát vyšší než dávka </w:t>
      </w:r>
      <w:proofErr w:type="spellStart"/>
      <w:r w:rsidRPr="00187716">
        <w:rPr>
          <w:sz w:val="22"/>
          <w:szCs w:val="22"/>
          <w:lang w:val="cs-CZ"/>
        </w:rPr>
        <w:t>dexmedetomidin</w:t>
      </w:r>
      <w:proofErr w:type="spellEnd"/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187716">
        <w:rPr>
          <w:sz w:val="22"/>
          <w:szCs w:val="22"/>
          <w:lang w:val="cs-CZ"/>
        </w:rPr>
        <w:t>hydrochloridu</w:t>
      </w:r>
      <w:proofErr w:type="spellEnd"/>
      <w:r w:rsidRPr="00187716">
        <w:rPr>
          <w:sz w:val="22"/>
          <w:szCs w:val="22"/>
          <w:lang w:val="cs-CZ"/>
        </w:rPr>
        <w:t>. Vzhledem k pětinásobné koncentraci účinné látky (</w:t>
      </w:r>
      <w:proofErr w:type="spellStart"/>
      <w:r w:rsidRPr="00187716">
        <w:rPr>
          <w:sz w:val="22"/>
          <w:szCs w:val="22"/>
          <w:lang w:val="cs-CZ"/>
        </w:rPr>
        <w:t>atipamezol</w:t>
      </w:r>
      <w:proofErr w:type="spellEnd"/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187716">
        <w:rPr>
          <w:sz w:val="22"/>
          <w:szCs w:val="22"/>
          <w:lang w:val="cs-CZ"/>
        </w:rPr>
        <w:t>hydrochlorid</w:t>
      </w:r>
      <w:proofErr w:type="spellEnd"/>
      <w:r w:rsidRPr="00187716">
        <w:rPr>
          <w:sz w:val="22"/>
          <w:szCs w:val="22"/>
          <w:lang w:val="cs-CZ"/>
        </w:rPr>
        <w:t xml:space="preserve">) v tomto přípravku ve srovnání s přípravky obsahujícími 1 mg / ml </w:t>
      </w:r>
      <w:proofErr w:type="spellStart"/>
      <w:r w:rsidRPr="00187716">
        <w:rPr>
          <w:sz w:val="22"/>
          <w:szCs w:val="22"/>
          <w:lang w:val="cs-CZ"/>
        </w:rPr>
        <w:t>medetomidin</w:t>
      </w:r>
      <w:proofErr w:type="spellEnd"/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187716">
        <w:rPr>
          <w:sz w:val="22"/>
          <w:szCs w:val="22"/>
          <w:lang w:val="cs-CZ"/>
        </w:rPr>
        <w:t>hydrochloridu</w:t>
      </w:r>
      <w:proofErr w:type="spellEnd"/>
      <w:r w:rsidRPr="00187716">
        <w:rPr>
          <w:sz w:val="22"/>
          <w:szCs w:val="22"/>
          <w:lang w:val="cs-CZ"/>
        </w:rPr>
        <w:t xml:space="preserve">  nebo desetinásobné koncentraci ve srovnání s přípravky s obsahem 0,5 mg / ml </w:t>
      </w:r>
      <w:proofErr w:type="spellStart"/>
      <w:r w:rsidRPr="00187716">
        <w:rPr>
          <w:sz w:val="22"/>
          <w:szCs w:val="22"/>
          <w:lang w:val="cs-CZ"/>
        </w:rPr>
        <w:t>dexmedetomidin</w:t>
      </w:r>
      <w:proofErr w:type="spellEnd"/>
      <w:r w:rsidRPr="00187716">
        <w:rPr>
          <w:sz w:val="22"/>
          <w:szCs w:val="22"/>
          <w:lang w:val="cs-CZ"/>
        </w:rPr>
        <w:t xml:space="preserve"> </w:t>
      </w:r>
      <w:proofErr w:type="spellStart"/>
      <w:r w:rsidRPr="00187716">
        <w:rPr>
          <w:sz w:val="22"/>
          <w:szCs w:val="22"/>
          <w:lang w:val="cs-CZ"/>
        </w:rPr>
        <w:t>hydrochloridu</w:t>
      </w:r>
      <w:proofErr w:type="spellEnd"/>
      <w:r w:rsidRPr="00187716">
        <w:rPr>
          <w:sz w:val="22"/>
          <w:szCs w:val="22"/>
          <w:lang w:val="cs-CZ"/>
        </w:rPr>
        <w:t xml:space="preserve"> se podává poloviční objem přípravku oproti objemu </w:t>
      </w:r>
      <w:proofErr w:type="spellStart"/>
      <w:r w:rsidRPr="00187716">
        <w:rPr>
          <w:sz w:val="22"/>
          <w:szCs w:val="22"/>
          <w:lang w:val="cs-CZ"/>
        </w:rPr>
        <w:t>medetomidinu</w:t>
      </w:r>
      <w:proofErr w:type="spellEnd"/>
      <w:r w:rsidRPr="00187716">
        <w:rPr>
          <w:sz w:val="22"/>
          <w:szCs w:val="22"/>
          <w:lang w:val="cs-CZ"/>
        </w:rPr>
        <w:t xml:space="preserve"> nebo </w:t>
      </w:r>
      <w:proofErr w:type="spellStart"/>
      <w:r w:rsidRPr="00187716">
        <w:rPr>
          <w:sz w:val="22"/>
          <w:szCs w:val="22"/>
          <w:lang w:val="cs-CZ"/>
        </w:rPr>
        <w:t>dexmedetomidinu</w:t>
      </w:r>
      <w:proofErr w:type="spellEnd"/>
      <w:r w:rsidRPr="00187716">
        <w:rPr>
          <w:sz w:val="22"/>
          <w:szCs w:val="22"/>
          <w:lang w:val="cs-CZ"/>
        </w:rPr>
        <w:t>.</w:t>
      </w:r>
    </w:p>
    <w:p w:rsidR="00FF0FA1" w:rsidRPr="00187716" w:rsidRDefault="00FF0FA1" w:rsidP="00FF0FA1">
      <w:pPr>
        <w:rPr>
          <w:sz w:val="22"/>
          <w:szCs w:val="22"/>
          <w:lang w:val="cs-CZ"/>
        </w:rPr>
      </w:pPr>
    </w:p>
    <w:p w:rsidR="00FF0FA1" w:rsidRPr="00187716" w:rsidRDefault="00FF0FA1" w:rsidP="00FF0FA1">
      <w:pPr>
        <w:rPr>
          <w:sz w:val="22"/>
          <w:szCs w:val="22"/>
        </w:rPr>
      </w:pPr>
      <w:proofErr w:type="spellStart"/>
      <w:r w:rsidRPr="00187716">
        <w:rPr>
          <w:sz w:val="22"/>
          <w:szCs w:val="22"/>
        </w:rPr>
        <w:t>Vzhledem</w:t>
      </w:r>
      <w:proofErr w:type="spellEnd"/>
      <w:r w:rsidRPr="00187716">
        <w:rPr>
          <w:sz w:val="22"/>
          <w:szCs w:val="22"/>
        </w:rPr>
        <w:t xml:space="preserve"> k 50-krát </w:t>
      </w:r>
      <w:proofErr w:type="spellStart"/>
      <w:r w:rsidRPr="00187716">
        <w:rPr>
          <w:sz w:val="22"/>
          <w:szCs w:val="22"/>
        </w:rPr>
        <w:t>vyšší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koncentraci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účinné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látky</w:t>
      </w:r>
      <w:proofErr w:type="spellEnd"/>
      <w:r w:rsidRPr="00187716">
        <w:rPr>
          <w:sz w:val="22"/>
          <w:szCs w:val="22"/>
        </w:rPr>
        <w:t xml:space="preserve"> v </w:t>
      </w:r>
      <w:proofErr w:type="spellStart"/>
      <w:r w:rsidRPr="00187716">
        <w:rPr>
          <w:sz w:val="22"/>
          <w:szCs w:val="22"/>
        </w:rPr>
        <w:t>tomto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přípravku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ve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srovnání</w:t>
      </w:r>
      <w:proofErr w:type="spellEnd"/>
      <w:r w:rsidRPr="00187716">
        <w:rPr>
          <w:sz w:val="22"/>
          <w:szCs w:val="22"/>
        </w:rPr>
        <w:t xml:space="preserve"> s </w:t>
      </w:r>
      <w:proofErr w:type="spellStart"/>
      <w:r w:rsidRPr="00187716">
        <w:rPr>
          <w:sz w:val="22"/>
          <w:szCs w:val="22"/>
        </w:rPr>
        <w:t>přípravky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obsahujícími</w:t>
      </w:r>
      <w:proofErr w:type="spellEnd"/>
      <w:r w:rsidRPr="00187716">
        <w:rPr>
          <w:sz w:val="22"/>
          <w:szCs w:val="22"/>
        </w:rPr>
        <w:t xml:space="preserve"> 0,1 mg /ml </w:t>
      </w:r>
      <w:proofErr w:type="spellStart"/>
      <w:r w:rsidRPr="00187716">
        <w:rPr>
          <w:sz w:val="22"/>
          <w:szCs w:val="22"/>
        </w:rPr>
        <w:t>dexmedetomidin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hydrochloridu</w:t>
      </w:r>
      <w:proofErr w:type="spellEnd"/>
      <w:r w:rsidRPr="00187716">
        <w:rPr>
          <w:sz w:val="22"/>
          <w:szCs w:val="22"/>
        </w:rPr>
        <w:t xml:space="preserve">, je </w:t>
      </w:r>
      <w:proofErr w:type="spellStart"/>
      <w:r w:rsidRPr="00187716">
        <w:rPr>
          <w:sz w:val="22"/>
          <w:szCs w:val="22"/>
        </w:rPr>
        <w:t>třeba</w:t>
      </w:r>
      <w:proofErr w:type="spellEnd"/>
      <w:r w:rsidRPr="00187716">
        <w:rPr>
          <w:sz w:val="22"/>
          <w:szCs w:val="22"/>
        </w:rPr>
        <w:t xml:space="preserve"> 10-krát </w:t>
      </w:r>
      <w:proofErr w:type="spellStart"/>
      <w:r w:rsidRPr="00187716">
        <w:rPr>
          <w:sz w:val="22"/>
          <w:szCs w:val="22"/>
        </w:rPr>
        <w:t>menší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objem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přípravku</w:t>
      </w:r>
      <w:proofErr w:type="spellEnd"/>
      <w:r w:rsidRPr="00187716">
        <w:rPr>
          <w:sz w:val="22"/>
          <w:szCs w:val="22"/>
        </w:rPr>
        <w:t xml:space="preserve"> s </w:t>
      </w:r>
      <w:proofErr w:type="spellStart"/>
      <w:r w:rsidRPr="00187716">
        <w:rPr>
          <w:sz w:val="22"/>
          <w:szCs w:val="22"/>
        </w:rPr>
        <w:t>atipamezolem</w:t>
      </w:r>
      <w:proofErr w:type="spellEnd"/>
      <w:r w:rsidRPr="00187716">
        <w:rPr>
          <w:sz w:val="22"/>
          <w:szCs w:val="22"/>
        </w:rPr>
        <w:t xml:space="preserve">.  </w:t>
      </w:r>
    </w:p>
    <w:p w:rsidR="00FF0FA1" w:rsidRPr="00187716" w:rsidRDefault="00FF0FA1" w:rsidP="00FF0FA1">
      <w:pPr>
        <w:rPr>
          <w:dstrike/>
          <w:sz w:val="22"/>
          <w:szCs w:val="22"/>
        </w:rPr>
      </w:pPr>
    </w:p>
    <w:p w:rsidR="00FF0FA1" w:rsidRPr="004D2995" w:rsidRDefault="00FF0FA1" w:rsidP="00FF0FA1">
      <w:pPr>
        <w:pStyle w:val="Standard"/>
        <w:rPr>
          <w:rFonts w:ascii="Times New Roman" w:hAnsi="Times New Roman"/>
          <w:sz w:val="22"/>
          <w:szCs w:val="22"/>
          <w:lang w:val="cs-CZ"/>
        </w:rPr>
      </w:pPr>
      <w:r w:rsidRPr="004D2995">
        <w:rPr>
          <w:rFonts w:ascii="Times New Roman" w:hAnsi="Times New Roman"/>
          <w:sz w:val="22"/>
          <w:szCs w:val="22"/>
          <w:lang w:val="cs-CZ"/>
        </w:rPr>
        <w:t>Tabulka dávkování u koček: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FF0FA1" w:rsidRPr="004D2995" w:rsidTr="00DF2E61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0FA1" w:rsidRPr="00501F61" w:rsidRDefault="00FF0FA1" w:rsidP="00187716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501F61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Medetomidin</w:t>
            </w:r>
            <w:proofErr w:type="spellEnd"/>
            <w:r w:rsidRPr="00501F61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1,0 mg/ml injekční roztok -</w:t>
            </w:r>
          </w:p>
          <w:p w:rsidR="00FF0FA1" w:rsidRPr="00187716" w:rsidRDefault="00FF0FA1" w:rsidP="00187716">
            <w:pPr>
              <w:rPr>
                <w:sz w:val="22"/>
                <w:szCs w:val="22"/>
              </w:rPr>
            </w:pPr>
            <w:proofErr w:type="spellStart"/>
            <w:r w:rsidRPr="00187716">
              <w:rPr>
                <w:b/>
                <w:bCs/>
                <w:sz w:val="22"/>
                <w:szCs w:val="22"/>
              </w:rPr>
              <w:t>dávkování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0FA1" w:rsidRPr="004D2995" w:rsidRDefault="00FF0FA1" w:rsidP="00187716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</w:t>
            </w:r>
            <w:proofErr w:type="spellEnd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hydrochlorid</w:t>
            </w:r>
            <w:proofErr w:type="spellEnd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5,0 mg/ml injekční roztok -</w:t>
            </w:r>
          </w:p>
          <w:p w:rsidR="00FF0FA1" w:rsidRPr="004D2995" w:rsidRDefault="00FF0FA1" w:rsidP="00187716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FF0FA1" w:rsidRPr="004D2995" w:rsidTr="00DF2E61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0FA1" w:rsidRPr="00501F61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0,08 ml/kg živé hmotnosti (ž.hm.),</w:t>
            </w:r>
          </w:p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80 </w:t>
            </w:r>
            <w:proofErr w:type="spellStart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200 </w:t>
            </w:r>
            <w:proofErr w:type="spellStart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/kg ž.hm.</w:t>
            </w:r>
          </w:p>
        </w:tc>
      </w:tr>
      <w:tr w:rsidR="00FF0FA1" w:rsidRPr="004D2995" w:rsidTr="00DF2E61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0FA1" w:rsidRPr="004D2995" w:rsidRDefault="00FF0FA1" w:rsidP="00187716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proofErr w:type="spellStart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Dexmedetomidine</w:t>
            </w:r>
            <w:proofErr w:type="spellEnd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0,5 mg/ml injekční roztok - dávkování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0FA1" w:rsidRPr="004D2995" w:rsidRDefault="00FF0FA1" w:rsidP="00187716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</w:t>
            </w:r>
            <w:proofErr w:type="spellEnd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hydrochlorid</w:t>
            </w:r>
            <w:proofErr w:type="spellEnd"/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5,0 mg/ml injekční roztok -</w:t>
            </w:r>
          </w:p>
          <w:p w:rsidR="00FF0FA1" w:rsidRPr="004D2995" w:rsidRDefault="00FF0FA1" w:rsidP="00187716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FF0FA1" w:rsidRPr="004D2995" w:rsidTr="00DF2E61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0,08 ml/kg živé hmotnosti (ž.hm.),</w:t>
            </w:r>
          </w:p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40 </w:t>
            </w:r>
            <w:proofErr w:type="spellStart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200 </w:t>
            </w:r>
            <w:proofErr w:type="spellStart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/kg ž.hm. </w:t>
            </w:r>
          </w:p>
        </w:tc>
      </w:tr>
      <w:tr w:rsidR="00FF0FA1" w:rsidRPr="004D2995" w:rsidTr="00DF2E61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proofErr w:type="spellStart"/>
            <w:r w:rsidRPr="004D299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Dexmedetomidine</w:t>
            </w:r>
            <w:proofErr w:type="spellEnd"/>
            <w:r w:rsidRPr="004D299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 0,1 mg/ml injekční roztok - dávkování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proofErr w:type="spellStart"/>
            <w:r w:rsidRPr="004D299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Atipamezol</w:t>
            </w:r>
            <w:proofErr w:type="spellEnd"/>
            <w:r w:rsidRPr="004D299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D299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hydrochlorid</w:t>
            </w:r>
            <w:proofErr w:type="spellEnd"/>
            <w:r w:rsidRPr="004D299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 5,0 mg/ml injekční roztok -</w:t>
            </w:r>
          </w:p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dávkování</w:t>
            </w:r>
          </w:p>
        </w:tc>
      </w:tr>
      <w:tr w:rsidR="00FF0FA1" w:rsidRPr="004D2995" w:rsidTr="00DF2E61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0FA1" w:rsidRPr="00501F61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0,4 ml/kg živé hmotnosti (ž.hm.),</w:t>
            </w:r>
          </w:p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40 </w:t>
            </w:r>
            <w:proofErr w:type="spellStart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:rsidR="00FF0FA1" w:rsidRPr="004D2995" w:rsidRDefault="00FF0FA1" w:rsidP="00DF2E61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200 </w:t>
            </w:r>
            <w:proofErr w:type="spellStart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 w:rsidRPr="004D2995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/kg ž.hm. </w:t>
            </w:r>
          </w:p>
        </w:tc>
      </w:tr>
    </w:tbl>
    <w:p w:rsidR="00FF0FA1" w:rsidRPr="00187716" w:rsidRDefault="00FF0FA1" w:rsidP="00FF0FA1">
      <w:pPr>
        <w:rPr>
          <w:sz w:val="22"/>
          <w:szCs w:val="22"/>
        </w:rPr>
      </w:pPr>
    </w:p>
    <w:p w:rsidR="00FF0FA1" w:rsidRPr="00187716" w:rsidRDefault="00FF0FA1" w:rsidP="00FF0FA1">
      <w:pPr>
        <w:textAlignment w:val="top"/>
        <w:rPr>
          <w:sz w:val="22"/>
          <w:szCs w:val="22"/>
        </w:rPr>
      </w:pPr>
      <w:proofErr w:type="spellStart"/>
      <w:r w:rsidRPr="00187716">
        <w:rPr>
          <w:sz w:val="22"/>
          <w:szCs w:val="22"/>
        </w:rPr>
        <w:t>Doba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zotavení</w:t>
      </w:r>
      <w:proofErr w:type="spellEnd"/>
      <w:r w:rsidRPr="00187716">
        <w:rPr>
          <w:sz w:val="22"/>
          <w:szCs w:val="22"/>
        </w:rPr>
        <w:t xml:space="preserve"> u </w:t>
      </w:r>
      <w:proofErr w:type="spellStart"/>
      <w:r w:rsidRPr="00187716">
        <w:rPr>
          <w:sz w:val="22"/>
          <w:szCs w:val="22"/>
        </w:rPr>
        <w:t>psů</w:t>
      </w:r>
      <w:proofErr w:type="spellEnd"/>
      <w:r w:rsidRPr="00187716">
        <w:rPr>
          <w:sz w:val="22"/>
          <w:szCs w:val="22"/>
        </w:rPr>
        <w:t xml:space="preserve"> a </w:t>
      </w:r>
      <w:proofErr w:type="spellStart"/>
      <w:r w:rsidRPr="00187716">
        <w:rPr>
          <w:sz w:val="22"/>
          <w:szCs w:val="22"/>
        </w:rPr>
        <w:t>koček</w:t>
      </w:r>
      <w:proofErr w:type="spellEnd"/>
      <w:r w:rsidRPr="00187716">
        <w:rPr>
          <w:sz w:val="22"/>
          <w:szCs w:val="22"/>
        </w:rPr>
        <w:t xml:space="preserve"> je </w:t>
      </w:r>
      <w:proofErr w:type="spellStart"/>
      <w:r w:rsidRPr="00187716">
        <w:rPr>
          <w:sz w:val="22"/>
          <w:szCs w:val="22"/>
        </w:rPr>
        <w:t>zkrácena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na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přibližně</w:t>
      </w:r>
      <w:proofErr w:type="spellEnd"/>
      <w:r w:rsidRPr="00187716">
        <w:rPr>
          <w:sz w:val="22"/>
          <w:szCs w:val="22"/>
        </w:rPr>
        <w:t xml:space="preserve"> 5 </w:t>
      </w:r>
      <w:proofErr w:type="spellStart"/>
      <w:r w:rsidRPr="00187716">
        <w:rPr>
          <w:sz w:val="22"/>
          <w:szCs w:val="22"/>
        </w:rPr>
        <w:t>minut</w:t>
      </w:r>
      <w:proofErr w:type="spellEnd"/>
      <w:r w:rsidRPr="00187716">
        <w:rPr>
          <w:sz w:val="22"/>
          <w:szCs w:val="22"/>
        </w:rPr>
        <w:t xml:space="preserve">. </w:t>
      </w:r>
      <w:proofErr w:type="spellStart"/>
      <w:r w:rsidRPr="00187716">
        <w:rPr>
          <w:sz w:val="22"/>
          <w:szCs w:val="22"/>
        </w:rPr>
        <w:t>Zvířata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jsou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mobilní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přibližně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po</w:t>
      </w:r>
      <w:proofErr w:type="spellEnd"/>
      <w:r w:rsidRPr="00187716">
        <w:rPr>
          <w:sz w:val="22"/>
          <w:szCs w:val="22"/>
        </w:rPr>
        <w:t xml:space="preserve"> 10 </w:t>
      </w:r>
      <w:proofErr w:type="spellStart"/>
      <w:r w:rsidRPr="00187716">
        <w:rPr>
          <w:sz w:val="22"/>
          <w:szCs w:val="22"/>
        </w:rPr>
        <w:t>minutách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po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podání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přípravku</w:t>
      </w:r>
      <w:proofErr w:type="spellEnd"/>
      <w:r w:rsidRPr="00187716">
        <w:rPr>
          <w:sz w:val="22"/>
          <w:szCs w:val="22"/>
        </w:rPr>
        <w:t>.</w:t>
      </w:r>
    </w:p>
    <w:p w:rsidR="00123055" w:rsidRPr="004D2995" w:rsidRDefault="00123055" w:rsidP="00123055">
      <w:pPr>
        <w:pStyle w:val="Zkladntext"/>
        <w:rPr>
          <w:sz w:val="22"/>
          <w:szCs w:val="22"/>
          <w:lang w:val="cs-CZ"/>
        </w:rPr>
      </w:pPr>
    </w:p>
    <w:p w:rsidR="00CD2D0A" w:rsidRPr="004D2995" w:rsidRDefault="00CD2D0A" w:rsidP="00123055">
      <w:pPr>
        <w:pStyle w:val="Zkladntext"/>
        <w:rPr>
          <w:sz w:val="22"/>
          <w:szCs w:val="22"/>
          <w:lang w:val="cs-CZ"/>
        </w:rPr>
      </w:pPr>
    </w:p>
    <w:p w:rsidR="00D83FD0" w:rsidRPr="004D2995" w:rsidRDefault="00D83FD0" w:rsidP="00D83FD0">
      <w:pPr>
        <w:ind w:left="567" w:hanging="567"/>
        <w:rPr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9.</w:t>
      </w:r>
      <w:r w:rsidRPr="004D2995">
        <w:rPr>
          <w:b/>
          <w:sz w:val="22"/>
          <w:szCs w:val="22"/>
          <w:lang w:val="cs-CZ"/>
        </w:rPr>
        <w:tab/>
      </w:r>
      <w:r w:rsidR="00794678" w:rsidRPr="004D2995">
        <w:rPr>
          <w:b/>
          <w:sz w:val="22"/>
          <w:szCs w:val="22"/>
          <w:lang w:val="cs-CZ"/>
        </w:rPr>
        <w:t>POKYNY PRO SPRÁVNÉ PODÁNÍ</w:t>
      </w:r>
    </w:p>
    <w:p w:rsidR="00D83FD0" w:rsidRPr="004D2995" w:rsidRDefault="00D83FD0" w:rsidP="00D83FD0">
      <w:pPr>
        <w:rPr>
          <w:sz w:val="22"/>
          <w:szCs w:val="22"/>
          <w:lang w:val="cs-CZ"/>
        </w:rPr>
      </w:pPr>
    </w:p>
    <w:p w:rsidR="006721E1" w:rsidRPr="004D2995" w:rsidRDefault="006721E1" w:rsidP="00D83FD0">
      <w:pPr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>-</w:t>
      </w:r>
    </w:p>
    <w:p w:rsidR="00D83FD0" w:rsidRPr="004D2995" w:rsidRDefault="00D83FD0" w:rsidP="00D83FD0">
      <w:pPr>
        <w:rPr>
          <w:sz w:val="22"/>
          <w:szCs w:val="22"/>
          <w:lang w:val="cs-CZ"/>
        </w:rPr>
      </w:pPr>
    </w:p>
    <w:p w:rsidR="00D83FD0" w:rsidRPr="004D2995" w:rsidRDefault="00D83FD0" w:rsidP="00D83FD0">
      <w:pPr>
        <w:ind w:left="567" w:hanging="567"/>
        <w:rPr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10.</w:t>
      </w:r>
      <w:r w:rsidRPr="004D2995">
        <w:rPr>
          <w:b/>
          <w:sz w:val="22"/>
          <w:szCs w:val="22"/>
          <w:lang w:val="cs-CZ"/>
        </w:rPr>
        <w:tab/>
      </w:r>
      <w:r w:rsidR="00794678" w:rsidRPr="004D2995">
        <w:rPr>
          <w:b/>
          <w:sz w:val="22"/>
          <w:szCs w:val="22"/>
          <w:lang w:val="cs-CZ"/>
        </w:rPr>
        <w:t>OCHRANNÁ LHŮTA</w:t>
      </w:r>
    </w:p>
    <w:p w:rsidR="00D83FD0" w:rsidRPr="004D2995" w:rsidRDefault="00D83FD0" w:rsidP="00D83FD0">
      <w:pPr>
        <w:rPr>
          <w:iCs/>
          <w:sz w:val="22"/>
          <w:szCs w:val="22"/>
          <w:lang w:val="cs-CZ"/>
        </w:rPr>
      </w:pPr>
    </w:p>
    <w:p w:rsidR="00794678" w:rsidRPr="004D2995" w:rsidRDefault="00794678" w:rsidP="00794678">
      <w:pPr>
        <w:tabs>
          <w:tab w:val="left" w:pos="4536"/>
          <w:tab w:val="left" w:pos="5103"/>
        </w:tabs>
        <w:ind w:left="709" w:hanging="709"/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>Není určeno pro potravinová zvířata.</w:t>
      </w:r>
    </w:p>
    <w:p w:rsidR="00795D34" w:rsidRPr="004D2995" w:rsidRDefault="00795D34" w:rsidP="00D83FD0">
      <w:pPr>
        <w:rPr>
          <w:iCs/>
          <w:sz w:val="22"/>
          <w:szCs w:val="22"/>
          <w:lang w:val="cs-CZ"/>
        </w:rPr>
      </w:pPr>
    </w:p>
    <w:p w:rsidR="00D83FD0" w:rsidRPr="004D2995" w:rsidRDefault="00D83FD0" w:rsidP="00D83FD0">
      <w:pPr>
        <w:ind w:left="567" w:hanging="567"/>
        <w:rPr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11.</w:t>
      </w:r>
      <w:r w:rsidRPr="004D2995">
        <w:rPr>
          <w:b/>
          <w:sz w:val="22"/>
          <w:szCs w:val="22"/>
          <w:lang w:val="cs-CZ"/>
        </w:rPr>
        <w:tab/>
      </w:r>
      <w:r w:rsidR="00794678" w:rsidRPr="004D2995">
        <w:rPr>
          <w:b/>
          <w:sz w:val="22"/>
          <w:szCs w:val="22"/>
          <w:lang w:val="cs-CZ"/>
        </w:rPr>
        <w:t>ZVLÁŠTNÍ OPATŘENÍ PRO UCHOVÁVÁNÍ</w:t>
      </w:r>
    </w:p>
    <w:p w:rsidR="00D83FD0" w:rsidRPr="004D2995" w:rsidRDefault="00D83FD0" w:rsidP="00D83FD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:rsidR="00794678" w:rsidRPr="004D2995" w:rsidRDefault="00794678" w:rsidP="00794678">
      <w:pPr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>Uchovávat mimo dosah dětí.</w:t>
      </w:r>
    </w:p>
    <w:p w:rsidR="00D83FD0" w:rsidRPr="004D2995" w:rsidRDefault="00794678" w:rsidP="00D83FD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>Tento veterinární léčivý přípravek nevyžaduje žádné zvláštní podmínky uchovávání</w:t>
      </w:r>
      <w:r w:rsidR="006721E1" w:rsidRPr="004D2995">
        <w:rPr>
          <w:sz w:val="22"/>
          <w:szCs w:val="22"/>
          <w:lang w:val="cs-CZ"/>
        </w:rPr>
        <w:t>.</w:t>
      </w:r>
    </w:p>
    <w:p w:rsidR="00794678" w:rsidRPr="004D2995" w:rsidRDefault="00794678" w:rsidP="00D83FD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 xml:space="preserve">Nepoužívejte </w:t>
      </w:r>
      <w:r w:rsidR="00FF0FA1" w:rsidRPr="004D2995">
        <w:rPr>
          <w:sz w:val="22"/>
          <w:szCs w:val="22"/>
          <w:lang w:val="cs-CZ"/>
        </w:rPr>
        <w:t xml:space="preserve">tento veterinární léčivý přípravek </w:t>
      </w:r>
      <w:r w:rsidRPr="004D2995">
        <w:rPr>
          <w:sz w:val="22"/>
          <w:szCs w:val="22"/>
          <w:lang w:val="cs-CZ"/>
        </w:rPr>
        <w:t>po uplynutí doby použitelnost</w:t>
      </w:r>
      <w:r w:rsidR="00162D52" w:rsidRPr="004D2995">
        <w:rPr>
          <w:sz w:val="22"/>
          <w:szCs w:val="22"/>
          <w:lang w:val="cs-CZ"/>
        </w:rPr>
        <w:t>i</w:t>
      </w:r>
      <w:r w:rsidRPr="004D2995">
        <w:rPr>
          <w:sz w:val="22"/>
          <w:szCs w:val="22"/>
          <w:lang w:val="cs-CZ"/>
        </w:rPr>
        <w:t xml:space="preserve"> uvedené na </w:t>
      </w:r>
      <w:r w:rsidR="002978BE" w:rsidRPr="004D2995">
        <w:rPr>
          <w:sz w:val="22"/>
          <w:szCs w:val="22"/>
          <w:lang w:val="cs-CZ"/>
        </w:rPr>
        <w:t xml:space="preserve">etiketě po </w:t>
      </w:r>
      <w:r w:rsidRPr="004D2995">
        <w:rPr>
          <w:sz w:val="22"/>
          <w:szCs w:val="22"/>
          <w:lang w:val="cs-CZ"/>
        </w:rPr>
        <w:t>EXP.</w:t>
      </w:r>
      <w:r w:rsidR="00FF0FA1" w:rsidRPr="004D2995">
        <w:rPr>
          <w:sz w:val="22"/>
          <w:szCs w:val="22"/>
          <w:lang w:val="cs-CZ"/>
        </w:rPr>
        <w:t xml:space="preserve"> </w:t>
      </w:r>
      <w:r w:rsidR="00162D52" w:rsidRPr="004D2995">
        <w:rPr>
          <w:sz w:val="22"/>
          <w:szCs w:val="22"/>
          <w:lang w:val="cs-CZ"/>
        </w:rPr>
        <w:t>D</w:t>
      </w:r>
      <w:r w:rsidR="00FF0FA1" w:rsidRPr="004D2995">
        <w:rPr>
          <w:sz w:val="22"/>
          <w:szCs w:val="22"/>
          <w:lang w:val="cs-CZ"/>
        </w:rPr>
        <w:t>ob</w:t>
      </w:r>
      <w:r w:rsidR="00162D52" w:rsidRPr="004D2995">
        <w:rPr>
          <w:sz w:val="22"/>
          <w:szCs w:val="22"/>
          <w:lang w:val="cs-CZ"/>
        </w:rPr>
        <w:t>a</w:t>
      </w:r>
      <w:r w:rsidR="00FF0FA1" w:rsidRPr="004D2995">
        <w:rPr>
          <w:sz w:val="22"/>
          <w:szCs w:val="22"/>
          <w:lang w:val="cs-CZ"/>
        </w:rPr>
        <w:t xml:space="preserve"> použitelnosti </w:t>
      </w:r>
      <w:r w:rsidR="00162D52" w:rsidRPr="004D2995">
        <w:rPr>
          <w:sz w:val="22"/>
          <w:szCs w:val="22"/>
          <w:lang w:val="cs-CZ"/>
        </w:rPr>
        <w:t>končí</w:t>
      </w:r>
      <w:r w:rsidR="00FF0FA1" w:rsidRPr="004D2995">
        <w:rPr>
          <w:sz w:val="22"/>
          <w:szCs w:val="22"/>
          <w:lang w:val="cs-CZ"/>
        </w:rPr>
        <w:t xml:space="preserve"> posledním dn</w:t>
      </w:r>
      <w:r w:rsidR="00162D52" w:rsidRPr="004D2995">
        <w:rPr>
          <w:sz w:val="22"/>
          <w:szCs w:val="22"/>
          <w:lang w:val="cs-CZ"/>
        </w:rPr>
        <w:t>em</w:t>
      </w:r>
      <w:r w:rsidR="00FF0FA1" w:rsidRPr="004D2995">
        <w:rPr>
          <w:sz w:val="22"/>
          <w:szCs w:val="22"/>
          <w:lang w:val="cs-CZ"/>
        </w:rPr>
        <w:t xml:space="preserve"> v měsíci.</w:t>
      </w:r>
    </w:p>
    <w:p w:rsidR="00D83FD0" w:rsidRPr="004D2995" w:rsidRDefault="00794678" w:rsidP="00D83FD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 xml:space="preserve">Doba použitelnosti po prvním otevření </w:t>
      </w:r>
      <w:r w:rsidR="00162D52" w:rsidRPr="004D2995">
        <w:rPr>
          <w:sz w:val="22"/>
          <w:szCs w:val="22"/>
          <w:lang w:val="cs-CZ"/>
        </w:rPr>
        <w:t>vnitřního obalu</w:t>
      </w:r>
      <w:r w:rsidR="009A2DD0" w:rsidRPr="004D2995">
        <w:rPr>
          <w:sz w:val="22"/>
          <w:szCs w:val="22"/>
          <w:lang w:val="cs-CZ"/>
        </w:rPr>
        <w:t>: 28 dní</w:t>
      </w:r>
      <w:r w:rsidR="00162D52" w:rsidRPr="004D2995">
        <w:rPr>
          <w:sz w:val="22"/>
          <w:szCs w:val="22"/>
          <w:lang w:val="cs-CZ"/>
        </w:rPr>
        <w:t>.</w:t>
      </w:r>
    </w:p>
    <w:p w:rsidR="00D83FD0" w:rsidRPr="004D2995" w:rsidRDefault="00D83FD0" w:rsidP="00D83FD0">
      <w:pPr>
        <w:rPr>
          <w:sz w:val="22"/>
          <w:szCs w:val="22"/>
          <w:lang w:val="cs-CZ"/>
        </w:rPr>
      </w:pPr>
    </w:p>
    <w:p w:rsidR="00D83FD0" w:rsidRPr="004D2995" w:rsidRDefault="006721E1" w:rsidP="00D83FD0">
      <w:pPr>
        <w:ind w:left="567" w:hanging="567"/>
        <w:rPr>
          <w:b/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12.</w:t>
      </w:r>
      <w:r w:rsidRPr="004D2995">
        <w:rPr>
          <w:b/>
          <w:sz w:val="22"/>
          <w:szCs w:val="22"/>
          <w:lang w:val="cs-CZ"/>
        </w:rPr>
        <w:tab/>
      </w:r>
      <w:r w:rsidR="00794678" w:rsidRPr="004D2995">
        <w:rPr>
          <w:b/>
          <w:sz w:val="22"/>
          <w:szCs w:val="22"/>
          <w:lang w:val="cs-CZ"/>
        </w:rPr>
        <w:t>ZVLÁŠTNÍ UPOZORNĚNÍ</w:t>
      </w:r>
    </w:p>
    <w:p w:rsidR="00D83FD0" w:rsidRPr="004D2995" w:rsidRDefault="00D83FD0" w:rsidP="00D83FD0">
      <w:pPr>
        <w:rPr>
          <w:sz w:val="22"/>
          <w:szCs w:val="22"/>
          <w:lang w:val="cs-CZ"/>
        </w:rPr>
      </w:pPr>
    </w:p>
    <w:p w:rsidR="00794678" w:rsidRPr="00187716" w:rsidRDefault="00794678" w:rsidP="00794678">
      <w:pPr>
        <w:rPr>
          <w:sz w:val="22"/>
          <w:szCs w:val="22"/>
          <w:u w:val="single"/>
          <w:lang w:val="cs-CZ"/>
        </w:rPr>
      </w:pPr>
      <w:r w:rsidRPr="00187716">
        <w:rPr>
          <w:sz w:val="22"/>
          <w:szCs w:val="22"/>
          <w:u w:val="single"/>
          <w:lang w:val="cs-CZ"/>
        </w:rPr>
        <w:t>Zvláštní opatření pro použití u zvířat</w:t>
      </w:r>
      <w:r w:rsidR="00DF1536" w:rsidRPr="004D2995">
        <w:rPr>
          <w:sz w:val="22"/>
          <w:szCs w:val="22"/>
          <w:u w:val="single"/>
          <w:lang w:val="cs-CZ"/>
        </w:rPr>
        <w:t>:</w:t>
      </w:r>
    </w:p>
    <w:p w:rsidR="008B7A4B" w:rsidRPr="004D2995" w:rsidRDefault="00794678" w:rsidP="008B7A4B">
      <w:pPr>
        <w:tabs>
          <w:tab w:val="left" w:pos="4536"/>
          <w:tab w:val="left" w:pos="5103"/>
        </w:tabs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 xml:space="preserve">Zvířata by měla být po aplikaci </w:t>
      </w:r>
      <w:r w:rsidR="00E11BE7" w:rsidRPr="00391509">
        <w:rPr>
          <w:sz w:val="22"/>
          <w:szCs w:val="22"/>
          <w:lang w:val="cs-CZ"/>
        </w:rPr>
        <w:t xml:space="preserve">přípravku </w:t>
      </w:r>
      <w:r w:rsidRPr="00391509">
        <w:rPr>
          <w:sz w:val="22"/>
          <w:szCs w:val="22"/>
          <w:lang w:val="cs-CZ"/>
        </w:rPr>
        <w:t>umístěna na klidném místě. Během zotavování nesmí být zvířata ponechána bez dozoru.</w:t>
      </w:r>
      <w:r w:rsidR="005437DC" w:rsidRPr="004D2995">
        <w:rPr>
          <w:sz w:val="22"/>
          <w:szCs w:val="22"/>
          <w:lang w:val="cs-CZ"/>
        </w:rPr>
        <w:t xml:space="preserve"> Ujistěte se, že se u zvířat obnovil běžný polykací reflex před tím, n</w:t>
      </w:r>
      <w:r w:rsidR="00E11BE7" w:rsidRPr="004D2995">
        <w:rPr>
          <w:sz w:val="22"/>
          <w:szCs w:val="22"/>
          <w:lang w:val="cs-CZ"/>
        </w:rPr>
        <w:t>e</w:t>
      </w:r>
      <w:r w:rsidR="005437DC" w:rsidRPr="004D2995">
        <w:rPr>
          <w:sz w:val="22"/>
          <w:szCs w:val="22"/>
          <w:lang w:val="cs-CZ"/>
        </w:rPr>
        <w:t xml:space="preserve">ž jim nabídnete tekutiny nebo </w:t>
      </w:r>
      <w:r w:rsidR="00E11BE7" w:rsidRPr="004D2995">
        <w:rPr>
          <w:sz w:val="22"/>
          <w:szCs w:val="22"/>
          <w:lang w:val="cs-CZ"/>
        </w:rPr>
        <w:t>potravu</w:t>
      </w:r>
      <w:r w:rsidR="005437DC" w:rsidRPr="004D2995">
        <w:rPr>
          <w:sz w:val="22"/>
          <w:szCs w:val="22"/>
          <w:lang w:val="cs-CZ"/>
        </w:rPr>
        <w:t xml:space="preserve">. </w:t>
      </w:r>
      <w:r w:rsidR="008B7A4B" w:rsidRPr="004D2995">
        <w:rPr>
          <w:sz w:val="22"/>
          <w:szCs w:val="22"/>
          <w:lang w:val="cs-CZ"/>
        </w:rPr>
        <w:t>Použití přípravku u zvířat jiných než označených jako cílové druhy zvířat by mělo být obezřetné kvůli rozdílným dávkovacím doporučením.</w:t>
      </w:r>
    </w:p>
    <w:p w:rsidR="008B7A4B" w:rsidRPr="004D2995" w:rsidRDefault="008B7A4B" w:rsidP="008B7A4B">
      <w:pPr>
        <w:pStyle w:val="Standard"/>
        <w:jc w:val="both"/>
        <w:rPr>
          <w:rFonts w:ascii="Times New Roman" w:hAnsi="Times New Roman"/>
          <w:sz w:val="22"/>
          <w:szCs w:val="22"/>
          <w:lang w:val="cs-CZ"/>
        </w:rPr>
      </w:pPr>
      <w:r w:rsidRPr="004D2995">
        <w:rPr>
          <w:rFonts w:ascii="Times New Roman" w:hAnsi="Times New Roman"/>
          <w:sz w:val="22"/>
          <w:szCs w:val="22"/>
          <w:lang w:val="cs-CZ"/>
        </w:rPr>
        <w:t xml:space="preserve">Pokud jsou podána i jiná sedativa než </w:t>
      </w:r>
      <w:proofErr w:type="spellStart"/>
      <w:r w:rsidRPr="004D2995">
        <w:rPr>
          <w:rFonts w:ascii="Times New Roman" w:hAnsi="Times New Roman"/>
          <w:sz w:val="22"/>
          <w:szCs w:val="22"/>
          <w:lang w:val="cs-CZ"/>
        </w:rPr>
        <w:t>medetomidin</w:t>
      </w:r>
      <w:proofErr w:type="spellEnd"/>
      <w:r w:rsidRPr="004D2995">
        <w:rPr>
          <w:rFonts w:ascii="Times New Roman" w:hAnsi="Times New Roman"/>
          <w:sz w:val="22"/>
          <w:szCs w:val="22"/>
          <w:lang w:val="cs-CZ"/>
        </w:rPr>
        <w:t xml:space="preserve"> nebo </w:t>
      </w:r>
      <w:proofErr w:type="spellStart"/>
      <w:r w:rsidRPr="004D2995">
        <w:rPr>
          <w:rFonts w:ascii="Times New Roman" w:hAnsi="Times New Roman"/>
          <w:sz w:val="22"/>
          <w:szCs w:val="22"/>
          <w:lang w:val="cs-CZ"/>
        </w:rPr>
        <w:t>dexmedetomidin</w:t>
      </w:r>
      <w:proofErr w:type="spellEnd"/>
      <w:r w:rsidRPr="004D2995">
        <w:rPr>
          <w:rFonts w:ascii="Times New Roman" w:hAnsi="Times New Roman"/>
          <w:sz w:val="22"/>
          <w:szCs w:val="22"/>
          <w:lang w:val="cs-CZ"/>
        </w:rPr>
        <w:t xml:space="preserve">, je nutno vzít v úvahu, že účinek těchto látek může přetrvat po </w:t>
      </w:r>
      <w:r w:rsidR="004D2995" w:rsidRPr="004D2995">
        <w:rPr>
          <w:rFonts w:ascii="Times New Roman" w:hAnsi="Times New Roman"/>
          <w:sz w:val="22"/>
          <w:szCs w:val="22"/>
          <w:lang w:val="cs-CZ"/>
        </w:rPr>
        <w:t xml:space="preserve">vymizení </w:t>
      </w:r>
      <w:r w:rsidRPr="004D2995">
        <w:rPr>
          <w:rFonts w:ascii="Times New Roman" w:hAnsi="Times New Roman"/>
          <w:sz w:val="22"/>
          <w:szCs w:val="22"/>
          <w:lang w:val="cs-CZ"/>
        </w:rPr>
        <w:t xml:space="preserve">účinku α2-agonisty. </w:t>
      </w:r>
    </w:p>
    <w:p w:rsidR="008B7A4B" w:rsidRDefault="008B7A4B" w:rsidP="008B7A4B">
      <w:pPr>
        <w:pStyle w:val="Standard"/>
        <w:jc w:val="both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4D2995">
        <w:rPr>
          <w:rFonts w:ascii="Times New Roman" w:hAnsi="Times New Roman"/>
          <w:sz w:val="22"/>
          <w:szCs w:val="22"/>
          <w:lang w:val="cs-CZ"/>
        </w:rPr>
        <w:t>Atipamezol</w:t>
      </w:r>
      <w:proofErr w:type="spellEnd"/>
      <w:r w:rsidRPr="004D2995">
        <w:rPr>
          <w:rFonts w:ascii="Times New Roman" w:hAnsi="Times New Roman"/>
          <w:sz w:val="22"/>
          <w:szCs w:val="22"/>
          <w:lang w:val="cs-CZ"/>
        </w:rPr>
        <w:t xml:space="preserve"> neruší účinek </w:t>
      </w:r>
      <w:proofErr w:type="spellStart"/>
      <w:r w:rsidRPr="004D2995">
        <w:rPr>
          <w:rFonts w:ascii="Times New Roman" w:hAnsi="Times New Roman"/>
          <w:sz w:val="22"/>
          <w:szCs w:val="22"/>
          <w:lang w:val="cs-CZ"/>
        </w:rPr>
        <w:t>ketaminu</w:t>
      </w:r>
      <w:proofErr w:type="spellEnd"/>
      <w:r w:rsidRPr="004D2995">
        <w:rPr>
          <w:rFonts w:ascii="Times New Roman" w:hAnsi="Times New Roman"/>
          <w:sz w:val="22"/>
          <w:szCs w:val="22"/>
          <w:lang w:val="cs-CZ"/>
        </w:rPr>
        <w:t xml:space="preserve">, což může způsobit záchvaty u psů a křeče u koček, pokud je použit samostatně. Nepodávejte </w:t>
      </w:r>
      <w:proofErr w:type="spellStart"/>
      <w:r w:rsidRPr="004D2995">
        <w:rPr>
          <w:rFonts w:ascii="Times New Roman" w:hAnsi="Times New Roman"/>
          <w:sz w:val="22"/>
          <w:szCs w:val="22"/>
          <w:lang w:val="cs-CZ"/>
        </w:rPr>
        <w:t>atipamezol</w:t>
      </w:r>
      <w:proofErr w:type="spellEnd"/>
      <w:r w:rsidRPr="004D2995">
        <w:rPr>
          <w:rFonts w:ascii="Times New Roman" w:hAnsi="Times New Roman"/>
          <w:sz w:val="22"/>
          <w:szCs w:val="22"/>
          <w:lang w:val="cs-CZ"/>
        </w:rPr>
        <w:t xml:space="preserve">, pokud byl v předchozích 30-40 minutách podán </w:t>
      </w:r>
      <w:proofErr w:type="spellStart"/>
      <w:r w:rsidRPr="004D2995">
        <w:rPr>
          <w:rFonts w:ascii="Times New Roman" w:hAnsi="Times New Roman"/>
          <w:sz w:val="22"/>
          <w:szCs w:val="22"/>
          <w:lang w:val="cs-CZ"/>
        </w:rPr>
        <w:t>ketamin</w:t>
      </w:r>
      <w:proofErr w:type="spellEnd"/>
      <w:r w:rsidRPr="004D2995">
        <w:rPr>
          <w:rFonts w:ascii="Times New Roman" w:hAnsi="Times New Roman"/>
          <w:sz w:val="22"/>
          <w:szCs w:val="22"/>
          <w:lang w:val="cs-CZ"/>
        </w:rPr>
        <w:t>.</w:t>
      </w:r>
    </w:p>
    <w:p w:rsidR="00280F32" w:rsidRPr="00187716" w:rsidRDefault="00280F32" w:rsidP="00187716">
      <w:pPr>
        <w:rPr>
          <w:lang w:val="cs-CZ"/>
        </w:rPr>
      </w:pPr>
    </w:p>
    <w:p w:rsidR="00794678" w:rsidRPr="00187716" w:rsidRDefault="00794678" w:rsidP="00794678">
      <w:pPr>
        <w:rPr>
          <w:sz w:val="22"/>
          <w:szCs w:val="22"/>
          <w:u w:val="single"/>
          <w:lang w:val="cs-CZ"/>
        </w:rPr>
      </w:pPr>
      <w:r w:rsidRPr="00187716">
        <w:rPr>
          <w:sz w:val="22"/>
          <w:szCs w:val="22"/>
          <w:u w:val="single"/>
          <w:lang w:val="cs-CZ"/>
        </w:rPr>
        <w:t>Zvláštní opatření určené osobám, které podávají veterinární léčivý přípravek zvířatům</w:t>
      </w:r>
      <w:r w:rsidR="00DF1536" w:rsidRPr="004D2995">
        <w:rPr>
          <w:sz w:val="22"/>
          <w:szCs w:val="22"/>
          <w:u w:val="single"/>
          <w:lang w:val="cs-CZ"/>
        </w:rPr>
        <w:t>:</w:t>
      </w:r>
    </w:p>
    <w:p w:rsidR="00685673" w:rsidRPr="00751443" w:rsidRDefault="00685673" w:rsidP="00685673">
      <w:pPr>
        <w:tabs>
          <w:tab w:val="left" w:pos="4536"/>
          <w:tab w:val="left" w:pos="5103"/>
        </w:tabs>
        <w:rPr>
          <w:sz w:val="22"/>
          <w:szCs w:val="22"/>
          <w:lang w:val="cs-CZ"/>
        </w:rPr>
      </w:pPr>
      <w:r w:rsidRPr="00751443">
        <w:rPr>
          <w:sz w:val="22"/>
          <w:szCs w:val="22"/>
          <w:lang w:val="cs-CZ"/>
        </w:rPr>
        <w:t xml:space="preserve">Vzhledem k možné farmakologické aktivitě </w:t>
      </w:r>
      <w:proofErr w:type="spellStart"/>
      <w:r w:rsidRPr="00751443">
        <w:rPr>
          <w:sz w:val="22"/>
          <w:szCs w:val="22"/>
          <w:lang w:val="cs-CZ"/>
        </w:rPr>
        <w:t>atipamezolu</w:t>
      </w:r>
      <w:proofErr w:type="spellEnd"/>
      <w:r w:rsidRPr="00751443">
        <w:rPr>
          <w:sz w:val="22"/>
          <w:szCs w:val="22"/>
          <w:lang w:val="cs-CZ"/>
        </w:rPr>
        <w:t xml:space="preserve"> zabraňte kontaktu přípravku s pokožkou, očima a sliznicemi. V</w:t>
      </w:r>
      <w:r>
        <w:rPr>
          <w:sz w:val="22"/>
          <w:szCs w:val="22"/>
          <w:lang w:val="cs-CZ"/>
        </w:rPr>
        <w:t> </w:t>
      </w:r>
      <w:r w:rsidRPr="00751443">
        <w:rPr>
          <w:sz w:val="22"/>
          <w:szCs w:val="22"/>
          <w:lang w:val="cs-CZ"/>
        </w:rPr>
        <w:t>případě</w:t>
      </w:r>
      <w:r>
        <w:rPr>
          <w:sz w:val="22"/>
          <w:szCs w:val="22"/>
          <w:lang w:val="cs-CZ"/>
        </w:rPr>
        <w:t xml:space="preserve"> náhodného</w:t>
      </w:r>
      <w:r w:rsidRPr="00751443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kontaktu přípravku s kůží nebo očima </w:t>
      </w:r>
      <w:r w:rsidRPr="00751443">
        <w:rPr>
          <w:sz w:val="22"/>
          <w:szCs w:val="22"/>
          <w:lang w:val="cs-CZ"/>
        </w:rPr>
        <w:t xml:space="preserve">opláchněte </w:t>
      </w:r>
      <w:r>
        <w:rPr>
          <w:sz w:val="22"/>
          <w:szCs w:val="22"/>
          <w:lang w:val="cs-CZ"/>
        </w:rPr>
        <w:t>zasažené</w:t>
      </w:r>
      <w:r w:rsidRPr="00751443">
        <w:rPr>
          <w:sz w:val="22"/>
          <w:szCs w:val="22"/>
          <w:lang w:val="cs-CZ"/>
        </w:rPr>
        <w:t xml:space="preserve"> místo velkým množstvím vody. Pokud podráždění přetrvává, vyhledejte lékařskou pomoc. Odstraňte kontaminovaný oděv, který je v přímém kontaktu s pokožkou.</w:t>
      </w:r>
    </w:p>
    <w:p w:rsidR="00685673" w:rsidRPr="006C4C25" w:rsidRDefault="00685673" w:rsidP="00685673">
      <w:pPr>
        <w:pStyle w:val="Standard"/>
        <w:jc w:val="both"/>
        <w:rPr>
          <w:rFonts w:ascii="Times New Roman" w:hAnsi="Times New Roman"/>
          <w:sz w:val="22"/>
          <w:szCs w:val="22"/>
          <w:lang w:val="cs-CZ"/>
        </w:rPr>
      </w:pPr>
      <w:r w:rsidRPr="006C4C25">
        <w:rPr>
          <w:rFonts w:ascii="Times New Roman" w:hAnsi="Times New Roman"/>
          <w:sz w:val="22"/>
          <w:szCs w:val="22"/>
          <w:lang w:val="cs-CZ"/>
        </w:rPr>
        <w:t>Předcházejte náhodnému požití přípravku nebo samo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6C4C25">
        <w:rPr>
          <w:rFonts w:ascii="Times New Roman" w:hAnsi="Times New Roman"/>
          <w:sz w:val="22"/>
          <w:szCs w:val="22"/>
          <w:lang w:val="cs-CZ"/>
        </w:rPr>
        <w:t xml:space="preserve">podání injekce. V případě náhodného požití </w:t>
      </w:r>
      <w:r>
        <w:rPr>
          <w:rFonts w:ascii="Times New Roman" w:hAnsi="Times New Roman"/>
          <w:sz w:val="22"/>
          <w:szCs w:val="22"/>
          <w:lang w:val="cs-CZ"/>
        </w:rPr>
        <w:t xml:space="preserve">nebo </w:t>
      </w:r>
      <w:r w:rsidRPr="006C4C25">
        <w:rPr>
          <w:rFonts w:ascii="Times New Roman" w:hAnsi="Times New Roman"/>
          <w:sz w:val="22"/>
          <w:szCs w:val="22"/>
          <w:lang w:val="cs-CZ"/>
        </w:rPr>
        <w:t>samo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6C4C25">
        <w:rPr>
          <w:rFonts w:ascii="Times New Roman" w:hAnsi="Times New Roman"/>
          <w:sz w:val="22"/>
          <w:szCs w:val="22"/>
          <w:lang w:val="cs-CZ"/>
        </w:rPr>
        <w:t>podání přípravku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6C4C25">
        <w:rPr>
          <w:rFonts w:ascii="Times New Roman" w:hAnsi="Times New Roman"/>
          <w:sz w:val="22"/>
          <w:szCs w:val="22"/>
          <w:lang w:val="cs-CZ"/>
        </w:rPr>
        <w:t xml:space="preserve">vyhledejte ihned lékařskou pomoc a ukažte příbalovou informaci </w:t>
      </w:r>
      <w:r>
        <w:rPr>
          <w:rFonts w:ascii="Times New Roman" w:hAnsi="Times New Roman"/>
          <w:sz w:val="22"/>
          <w:szCs w:val="22"/>
          <w:lang w:val="cs-CZ"/>
        </w:rPr>
        <w:t>praktickému</w:t>
      </w:r>
      <w:r w:rsidRPr="006C4C25">
        <w:rPr>
          <w:rFonts w:ascii="Times New Roman" w:hAnsi="Times New Roman"/>
          <w:sz w:val="22"/>
          <w:szCs w:val="22"/>
          <w:lang w:val="cs-CZ"/>
        </w:rPr>
        <w:t xml:space="preserve"> lékaři. Neřiďte motorové vozidlo. Pacient nesmí zůstat bez dozoru.</w:t>
      </w:r>
    </w:p>
    <w:p w:rsidR="00794678" w:rsidRPr="004D2995" w:rsidRDefault="00794678" w:rsidP="00794678">
      <w:pPr>
        <w:pStyle w:val="Standard"/>
        <w:jc w:val="both"/>
        <w:rPr>
          <w:rFonts w:ascii="Times New Roman" w:hAnsi="Times New Roman"/>
          <w:sz w:val="22"/>
          <w:szCs w:val="22"/>
          <w:lang w:val="cs-CZ"/>
        </w:rPr>
      </w:pPr>
    </w:p>
    <w:p w:rsidR="00DF1536" w:rsidRPr="00187716" w:rsidRDefault="00DF1536" w:rsidP="00187716">
      <w:pPr>
        <w:rPr>
          <w:sz w:val="22"/>
          <w:szCs w:val="22"/>
          <w:u w:val="single"/>
          <w:lang w:val="cs-CZ"/>
        </w:rPr>
      </w:pPr>
      <w:r w:rsidRPr="00187716">
        <w:rPr>
          <w:sz w:val="22"/>
          <w:szCs w:val="22"/>
          <w:u w:val="single"/>
          <w:lang w:val="cs-CZ"/>
        </w:rPr>
        <w:t>Březost:</w:t>
      </w:r>
    </w:p>
    <w:p w:rsidR="00794678" w:rsidRDefault="00391509" w:rsidP="00D83FD0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Bezpečnost přípravku v průběhu březosti nebyla stanovena, a proto se jeho použití u březích zvířat nedoporučuje. </w:t>
      </w:r>
    </w:p>
    <w:p w:rsidR="00391509" w:rsidRPr="004D2995" w:rsidRDefault="00391509" w:rsidP="00D83FD0">
      <w:pPr>
        <w:rPr>
          <w:sz w:val="22"/>
          <w:szCs w:val="22"/>
          <w:lang w:val="cs-CZ"/>
        </w:rPr>
      </w:pPr>
    </w:p>
    <w:p w:rsidR="00DF1536" w:rsidRPr="00391509" w:rsidRDefault="00DF1536" w:rsidP="00D83FD0">
      <w:pPr>
        <w:rPr>
          <w:sz w:val="22"/>
          <w:szCs w:val="22"/>
          <w:u w:val="single"/>
          <w:lang w:val="cs-CZ"/>
        </w:rPr>
      </w:pPr>
      <w:r w:rsidRPr="00391509">
        <w:rPr>
          <w:sz w:val="22"/>
          <w:szCs w:val="22"/>
          <w:u w:val="single"/>
          <w:lang w:val="cs-CZ"/>
        </w:rPr>
        <w:t>Laktace:</w:t>
      </w:r>
    </w:p>
    <w:p w:rsidR="00DF1536" w:rsidRPr="004D2995" w:rsidRDefault="00391509" w:rsidP="00D83FD0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Bezpečnost přípravku v průběhu laktace nebyla stanovena, a proto se jeho použití u </w:t>
      </w:r>
      <w:proofErr w:type="spellStart"/>
      <w:r>
        <w:rPr>
          <w:sz w:val="22"/>
          <w:szCs w:val="22"/>
          <w:lang w:val="cs-CZ"/>
        </w:rPr>
        <w:t>laktujících</w:t>
      </w:r>
      <w:proofErr w:type="spellEnd"/>
      <w:r>
        <w:rPr>
          <w:sz w:val="22"/>
          <w:szCs w:val="22"/>
          <w:lang w:val="cs-CZ"/>
        </w:rPr>
        <w:t xml:space="preserve"> zvířat nedoporučuje. </w:t>
      </w:r>
    </w:p>
    <w:p w:rsidR="00DF1536" w:rsidRPr="004D2995" w:rsidRDefault="00DF1536" w:rsidP="00D83FD0">
      <w:pPr>
        <w:rPr>
          <w:sz w:val="22"/>
          <w:szCs w:val="22"/>
          <w:lang w:val="cs-CZ"/>
        </w:rPr>
      </w:pPr>
    </w:p>
    <w:p w:rsidR="001A1654" w:rsidRPr="00187716" w:rsidRDefault="001A1654" w:rsidP="001A1654">
      <w:pPr>
        <w:rPr>
          <w:sz w:val="22"/>
          <w:szCs w:val="22"/>
          <w:u w:val="single"/>
          <w:lang w:val="cs-CZ"/>
        </w:rPr>
      </w:pPr>
      <w:r w:rsidRPr="00187716">
        <w:rPr>
          <w:sz w:val="22"/>
          <w:szCs w:val="22"/>
          <w:u w:val="single"/>
          <w:lang w:val="cs-CZ"/>
        </w:rPr>
        <w:t>Interakce s dalšími léčivými přípravky</w:t>
      </w:r>
      <w:r w:rsidR="00DF1536" w:rsidRPr="00187716">
        <w:rPr>
          <w:sz w:val="22"/>
          <w:szCs w:val="22"/>
          <w:u w:val="single"/>
          <w:lang w:val="cs-CZ"/>
        </w:rPr>
        <w:t xml:space="preserve"> a další formy interakce</w:t>
      </w:r>
      <w:r w:rsidR="00DF1536" w:rsidRPr="004D2995">
        <w:rPr>
          <w:sz w:val="22"/>
          <w:szCs w:val="22"/>
          <w:u w:val="single"/>
          <w:lang w:val="cs-CZ"/>
        </w:rPr>
        <w:t>:</w:t>
      </w:r>
    </w:p>
    <w:p w:rsidR="001A1654" w:rsidRPr="004D2995" w:rsidRDefault="001A1654" w:rsidP="001A1654">
      <w:pPr>
        <w:pStyle w:val="Standard"/>
        <w:jc w:val="both"/>
        <w:rPr>
          <w:rFonts w:ascii="Times New Roman" w:hAnsi="Times New Roman"/>
          <w:sz w:val="22"/>
          <w:szCs w:val="22"/>
          <w:lang w:val="cs-CZ"/>
        </w:rPr>
      </w:pPr>
      <w:r w:rsidRPr="004D2995">
        <w:rPr>
          <w:rFonts w:ascii="Times New Roman" w:hAnsi="Times New Roman"/>
          <w:sz w:val="22"/>
          <w:szCs w:val="22"/>
          <w:lang w:val="cs-CZ"/>
        </w:rPr>
        <w:t xml:space="preserve">Současné podávání </w:t>
      </w:r>
      <w:proofErr w:type="spellStart"/>
      <w:r w:rsidRPr="004D2995">
        <w:rPr>
          <w:rFonts w:ascii="Times New Roman" w:hAnsi="Times New Roman"/>
          <w:sz w:val="22"/>
          <w:szCs w:val="22"/>
          <w:lang w:val="cs-CZ"/>
        </w:rPr>
        <w:t>atipamezolu</w:t>
      </w:r>
      <w:proofErr w:type="spellEnd"/>
      <w:r w:rsidRPr="004D2995">
        <w:rPr>
          <w:rFonts w:ascii="Times New Roman" w:hAnsi="Times New Roman"/>
          <w:sz w:val="22"/>
          <w:szCs w:val="22"/>
          <w:lang w:val="cs-CZ"/>
        </w:rPr>
        <w:t xml:space="preserve"> s jinými centrálně působícími léky jako diazepam, </w:t>
      </w:r>
      <w:proofErr w:type="spellStart"/>
      <w:r w:rsidRPr="004D2995">
        <w:rPr>
          <w:rFonts w:ascii="Times New Roman" w:hAnsi="Times New Roman"/>
          <w:sz w:val="22"/>
          <w:szCs w:val="22"/>
          <w:lang w:val="cs-CZ"/>
        </w:rPr>
        <w:t>acepromazin</w:t>
      </w:r>
      <w:proofErr w:type="spellEnd"/>
      <w:r w:rsidRPr="004D2995">
        <w:rPr>
          <w:rFonts w:ascii="Times New Roman" w:hAnsi="Times New Roman"/>
          <w:sz w:val="22"/>
          <w:szCs w:val="22"/>
          <w:lang w:val="cs-CZ"/>
        </w:rPr>
        <w:t xml:space="preserve"> nebo opiáty se nedoporučuje.</w:t>
      </w:r>
    </w:p>
    <w:p w:rsidR="00DF1536" w:rsidRPr="004D2995" w:rsidRDefault="00DF1536" w:rsidP="00187716">
      <w:pPr>
        <w:rPr>
          <w:sz w:val="22"/>
          <w:szCs w:val="22"/>
          <w:lang w:val="cs-CZ"/>
        </w:rPr>
      </w:pPr>
    </w:p>
    <w:p w:rsidR="00DF1536" w:rsidRPr="00391509" w:rsidRDefault="00DF1536" w:rsidP="001A1654">
      <w:pPr>
        <w:rPr>
          <w:sz w:val="22"/>
          <w:szCs w:val="22"/>
          <w:lang w:val="cs-CZ"/>
        </w:rPr>
      </w:pPr>
      <w:r w:rsidRPr="00187716">
        <w:rPr>
          <w:sz w:val="22"/>
          <w:szCs w:val="22"/>
          <w:u w:val="single"/>
          <w:lang w:val="cs-CZ"/>
        </w:rPr>
        <w:t xml:space="preserve">Předávkování (symptomy, první pomoc, </w:t>
      </w:r>
      <w:proofErr w:type="spellStart"/>
      <w:r w:rsidRPr="00187716">
        <w:rPr>
          <w:sz w:val="22"/>
          <w:szCs w:val="22"/>
          <w:u w:val="single"/>
          <w:lang w:val="cs-CZ"/>
        </w:rPr>
        <w:t>antidota</w:t>
      </w:r>
      <w:proofErr w:type="spellEnd"/>
      <w:r w:rsidRPr="00187716">
        <w:rPr>
          <w:sz w:val="22"/>
          <w:szCs w:val="22"/>
          <w:u w:val="single"/>
          <w:lang w:val="cs-CZ"/>
        </w:rPr>
        <w:t>)</w:t>
      </w:r>
      <w:r w:rsidRPr="00187716">
        <w:rPr>
          <w:sz w:val="22"/>
          <w:szCs w:val="22"/>
          <w:lang w:val="cs-CZ"/>
        </w:rPr>
        <w:t>:</w:t>
      </w:r>
    </w:p>
    <w:p w:rsidR="001A1654" w:rsidRPr="003371C9" w:rsidRDefault="001A1654" w:rsidP="001A1654">
      <w:pPr>
        <w:rPr>
          <w:sz w:val="22"/>
          <w:szCs w:val="22"/>
          <w:lang w:val="cs-CZ"/>
        </w:rPr>
      </w:pPr>
      <w:r w:rsidRPr="003371C9">
        <w:rPr>
          <w:sz w:val="22"/>
          <w:szCs w:val="22"/>
          <w:lang w:val="cs-CZ"/>
        </w:rPr>
        <w:t xml:space="preserve">Předávkování </w:t>
      </w:r>
      <w:proofErr w:type="spellStart"/>
      <w:r w:rsidRPr="003371C9">
        <w:rPr>
          <w:sz w:val="22"/>
          <w:szCs w:val="22"/>
          <w:lang w:val="cs-CZ"/>
        </w:rPr>
        <w:t>atipamezol</w:t>
      </w:r>
      <w:proofErr w:type="spellEnd"/>
      <w:r w:rsidRPr="003371C9">
        <w:rPr>
          <w:sz w:val="22"/>
          <w:szCs w:val="22"/>
          <w:lang w:val="cs-CZ"/>
        </w:rPr>
        <w:t xml:space="preserve"> </w:t>
      </w:r>
      <w:proofErr w:type="spellStart"/>
      <w:r w:rsidRPr="003371C9">
        <w:rPr>
          <w:sz w:val="22"/>
          <w:szCs w:val="22"/>
          <w:lang w:val="cs-CZ"/>
        </w:rPr>
        <w:t>hydrochloridem</w:t>
      </w:r>
      <w:proofErr w:type="spellEnd"/>
      <w:r w:rsidRPr="003371C9">
        <w:rPr>
          <w:sz w:val="22"/>
          <w:szCs w:val="22"/>
          <w:lang w:val="cs-CZ"/>
        </w:rPr>
        <w:t xml:space="preserve"> může vést k přechodné tachykardii a zvýšené bdělosti (hyperaktivitě, svalovému třesu). Pokud je to nezbytné, mohou být tyto příznaky </w:t>
      </w:r>
      <w:r w:rsidR="003371C9">
        <w:rPr>
          <w:sz w:val="22"/>
          <w:szCs w:val="22"/>
          <w:lang w:val="cs-CZ"/>
        </w:rPr>
        <w:t>eliminovány</w:t>
      </w:r>
      <w:r w:rsidR="003371C9" w:rsidRPr="003371C9">
        <w:rPr>
          <w:sz w:val="22"/>
          <w:szCs w:val="22"/>
          <w:lang w:val="cs-CZ"/>
        </w:rPr>
        <w:t xml:space="preserve"> </w:t>
      </w:r>
      <w:r w:rsidRPr="003371C9">
        <w:rPr>
          <w:sz w:val="22"/>
          <w:szCs w:val="22"/>
          <w:lang w:val="cs-CZ"/>
        </w:rPr>
        <w:t xml:space="preserve">použitím </w:t>
      </w:r>
      <w:proofErr w:type="spellStart"/>
      <w:r w:rsidRPr="003371C9">
        <w:rPr>
          <w:sz w:val="22"/>
          <w:szCs w:val="22"/>
          <w:lang w:val="cs-CZ"/>
        </w:rPr>
        <w:t>medetomidin</w:t>
      </w:r>
      <w:proofErr w:type="spellEnd"/>
      <w:r w:rsidRPr="003371C9">
        <w:rPr>
          <w:sz w:val="22"/>
          <w:szCs w:val="22"/>
          <w:lang w:val="cs-CZ"/>
        </w:rPr>
        <w:t xml:space="preserve"> nebo </w:t>
      </w:r>
      <w:proofErr w:type="spellStart"/>
      <w:r w:rsidRPr="003371C9">
        <w:rPr>
          <w:sz w:val="22"/>
          <w:szCs w:val="22"/>
          <w:lang w:val="cs-CZ"/>
        </w:rPr>
        <w:t>dexmedetomidin</w:t>
      </w:r>
      <w:proofErr w:type="spellEnd"/>
      <w:r w:rsidRPr="003371C9">
        <w:rPr>
          <w:sz w:val="22"/>
          <w:szCs w:val="22"/>
          <w:lang w:val="cs-CZ"/>
        </w:rPr>
        <w:t xml:space="preserve"> </w:t>
      </w:r>
      <w:proofErr w:type="spellStart"/>
      <w:r w:rsidRPr="003371C9">
        <w:rPr>
          <w:sz w:val="22"/>
          <w:szCs w:val="22"/>
          <w:lang w:val="cs-CZ"/>
        </w:rPr>
        <w:t>hydrochloridu</w:t>
      </w:r>
      <w:proofErr w:type="spellEnd"/>
      <w:r w:rsidRPr="003371C9">
        <w:rPr>
          <w:sz w:val="22"/>
          <w:szCs w:val="22"/>
          <w:lang w:val="cs-CZ"/>
        </w:rPr>
        <w:t xml:space="preserve"> v dávce, která je nižší než obvykle klinicky používaná.</w:t>
      </w:r>
      <w:r w:rsidR="003371C9">
        <w:rPr>
          <w:sz w:val="22"/>
          <w:szCs w:val="22"/>
          <w:lang w:val="cs-CZ"/>
        </w:rPr>
        <w:t xml:space="preserve"> </w:t>
      </w:r>
      <w:r w:rsidRPr="003371C9">
        <w:rPr>
          <w:sz w:val="22"/>
          <w:szCs w:val="22"/>
          <w:lang w:val="cs-CZ"/>
        </w:rPr>
        <w:t xml:space="preserve">Pokud je </w:t>
      </w:r>
      <w:proofErr w:type="spellStart"/>
      <w:r w:rsidRPr="003371C9">
        <w:rPr>
          <w:sz w:val="22"/>
          <w:szCs w:val="22"/>
          <w:lang w:val="cs-CZ"/>
        </w:rPr>
        <w:t>atipamezol</w:t>
      </w:r>
      <w:proofErr w:type="spellEnd"/>
      <w:r w:rsidRPr="003371C9">
        <w:rPr>
          <w:sz w:val="22"/>
          <w:szCs w:val="22"/>
          <w:lang w:val="cs-CZ"/>
        </w:rPr>
        <w:t xml:space="preserve"> </w:t>
      </w:r>
      <w:proofErr w:type="spellStart"/>
      <w:r w:rsidRPr="003371C9">
        <w:rPr>
          <w:sz w:val="22"/>
          <w:szCs w:val="22"/>
          <w:lang w:val="cs-CZ"/>
        </w:rPr>
        <w:t>hydrochlorid</w:t>
      </w:r>
      <w:proofErr w:type="spellEnd"/>
      <w:r w:rsidRPr="003371C9">
        <w:rPr>
          <w:sz w:val="22"/>
          <w:szCs w:val="22"/>
          <w:lang w:val="cs-CZ"/>
        </w:rPr>
        <w:t xml:space="preserve"> náhodně podán zvířeti, které nebylo předtím léčeno </w:t>
      </w:r>
      <w:proofErr w:type="spellStart"/>
      <w:r w:rsidRPr="003371C9">
        <w:rPr>
          <w:sz w:val="22"/>
          <w:szCs w:val="22"/>
          <w:lang w:val="cs-CZ"/>
        </w:rPr>
        <w:t>medetomidin</w:t>
      </w:r>
      <w:proofErr w:type="spellEnd"/>
      <w:r w:rsidRPr="003371C9">
        <w:rPr>
          <w:sz w:val="22"/>
          <w:szCs w:val="22"/>
          <w:lang w:val="cs-CZ"/>
        </w:rPr>
        <w:t xml:space="preserve"> nebo </w:t>
      </w:r>
      <w:proofErr w:type="spellStart"/>
      <w:r w:rsidRPr="003371C9">
        <w:rPr>
          <w:sz w:val="22"/>
          <w:szCs w:val="22"/>
          <w:lang w:val="cs-CZ"/>
        </w:rPr>
        <w:t>dexmedetomidin</w:t>
      </w:r>
      <w:proofErr w:type="spellEnd"/>
      <w:r w:rsidRPr="003371C9">
        <w:rPr>
          <w:sz w:val="22"/>
          <w:szCs w:val="22"/>
          <w:lang w:val="cs-CZ"/>
        </w:rPr>
        <w:t xml:space="preserve"> </w:t>
      </w:r>
      <w:proofErr w:type="spellStart"/>
      <w:r w:rsidRPr="003371C9">
        <w:rPr>
          <w:sz w:val="22"/>
          <w:szCs w:val="22"/>
          <w:lang w:val="cs-CZ"/>
        </w:rPr>
        <w:t>hydrochloridem</w:t>
      </w:r>
      <w:proofErr w:type="spellEnd"/>
      <w:r w:rsidRPr="003371C9">
        <w:rPr>
          <w:sz w:val="22"/>
          <w:szCs w:val="22"/>
          <w:lang w:val="cs-CZ"/>
        </w:rPr>
        <w:t>, může se vyskytnout hyperaktivita a svalový třes. Tyto účinky mohou přetrvávat po dobu asi 15 minut.</w:t>
      </w:r>
    </w:p>
    <w:p w:rsidR="00993F9C" w:rsidRDefault="00993F9C" w:rsidP="00993F9C">
      <w:pPr>
        <w:rPr>
          <w:sz w:val="22"/>
          <w:szCs w:val="22"/>
          <w:lang w:val="cs-CZ"/>
        </w:rPr>
      </w:pPr>
      <w:r w:rsidRPr="00187716">
        <w:rPr>
          <w:sz w:val="22"/>
          <w:szCs w:val="22"/>
          <w:lang w:val="cs-CZ"/>
        </w:rPr>
        <w:t>Zvýšenou bdělost u koček lze nejlépe zvládnout minimalizací vnějších podnětů.</w:t>
      </w:r>
    </w:p>
    <w:p w:rsidR="00280F32" w:rsidRPr="00187716" w:rsidRDefault="00280F32" w:rsidP="00993F9C">
      <w:pPr>
        <w:rPr>
          <w:sz w:val="22"/>
          <w:szCs w:val="22"/>
          <w:lang w:val="cs-CZ"/>
        </w:rPr>
      </w:pPr>
    </w:p>
    <w:p w:rsidR="001A1654" w:rsidRPr="00187716" w:rsidRDefault="00DF1536" w:rsidP="001A1654">
      <w:pPr>
        <w:rPr>
          <w:sz w:val="22"/>
          <w:szCs w:val="22"/>
          <w:u w:val="single"/>
          <w:lang w:val="cs-CZ"/>
        </w:rPr>
      </w:pPr>
      <w:r w:rsidRPr="00187716">
        <w:rPr>
          <w:sz w:val="22"/>
          <w:szCs w:val="22"/>
          <w:u w:val="single"/>
          <w:lang w:val="cs-CZ"/>
        </w:rPr>
        <w:t>Inkompatibility:</w:t>
      </w:r>
    </w:p>
    <w:p w:rsidR="004678D6" w:rsidRPr="004D2995" w:rsidRDefault="001A1654" w:rsidP="001A1654">
      <w:pPr>
        <w:rPr>
          <w:sz w:val="22"/>
          <w:szCs w:val="22"/>
          <w:lang w:val="cs-CZ"/>
        </w:rPr>
      </w:pPr>
      <w:r w:rsidRPr="00187716">
        <w:rPr>
          <w:sz w:val="22"/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:rsidR="001A1654" w:rsidRPr="00187716" w:rsidRDefault="00D31B41" w:rsidP="001A1654">
      <w:pPr>
        <w:rPr>
          <w:sz w:val="22"/>
          <w:szCs w:val="22"/>
          <w:lang w:val="cs-CZ"/>
        </w:rPr>
      </w:pPr>
      <w:r w:rsidRPr="00391509">
        <w:rPr>
          <w:sz w:val="22"/>
          <w:szCs w:val="22"/>
          <w:lang w:val="cs-CZ"/>
        </w:rPr>
        <w:t xml:space="preserve">Viz </w:t>
      </w:r>
      <w:r w:rsidR="00607817" w:rsidRPr="00391509">
        <w:rPr>
          <w:sz w:val="22"/>
          <w:szCs w:val="22"/>
          <w:lang w:val="cs-CZ"/>
        </w:rPr>
        <w:t>bod</w:t>
      </w:r>
      <w:r w:rsidRPr="00391509">
        <w:rPr>
          <w:sz w:val="22"/>
          <w:szCs w:val="22"/>
          <w:lang w:val="cs-CZ"/>
        </w:rPr>
        <w:t xml:space="preserve"> 12.</w:t>
      </w:r>
    </w:p>
    <w:p w:rsidR="001A1654" w:rsidRPr="004D2995" w:rsidRDefault="001A1654" w:rsidP="00392B00">
      <w:pPr>
        <w:pStyle w:val="Nadpis2"/>
        <w:spacing w:before="0" w:after="0"/>
        <w:jc w:val="both"/>
        <w:rPr>
          <w:sz w:val="22"/>
          <w:szCs w:val="22"/>
          <w:lang w:val="cs-CZ"/>
        </w:rPr>
      </w:pPr>
    </w:p>
    <w:p w:rsidR="001A1654" w:rsidRPr="004D2995" w:rsidRDefault="0027564E" w:rsidP="001A1654">
      <w:pPr>
        <w:rPr>
          <w:b/>
          <w:sz w:val="22"/>
          <w:szCs w:val="22"/>
          <w:lang w:val="cs-CZ"/>
        </w:rPr>
      </w:pPr>
      <w:r w:rsidRPr="00187716">
        <w:rPr>
          <w:sz w:val="22"/>
          <w:szCs w:val="22"/>
          <w:lang w:val="cs-CZ"/>
        </w:rPr>
        <w:br/>
      </w:r>
      <w:r w:rsidR="001A1654" w:rsidRPr="004D2995">
        <w:rPr>
          <w:b/>
          <w:sz w:val="22"/>
          <w:szCs w:val="22"/>
          <w:lang w:val="cs-CZ"/>
        </w:rPr>
        <w:t>13.</w:t>
      </w:r>
      <w:r w:rsidR="001A1654" w:rsidRPr="004D2995">
        <w:rPr>
          <w:b/>
          <w:sz w:val="22"/>
          <w:szCs w:val="22"/>
          <w:lang w:val="cs-CZ"/>
        </w:rPr>
        <w:tab/>
      </w:r>
      <w:r w:rsidR="001A1654" w:rsidRPr="00391509">
        <w:rPr>
          <w:b/>
          <w:sz w:val="22"/>
          <w:szCs w:val="22"/>
          <w:lang w:val="cs-CZ"/>
        </w:rPr>
        <w:t>ZVLÁŠTNÍ OPATŘENÍ PRO ZNEŠKODŇOVÁNÍ NEPOUŽITÝCH PŘÍPRAVKŮ NEBO ODPADU,  POKUD  JE JICH TŘEBA</w:t>
      </w:r>
    </w:p>
    <w:p w:rsidR="00D83FD0" w:rsidRPr="004D2995" w:rsidRDefault="00D83FD0" w:rsidP="001A1654">
      <w:pPr>
        <w:pStyle w:val="Nadpis2"/>
        <w:spacing w:before="0" w:after="0"/>
        <w:jc w:val="both"/>
        <w:rPr>
          <w:sz w:val="22"/>
          <w:szCs w:val="22"/>
          <w:lang w:val="cs-CZ"/>
        </w:rPr>
      </w:pPr>
    </w:p>
    <w:p w:rsidR="001A1654" w:rsidRPr="004D2995" w:rsidRDefault="001A1654" w:rsidP="0027564E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:rsidR="00BC2EDE" w:rsidRPr="004D2995" w:rsidRDefault="00BC2EDE" w:rsidP="00BC2EDE">
      <w:pPr>
        <w:ind w:right="-318"/>
        <w:rPr>
          <w:i/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D83FD0" w:rsidRPr="004D2995" w:rsidRDefault="00D83FD0" w:rsidP="00D83FD0">
      <w:pPr>
        <w:ind w:right="-318"/>
        <w:rPr>
          <w:sz w:val="22"/>
          <w:szCs w:val="22"/>
          <w:lang w:val="cs-CZ"/>
        </w:rPr>
      </w:pPr>
    </w:p>
    <w:p w:rsidR="00D83FD0" w:rsidRPr="004D2995" w:rsidRDefault="00D83FD0" w:rsidP="00BC2EDE">
      <w:pPr>
        <w:ind w:left="567" w:hanging="567"/>
        <w:rPr>
          <w:b/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14.</w:t>
      </w:r>
      <w:r w:rsidRPr="004D2995">
        <w:rPr>
          <w:b/>
          <w:sz w:val="22"/>
          <w:szCs w:val="22"/>
          <w:lang w:val="cs-CZ"/>
        </w:rPr>
        <w:tab/>
      </w:r>
      <w:r w:rsidR="00BC2EDE" w:rsidRPr="004D2995">
        <w:rPr>
          <w:b/>
          <w:sz w:val="22"/>
          <w:szCs w:val="22"/>
          <w:lang w:val="cs-CZ"/>
        </w:rPr>
        <w:t>DATUM POSLEDNÍ REVIZE PŘÍBALOVÉ INFORMACE</w:t>
      </w:r>
    </w:p>
    <w:p w:rsidR="00BC2EDE" w:rsidRPr="004D2995" w:rsidRDefault="00BC2EDE" w:rsidP="00BC2EDE">
      <w:pPr>
        <w:ind w:left="567" w:hanging="567"/>
        <w:rPr>
          <w:sz w:val="22"/>
          <w:szCs w:val="22"/>
          <w:lang w:val="cs-CZ"/>
        </w:rPr>
      </w:pPr>
    </w:p>
    <w:p w:rsidR="007B289B" w:rsidRPr="004D2995" w:rsidRDefault="004973ED" w:rsidP="00BC2EDE">
      <w:pPr>
        <w:ind w:left="567" w:hanging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Červen</w:t>
      </w:r>
      <w:bookmarkStart w:id="0" w:name="_GoBack"/>
      <w:bookmarkEnd w:id="0"/>
      <w:r w:rsidRPr="004D2995">
        <w:rPr>
          <w:sz w:val="22"/>
          <w:szCs w:val="22"/>
          <w:lang w:val="cs-CZ"/>
        </w:rPr>
        <w:t xml:space="preserve"> </w:t>
      </w:r>
      <w:r w:rsidR="007B289B" w:rsidRPr="004D2995">
        <w:rPr>
          <w:sz w:val="22"/>
          <w:szCs w:val="22"/>
          <w:lang w:val="cs-CZ"/>
        </w:rPr>
        <w:t>201</w:t>
      </w:r>
      <w:r w:rsidR="00187716">
        <w:rPr>
          <w:sz w:val="22"/>
          <w:szCs w:val="22"/>
          <w:lang w:val="cs-CZ"/>
        </w:rPr>
        <w:t>6</w:t>
      </w:r>
    </w:p>
    <w:p w:rsidR="00D83FD0" w:rsidRPr="004D2995" w:rsidRDefault="00D83FD0" w:rsidP="00D83FD0">
      <w:pPr>
        <w:ind w:right="-318"/>
        <w:rPr>
          <w:sz w:val="22"/>
          <w:szCs w:val="22"/>
          <w:lang w:val="cs-CZ"/>
        </w:rPr>
      </w:pPr>
    </w:p>
    <w:p w:rsidR="00D83FD0" w:rsidRPr="004D2995" w:rsidRDefault="00D83FD0" w:rsidP="00D83FD0">
      <w:pPr>
        <w:ind w:left="567" w:hanging="567"/>
        <w:rPr>
          <w:sz w:val="22"/>
          <w:szCs w:val="22"/>
          <w:lang w:val="cs-CZ"/>
        </w:rPr>
      </w:pPr>
      <w:r w:rsidRPr="004D2995">
        <w:rPr>
          <w:b/>
          <w:sz w:val="22"/>
          <w:szCs w:val="22"/>
          <w:lang w:val="cs-CZ"/>
        </w:rPr>
        <w:t>15.</w:t>
      </w:r>
      <w:r w:rsidRPr="004D2995">
        <w:rPr>
          <w:b/>
          <w:sz w:val="22"/>
          <w:szCs w:val="22"/>
          <w:lang w:val="cs-CZ"/>
        </w:rPr>
        <w:tab/>
      </w:r>
      <w:r w:rsidR="00BC2EDE" w:rsidRPr="004D2995">
        <w:rPr>
          <w:b/>
          <w:sz w:val="22"/>
          <w:szCs w:val="22"/>
          <w:lang w:val="cs-CZ"/>
        </w:rPr>
        <w:t>DALŠÍ INFORMACE</w:t>
      </w:r>
    </w:p>
    <w:p w:rsidR="00D83FD0" w:rsidRPr="004D2995" w:rsidRDefault="00D83FD0" w:rsidP="00D83FD0">
      <w:pPr>
        <w:rPr>
          <w:sz w:val="22"/>
          <w:szCs w:val="22"/>
          <w:lang w:val="cs-CZ"/>
        </w:rPr>
      </w:pPr>
    </w:p>
    <w:p w:rsidR="008B7A4B" w:rsidRPr="004D2995" w:rsidRDefault="008B7A4B" w:rsidP="008B7A4B">
      <w:pPr>
        <w:ind w:right="566"/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>Pouze pro zvířata.</w:t>
      </w:r>
    </w:p>
    <w:p w:rsidR="008B7A4B" w:rsidRPr="004D2995" w:rsidRDefault="008B7A4B" w:rsidP="008B7A4B">
      <w:pPr>
        <w:ind w:right="566"/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>Veterinární léčivý přípravek je vydáván pouze na předpis.</w:t>
      </w:r>
    </w:p>
    <w:p w:rsidR="0006013F" w:rsidRPr="004D2995" w:rsidRDefault="0006013F" w:rsidP="008B7A4B">
      <w:pPr>
        <w:ind w:right="566"/>
        <w:rPr>
          <w:sz w:val="22"/>
          <w:szCs w:val="22"/>
          <w:lang w:val="cs-CZ"/>
        </w:rPr>
      </w:pPr>
    </w:p>
    <w:p w:rsidR="0006013F" w:rsidRPr="00187716" w:rsidRDefault="0006013F" w:rsidP="0006013F">
      <w:pPr>
        <w:rPr>
          <w:sz w:val="22"/>
          <w:szCs w:val="22"/>
        </w:rPr>
      </w:pPr>
      <w:proofErr w:type="spellStart"/>
      <w:r w:rsidRPr="00187716">
        <w:rPr>
          <w:sz w:val="22"/>
          <w:szCs w:val="22"/>
        </w:rPr>
        <w:t>Velikosti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balení</w:t>
      </w:r>
      <w:proofErr w:type="spellEnd"/>
      <w:r w:rsidRPr="00187716">
        <w:rPr>
          <w:sz w:val="22"/>
          <w:szCs w:val="22"/>
        </w:rPr>
        <w:t>:</w:t>
      </w:r>
    </w:p>
    <w:p w:rsidR="0006013F" w:rsidRPr="00187716" w:rsidRDefault="0006013F" w:rsidP="0006013F">
      <w:pPr>
        <w:rPr>
          <w:sz w:val="22"/>
          <w:szCs w:val="22"/>
        </w:rPr>
      </w:pPr>
      <w:proofErr w:type="spellStart"/>
      <w:proofErr w:type="gramStart"/>
      <w:r w:rsidRPr="00187716">
        <w:rPr>
          <w:sz w:val="22"/>
          <w:szCs w:val="22"/>
        </w:rPr>
        <w:t>Papírová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krabička</w:t>
      </w:r>
      <w:proofErr w:type="spellEnd"/>
      <w:r w:rsidRPr="00187716">
        <w:rPr>
          <w:sz w:val="22"/>
          <w:szCs w:val="22"/>
        </w:rPr>
        <w:t xml:space="preserve"> s 1 </w:t>
      </w:r>
      <w:proofErr w:type="spellStart"/>
      <w:r w:rsidRPr="00187716">
        <w:rPr>
          <w:sz w:val="22"/>
          <w:szCs w:val="22"/>
        </w:rPr>
        <w:t>lahvičkou</w:t>
      </w:r>
      <w:proofErr w:type="spellEnd"/>
      <w:r w:rsidRPr="00187716">
        <w:rPr>
          <w:sz w:val="22"/>
          <w:szCs w:val="22"/>
        </w:rPr>
        <w:t xml:space="preserve"> o </w:t>
      </w:r>
      <w:proofErr w:type="spellStart"/>
      <w:r w:rsidRPr="00187716">
        <w:rPr>
          <w:sz w:val="22"/>
          <w:szCs w:val="22"/>
        </w:rPr>
        <w:t>objemu</w:t>
      </w:r>
      <w:proofErr w:type="spellEnd"/>
      <w:r w:rsidRPr="00187716">
        <w:rPr>
          <w:sz w:val="22"/>
          <w:szCs w:val="22"/>
        </w:rPr>
        <w:t xml:space="preserve"> 10 ml.</w:t>
      </w:r>
      <w:proofErr w:type="gramEnd"/>
    </w:p>
    <w:p w:rsidR="0006013F" w:rsidRPr="00187716" w:rsidRDefault="0006013F" w:rsidP="0006013F">
      <w:pPr>
        <w:rPr>
          <w:sz w:val="22"/>
          <w:szCs w:val="22"/>
        </w:rPr>
      </w:pPr>
      <w:proofErr w:type="spellStart"/>
      <w:proofErr w:type="gramStart"/>
      <w:r w:rsidRPr="00187716">
        <w:rPr>
          <w:sz w:val="22"/>
          <w:szCs w:val="22"/>
        </w:rPr>
        <w:t>Papírová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krabička</w:t>
      </w:r>
      <w:proofErr w:type="spellEnd"/>
      <w:r w:rsidRPr="00187716">
        <w:rPr>
          <w:sz w:val="22"/>
          <w:szCs w:val="22"/>
        </w:rPr>
        <w:t xml:space="preserve"> s 5 </w:t>
      </w:r>
      <w:proofErr w:type="spellStart"/>
      <w:r w:rsidRPr="00187716">
        <w:rPr>
          <w:sz w:val="22"/>
          <w:szCs w:val="22"/>
        </w:rPr>
        <w:t>lahvičkami</w:t>
      </w:r>
      <w:proofErr w:type="spellEnd"/>
      <w:r w:rsidRPr="00187716">
        <w:rPr>
          <w:sz w:val="22"/>
          <w:szCs w:val="22"/>
        </w:rPr>
        <w:t xml:space="preserve"> o </w:t>
      </w:r>
      <w:proofErr w:type="spellStart"/>
      <w:r w:rsidRPr="00187716">
        <w:rPr>
          <w:sz w:val="22"/>
          <w:szCs w:val="22"/>
        </w:rPr>
        <w:t>objemu</w:t>
      </w:r>
      <w:proofErr w:type="spellEnd"/>
      <w:r w:rsidRPr="00187716">
        <w:rPr>
          <w:sz w:val="22"/>
          <w:szCs w:val="22"/>
        </w:rPr>
        <w:t xml:space="preserve"> 10 ml.</w:t>
      </w:r>
      <w:proofErr w:type="gramEnd"/>
    </w:p>
    <w:p w:rsidR="0006013F" w:rsidRPr="00187716" w:rsidRDefault="0006013F" w:rsidP="0006013F">
      <w:pPr>
        <w:rPr>
          <w:sz w:val="22"/>
          <w:szCs w:val="22"/>
        </w:rPr>
      </w:pPr>
      <w:proofErr w:type="spellStart"/>
      <w:proofErr w:type="gramStart"/>
      <w:r w:rsidRPr="00187716">
        <w:rPr>
          <w:sz w:val="22"/>
          <w:szCs w:val="22"/>
        </w:rPr>
        <w:t>Papírová</w:t>
      </w:r>
      <w:proofErr w:type="spellEnd"/>
      <w:r w:rsidRPr="00187716">
        <w:rPr>
          <w:sz w:val="22"/>
          <w:szCs w:val="22"/>
        </w:rPr>
        <w:t xml:space="preserve"> </w:t>
      </w:r>
      <w:proofErr w:type="spellStart"/>
      <w:r w:rsidRPr="00187716">
        <w:rPr>
          <w:sz w:val="22"/>
          <w:szCs w:val="22"/>
        </w:rPr>
        <w:t>krabička</w:t>
      </w:r>
      <w:proofErr w:type="spellEnd"/>
      <w:r w:rsidRPr="00187716">
        <w:rPr>
          <w:sz w:val="22"/>
          <w:szCs w:val="22"/>
        </w:rPr>
        <w:t xml:space="preserve"> s 10 </w:t>
      </w:r>
      <w:proofErr w:type="spellStart"/>
      <w:r w:rsidRPr="00187716">
        <w:rPr>
          <w:sz w:val="22"/>
          <w:szCs w:val="22"/>
        </w:rPr>
        <w:t>lahvičkami</w:t>
      </w:r>
      <w:proofErr w:type="spellEnd"/>
      <w:r w:rsidRPr="00187716">
        <w:rPr>
          <w:sz w:val="22"/>
          <w:szCs w:val="22"/>
        </w:rPr>
        <w:t xml:space="preserve"> o </w:t>
      </w:r>
      <w:proofErr w:type="spellStart"/>
      <w:r w:rsidRPr="00187716">
        <w:rPr>
          <w:sz w:val="22"/>
          <w:szCs w:val="22"/>
        </w:rPr>
        <w:t>objemu</w:t>
      </w:r>
      <w:proofErr w:type="spellEnd"/>
      <w:r w:rsidRPr="00187716">
        <w:rPr>
          <w:sz w:val="22"/>
          <w:szCs w:val="22"/>
        </w:rPr>
        <w:t xml:space="preserve"> 10 ml.</w:t>
      </w:r>
      <w:proofErr w:type="gramEnd"/>
    </w:p>
    <w:p w:rsidR="008B7A4B" w:rsidRPr="004D2995" w:rsidRDefault="008B7A4B" w:rsidP="00D83FD0">
      <w:pPr>
        <w:rPr>
          <w:sz w:val="22"/>
          <w:szCs w:val="22"/>
          <w:lang w:val="cs-CZ"/>
        </w:rPr>
      </w:pPr>
    </w:p>
    <w:p w:rsidR="00BC2EDE" w:rsidRPr="004D2995" w:rsidRDefault="00BC2EDE" w:rsidP="00C96EE4">
      <w:pPr>
        <w:ind w:right="-2"/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>Na trhu nemusí být všechny velikosti balení.</w:t>
      </w:r>
    </w:p>
    <w:p w:rsidR="0006013F" w:rsidRPr="004D2995" w:rsidRDefault="0006013F" w:rsidP="00C96EE4">
      <w:pPr>
        <w:ind w:right="-2"/>
        <w:rPr>
          <w:sz w:val="22"/>
          <w:szCs w:val="22"/>
          <w:lang w:val="cs-CZ"/>
        </w:rPr>
      </w:pPr>
    </w:p>
    <w:p w:rsidR="0006013F" w:rsidRPr="004D2995" w:rsidRDefault="0006013F" w:rsidP="00C96EE4">
      <w:pPr>
        <w:ind w:right="-2"/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 xml:space="preserve">Po prvním propíchnutí (otevření) se datum </w:t>
      </w:r>
      <w:r w:rsidR="00901E82" w:rsidRPr="004D2995">
        <w:rPr>
          <w:sz w:val="22"/>
          <w:szCs w:val="22"/>
          <w:lang w:val="cs-CZ"/>
        </w:rPr>
        <w:t>likvidace nepoužitého přípravku stanovuje na základě doby použitelnosti po prvním otevření uvedené v této příbalové informaci. Datum likvidace je třeba zapsat na místo k tomu určené na etiketě.</w:t>
      </w:r>
    </w:p>
    <w:p w:rsidR="00901E82" w:rsidRPr="004D2995" w:rsidRDefault="00901E82" w:rsidP="00C96EE4">
      <w:pPr>
        <w:ind w:right="-2"/>
        <w:rPr>
          <w:sz w:val="22"/>
          <w:szCs w:val="22"/>
          <w:lang w:val="cs-CZ"/>
        </w:rPr>
      </w:pPr>
    </w:p>
    <w:p w:rsidR="00BC2EDE" w:rsidRPr="004D2995" w:rsidRDefault="00BC2EDE" w:rsidP="00BC2EDE">
      <w:pPr>
        <w:ind w:right="-2"/>
        <w:rPr>
          <w:sz w:val="22"/>
          <w:szCs w:val="22"/>
          <w:lang w:val="cs-CZ"/>
        </w:rPr>
      </w:pPr>
      <w:r w:rsidRPr="004D2995">
        <w:rPr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:rsidR="00740249" w:rsidRPr="004D2995" w:rsidRDefault="00740249" w:rsidP="00C96EE4">
      <w:pPr>
        <w:ind w:right="-2"/>
        <w:rPr>
          <w:sz w:val="22"/>
          <w:szCs w:val="22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8"/>
        <w:gridCol w:w="4560"/>
      </w:tblGrid>
      <w:tr w:rsidR="00884936" w:rsidRPr="004D2995">
        <w:trPr>
          <w:cantSplit/>
        </w:trPr>
        <w:tc>
          <w:tcPr>
            <w:tcW w:w="4548" w:type="dxa"/>
          </w:tcPr>
          <w:p w:rsidR="00884936" w:rsidRPr="00187716" w:rsidRDefault="00884936" w:rsidP="00F37A10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4560" w:type="dxa"/>
          </w:tcPr>
          <w:p w:rsidR="00884936" w:rsidRPr="00187716" w:rsidRDefault="00884936" w:rsidP="00F079FE">
            <w:pPr>
              <w:rPr>
                <w:sz w:val="22"/>
                <w:szCs w:val="22"/>
                <w:lang w:val="cs-CZ"/>
              </w:rPr>
            </w:pPr>
          </w:p>
        </w:tc>
      </w:tr>
    </w:tbl>
    <w:p w:rsidR="00884936" w:rsidRPr="004D2995" w:rsidRDefault="00884936" w:rsidP="00C96EE4">
      <w:pPr>
        <w:ind w:right="-2"/>
        <w:rPr>
          <w:sz w:val="22"/>
          <w:szCs w:val="22"/>
          <w:lang w:val="cs-CZ"/>
        </w:rPr>
      </w:pPr>
    </w:p>
    <w:sectPr w:rsidR="00884936" w:rsidRPr="004D2995" w:rsidSect="00B17661">
      <w:headerReference w:type="default" r:id="rId8"/>
      <w:footerReference w:type="default" r:id="rId9"/>
      <w:pgSz w:w="11907" w:h="16840" w:code="9"/>
      <w:pgMar w:top="2835" w:right="1418" w:bottom="1276" w:left="1418" w:header="1678" w:footer="7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36" w:rsidRDefault="007D3736">
      <w:r>
        <w:separator/>
      </w:r>
    </w:p>
  </w:endnote>
  <w:endnote w:type="continuationSeparator" w:id="0">
    <w:p w:rsidR="007D3736" w:rsidRDefault="007D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71" w:rsidRPr="00E30033" w:rsidRDefault="00BA4E71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E30033">
      <w:rPr>
        <w:rStyle w:val="slostrnky"/>
        <w:sz w:val="22"/>
        <w:szCs w:val="22"/>
      </w:rPr>
      <w:fldChar w:fldCharType="begin"/>
    </w:r>
    <w:r w:rsidRPr="00E30033">
      <w:rPr>
        <w:rStyle w:val="slostrnky"/>
        <w:sz w:val="22"/>
        <w:szCs w:val="22"/>
      </w:rPr>
      <w:instrText xml:space="preserve">PAGE  </w:instrText>
    </w:r>
    <w:r w:rsidRPr="00E30033">
      <w:rPr>
        <w:rStyle w:val="slostrnky"/>
        <w:sz w:val="22"/>
        <w:szCs w:val="22"/>
      </w:rPr>
      <w:fldChar w:fldCharType="separate"/>
    </w:r>
    <w:r w:rsidR="004973ED">
      <w:rPr>
        <w:rStyle w:val="slostrnky"/>
        <w:noProof/>
        <w:sz w:val="22"/>
        <w:szCs w:val="22"/>
      </w:rPr>
      <w:t>5</w:t>
    </w:r>
    <w:r w:rsidRPr="00E30033">
      <w:rPr>
        <w:rStyle w:val="slostrnky"/>
        <w:sz w:val="22"/>
        <w:szCs w:val="22"/>
      </w:rPr>
      <w:fldChar w:fldCharType="end"/>
    </w:r>
  </w:p>
  <w:p w:rsidR="00BA4E71" w:rsidRDefault="00BA4E71">
    <w:pPr>
      <w:pStyle w:val="Zpat"/>
      <w:ind w:right="360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36" w:rsidRDefault="007D3736">
      <w:r>
        <w:separator/>
      </w:r>
    </w:p>
  </w:footnote>
  <w:footnote w:type="continuationSeparator" w:id="0">
    <w:p w:rsidR="007D3736" w:rsidRDefault="007D3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71" w:rsidRPr="00187716" w:rsidRDefault="00BA4E71" w:rsidP="00B47CA0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130"/>
    <w:multiLevelType w:val="multilevel"/>
    <w:tmpl w:val="81F631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0B203A"/>
    <w:multiLevelType w:val="multilevel"/>
    <w:tmpl w:val="A63AA0DC"/>
    <w:lvl w:ilvl="0">
      <w:start w:val="4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907999"/>
    <w:multiLevelType w:val="multilevel"/>
    <w:tmpl w:val="84180916"/>
    <w:lvl w:ilvl="0">
      <w:start w:val="5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FA53B72"/>
    <w:multiLevelType w:val="multilevel"/>
    <w:tmpl w:val="81F631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5C753C"/>
    <w:multiLevelType w:val="multilevel"/>
    <w:tmpl w:val="A63AA0DC"/>
    <w:lvl w:ilvl="0">
      <w:start w:val="4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20303C"/>
    <w:multiLevelType w:val="multilevel"/>
    <w:tmpl w:val="5D341ED0"/>
    <w:lvl w:ilvl="0">
      <w:start w:val="4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3643793"/>
    <w:multiLevelType w:val="multilevel"/>
    <w:tmpl w:val="A63AA0DC"/>
    <w:lvl w:ilvl="0">
      <w:start w:val="4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58F6870"/>
    <w:multiLevelType w:val="multilevel"/>
    <w:tmpl w:val="A63AA0DC"/>
    <w:lvl w:ilvl="0">
      <w:start w:val="4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A8F3317"/>
    <w:multiLevelType w:val="hybridMultilevel"/>
    <w:tmpl w:val="BCFEF61C"/>
    <w:lvl w:ilvl="0" w:tplc="AD86823C">
      <w:start w:val="30"/>
      <w:numFmt w:val="lowerLetter"/>
      <w:lvlText w:val="%1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A44297"/>
    <w:multiLevelType w:val="multilevel"/>
    <w:tmpl w:val="BC26B4CE"/>
    <w:lvl w:ilvl="0">
      <w:start w:val="6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F0119DC"/>
    <w:multiLevelType w:val="multilevel"/>
    <w:tmpl w:val="A63AA0DC"/>
    <w:lvl w:ilvl="0">
      <w:start w:val="4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AB5234"/>
    <w:multiLevelType w:val="multilevel"/>
    <w:tmpl w:val="9F0044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67E5A24"/>
    <w:multiLevelType w:val="multilevel"/>
    <w:tmpl w:val="9DF44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7E6691C"/>
    <w:multiLevelType w:val="multilevel"/>
    <w:tmpl w:val="F6ACE94E"/>
    <w:lvl w:ilvl="0">
      <w:start w:val="30"/>
      <w:numFmt w:val="lowerLetter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</w:abstractNum>
  <w:abstractNum w:abstractNumId="14">
    <w:nsid w:val="581F648E"/>
    <w:multiLevelType w:val="hybridMultilevel"/>
    <w:tmpl w:val="DD06C6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778B2"/>
    <w:multiLevelType w:val="multilevel"/>
    <w:tmpl w:val="3D065C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3414DBD"/>
    <w:multiLevelType w:val="multilevel"/>
    <w:tmpl w:val="3380FB18"/>
    <w:lvl w:ilvl="0">
      <w:start w:val="6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6E4FDF"/>
    <w:multiLevelType w:val="multilevel"/>
    <w:tmpl w:val="DB12EC30"/>
    <w:lvl w:ilvl="0">
      <w:start w:val="5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7"/>
  </w:num>
  <w:num w:numId="5">
    <w:abstractNumId w:val="9"/>
  </w:num>
  <w:num w:numId="6">
    <w:abstractNumId w:val="16"/>
  </w:num>
  <w:num w:numId="7">
    <w:abstractNumId w:val="13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1"/>
  </w:num>
  <w:num w:numId="16">
    <w:abstractNumId w:val="7"/>
  </w:num>
  <w:num w:numId="17">
    <w:abstractNumId w:val="15"/>
  </w:num>
  <w:num w:numId="18">
    <w:abstractNumId w:val="1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A2"/>
    <w:rsid w:val="000024DD"/>
    <w:rsid w:val="000064FD"/>
    <w:rsid w:val="00006A7D"/>
    <w:rsid w:val="00010AC2"/>
    <w:rsid w:val="0002605A"/>
    <w:rsid w:val="00031571"/>
    <w:rsid w:val="00031DD0"/>
    <w:rsid w:val="00033B45"/>
    <w:rsid w:val="00033D10"/>
    <w:rsid w:val="00047213"/>
    <w:rsid w:val="000543A9"/>
    <w:rsid w:val="00054E63"/>
    <w:rsid w:val="0005627A"/>
    <w:rsid w:val="0006013F"/>
    <w:rsid w:val="000749D7"/>
    <w:rsid w:val="00074C6D"/>
    <w:rsid w:val="00083297"/>
    <w:rsid w:val="00093DC8"/>
    <w:rsid w:val="000A4B88"/>
    <w:rsid w:val="000B7F20"/>
    <w:rsid w:val="000C1EBA"/>
    <w:rsid w:val="000C2AAE"/>
    <w:rsid w:val="000C7D85"/>
    <w:rsid w:val="000D4327"/>
    <w:rsid w:val="000E3D04"/>
    <w:rsid w:val="000F7297"/>
    <w:rsid w:val="00103E67"/>
    <w:rsid w:val="00112CD6"/>
    <w:rsid w:val="00123055"/>
    <w:rsid w:val="00125725"/>
    <w:rsid w:val="0014183A"/>
    <w:rsid w:val="00147FEB"/>
    <w:rsid w:val="00152F67"/>
    <w:rsid w:val="001537A5"/>
    <w:rsid w:val="00155608"/>
    <w:rsid w:val="00162D52"/>
    <w:rsid w:val="00172259"/>
    <w:rsid w:val="00174F83"/>
    <w:rsid w:val="001751E6"/>
    <w:rsid w:val="0017662D"/>
    <w:rsid w:val="001828D4"/>
    <w:rsid w:val="00182EDF"/>
    <w:rsid w:val="001847F3"/>
    <w:rsid w:val="00186AAD"/>
    <w:rsid w:val="00187716"/>
    <w:rsid w:val="00194B20"/>
    <w:rsid w:val="001A1654"/>
    <w:rsid w:val="001A6E24"/>
    <w:rsid w:val="001B7412"/>
    <w:rsid w:val="001E036E"/>
    <w:rsid w:val="001E5948"/>
    <w:rsid w:val="001E72C6"/>
    <w:rsid w:val="001F576C"/>
    <w:rsid w:val="00203C0F"/>
    <w:rsid w:val="00210F6D"/>
    <w:rsid w:val="00211D1B"/>
    <w:rsid w:val="0021371D"/>
    <w:rsid w:val="00243D33"/>
    <w:rsid w:val="002523BA"/>
    <w:rsid w:val="0025591D"/>
    <w:rsid w:val="002704D4"/>
    <w:rsid w:val="00270514"/>
    <w:rsid w:val="002739AB"/>
    <w:rsid w:val="0027564E"/>
    <w:rsid w:val="00280C69"/>
    <w:rsid w:val="00280F32"/>
    <w:rsid w:val="00294AE5"/>
    <w:rsid w:val="0029718F"/>
    <w:rsid w:val="002978BE"/>
    <w:rsid w:val="002B4DE4"/>
    <w:rsid w:val="002B69DF"/>
    <w:rsid w:val="002C6EDF"/>
    <w:rsid w:val="002E0263"/>
    <w:rsid w:val="002E0428"/>
    <w:rsid w:val="002E607A"/>
    <w:rsid w:val="002E7C96"/>
    <w:rsid w:val="00304627"/>
    <w:rsid w:val="00304725"/>
    <w:rsid w:val="00310F8A"/>
    <w:rsid w:val="0031388C"/>
    <w:rsid w:val="00313A5C"/>
    <w:rsid w:val="003311CE"/>
    <w:rsid w:val="00331C91"/>
    <w:rsid w:val="003371C9"/>
    <w:rsid w:val="00344043"/>
    <w:rsid w:val="00347427"/>
    <w:rsid w:val="003576A2"/>
    <w:rsid w:val="0036253C"/>
    <w:rsid w:val="00364F71"/>
    <w:rsid w:val="00367CA8"/>
    <w:rsid w:val="0037322D"/>
    <w:rsid w:val="00374B8C"/>
    <w:rsid w:val="00376807"/>
    <w:rsid w:val="003778D2"/>
    <w:rsid w:val="00383681"/>
    <w:rsid w:val="00391509"/>
    <w:rsid w:val="00392B00"/>
    <w:rsid w:val="003B0C80"/>
    <w:rsid w:val="003D0476"/>
    <w:rsid w:val="003D0EE6"/>
    <w:rsid w:val="003D55AA"/>
    <w:rsid w:val="003F2325"/>
    <w:rsid w:val="003F5189"/>
    <w:rsid w:val="00405720"/>
    <w:rsid w:val="00411001"/>
    <w:rsid w:val="00417685"/>
    <w:rsid w:val="00417B38"/>
    <w:rsid w:val="004207C9"/>
    <w:rsid w:val="004272F1"/>
    <w:rsid w:val="004338B0"/>
    <w:rsid w:val="004427BD"/>
    <w:rsid w:val="00445ABF"/>
    <w:rsid w:val="00457D6F"/>
    <w:rsid w:val="004639DE"/>
    <w:rsid w:val="0046547E"/>
    <w:rsid w:val="004678D6"/>
    <w:rsid w:val="00476CE2"/>
    <w:rsid w:val="004771AD"/>
    <w:rsid w:val="00485B0F"/>
    <w:rsid w:val="00490E7B"/>
    <w:rsid w:val="004973ED"/>
    <w:rsid w:val="00497763"/>
    <w:rsid w:val="004A20DE"/>
    <w:rsid w:val="004A432B"/>
    <w:rsid w:val="004A4E9A"/>
    <w:rsid w:val="004A66AC"/>
    <w:rsid w:val="004B07C7"/>
    <w:rsid w:val="004B2AFE"/>
    <w:rsid w:val="004B35CB"/>
    <w:rsid w:val="004B5119"/>
    <w:rsid w:val="004C3AD1"/>
    <w:rsid w:val="004C6FFA"/>
    <w:rsid w:val="004D2995"/>
    <w:rsid w:val="004D66BB"/>
    <w:rsid w:val="004E00C3"/>
    <w:rsid w:val="004E5473"/>
    <w:rsid w:val="004E7BA0"/>
    <w:rsid w:val="00501F61"/>
    <w:rsid w:val="005023B6"/>
    <w:rsid w:val="00514AB7"/>
    <w:rsid w:val="005437DC"/>
    <w:rsid w:val="005443AC"/>
    <w:rsid w:val="0056514F"/>
    <w:rsid w:val="005706C9"/>
    <w:rsid w:val="00572111"/>
    <w:rsid w:val="00576EDD"/>
    <w:rsid w:val="00594B4F"/>
    <w:rsid w:val="0059651B"/>
    <w:rsid w:val="00597BD7"/>
    <w:rsid w:val="005A17DD"/>
    <w:rsid w:val="005A6730"/>
    <w:rsid w:val="005A6859"/>
    <w:rsid w:val="005A68A6"/>
    <w:rsid w:val="005B560E"/>
    <w:rsid w:val="005B5E9F"/>
    <w:rsid w:val="005C298E"/>
    <w:rsid w:val="005D2A11"/>
    <w:rsid w:val="005D496D"/>
    <w:rsid w:val="005F0775"/>
    <w:rsid w:val="005F38A0"/>
    <w:rsid w:val="006013A3"/>
    <w:rsid w:val="00607817"/>
    <w:rsid w:val="00612653"/>
    <w:rsid w:val="00617E19"/>
    <w:rsid w:val="00620189"/>
    <w:rsid w:val="006226CE"/>
    <w:rsid w:val="00622C97"/>
    <w:rsid w:val="006250F8"/>
    <w:rsid w:val="0062691C"/>
    <w:rsid w:val="00631F5E"/>
    <w:rsid w:val="0063432D"/>
    <w:rsid w:val="006523AD"/>
    <w:rsid w:val="00657881"/>
    <w:rsid w:val="00657E07"/>
    <w:rsid w:val="006624D0"/>
    <w:rsid w:val="00665595"/>
    <w:rsid w:val="00665868"/>
    <w:rsid w:val="006664CE"/>
    <w:rsid w:val="006721E1"/>
    <w:rsid w:val="00681844"/>
    <w:rsid w:val="00685673"/>
    <w:rsid w:val="00686091"/>
    <w:rsid w:val="00695445"/>
    <w:rsid w:val="006B5F12"/>
    <w:rsid w:val="006C058F"/>
    <w:rsid w:val="006C36BF"/>
    <w:rsid w:val="006D46C4"/>
    <w:rsid w:val="006D77DA"/>
    <w:rsid w:val="006E6C95"/>
    <w:rsid w:val="006F0082"/>
    <w:rsid w:val="006F16F7"/>
    <w:rsid w:val="006F6F6B"/>
    <w:rsid w:val="007163DB"/>
    <w:rsid w:val="00722775"/>
    <w:rsid w:val="00725A22"/>
    <w:rsid w:val="00726C1A"/>
    <w:rsid w:val="0073712A"/>
    <w:rsid w:val="00740249"/>
    <w:rsid w:val="00741183"/>
    <w:rsid w:val="00744BCC"/>
    <w:rsid w:val="00745820"/>
    <w:rsid w:val="00756846"/>
    <w:rsid w:val="007735EC"/>
    <w:rsid w:val="00786ABF"/>
    <w:rsid w:val="00794678"/>
    <w:rsid w:val="00795D34"/>
    <w:rsid w:val="007A44AE"/>
    <w:rsid w:val="007B289B"/>
    <w:rsid w:val="007B7FED"/>
    <w:rsid w:val="007D3736"/>
    <w:rsid w:val="007E07D8"/>
    <w:rsid w:val="007E111B"/>
    <w:rsid w:val="007E3365"/>
    <w:rsid w:val="007E6F9E"/>
    <w:rsid w:val="00807FC2"/>
    <w:rsid w:val="00812D38"/>
    <w:rsid w:val="00832453"/>
    <w:rsid w:val="00832D0A"/>
    <w:rsid w:val="008379CD"/>
    <w:rsid w:val="00850169"/>
    <w:rsid w:val="00856151"/>
    <w:rsid w:val="00876AF1"/>
    <w:rsid w:val="00880532"/>
    <w:rsid w:val="00883390"/>
    <w:rsid w:val="00884936"/>
    <w:rsid w:val="00886703"/>
    <w:rsid w:val="00891867"/>
    <w:rsid w:val="00892049"/>
    <w:rsid w:val="00895B42"/>
    <w:rsid w:val="008A0CF8"/>
    <w:rsid w:val="008A303E"/>
    <w:rsid w:val="008A65C4"/>
    <w:rsid w:val="008A7D6E"/>
    <w:rsid w:val="008B75C3"/>
    <w:rsid w:val="008B76E2"/>
    <w:rsid w:val="008B7A4B"/>
    <w:rsid w:val="008C3E8C"/>
    <w:rsid w:val="008C64FC"/>
    <w:rsid w:val="008D330A"/>
    <w:rsid w:val="008D5DFF"/>
    <w:rsid w:val="008F71C1"/>
    <w:rsid w:val="008F7742"/>
    <w:rsid w:val="00901E82"/>
    <w:rsid w:val="0090628A"/>
    <w:rsid w:val="00912158"/>
    <w:rsid w:val="009174E5"/>
    <w:rsid w:val="00917766"/>
    <w:rsid w:val="00941A3B"/>
    <w:rsid w:val="0095001D"/>
    <w:rsid w:val="00950FEE"/>
    <w:rsid w:val="009513F6"/>
    <w:rsid w:val="00956371"/>
    <w:rsid w:val="00956D77"/>
    <w:rsid w:val="00972A0E"/>
    <w:rsid w:val="00976E5D"/>
    <w:rsid w:val="0098223A"/>
    <w:rsid w:val="00986424"/>
    <w:rsid w:val="0098791D"/>
    <w:rsid w:val="009939C6"/>
    <w:rsid w:val="00993F9C"/>
    <w:rsid w:val="0099555D"/>
    <w:rsid w:val="009A2DD0"/>
    <w:rsid w:val="009A79DA"/>
    <w:rsid w:val="009B365B"/>
    <w:rsid w:val="009B6352"/>
    <w:rsid w:val="009C3AB3"/>
    <w:rsid w:val="009C4860"/>
    <w:rsid w:val="009C61E6"/>
    <w:rsid w:val="009E39C2"/>
    <w:rsid w:val="009E5BC1"/>
    <w:rsid w:val="009E5D2D"/>
    <w:rsid w:val="009F3DAD"/>
    <w:rsid w:val="009F40A2"/>
    <w:rsid w:val="00A0570F"/>
    <w:rsid w:val="00A1058B"/>
    <w:rsid w:val="00A13E7E"/>
    <w:rsid w:val="00A2616B"/>
    <w:rsid w:val="00A3259F"/>
    <w:rsid w:val="00A32B38"/>
    <w:rsid w:val="00A44673"/>
    <w:rsid w:val="00A4495D"/>
    <w:rsid w:val="00A569CE"/>
    <w:rsid w:val="00A61991"/>
    <w:rsid w:val="00A72217"/>
    <w:rsid w:val="00A73C1D"/>
    <w:rsid w:val="00A74F01"/>
    <w:rsid w:val="00A90A10"/>
    <w:rsid w:val="00AB32C3"/>
    <w:rsid w:val="00AC2F43"/>
    <w:rsid w:val="00AD2022"/>
    <w:rsid w:val="00AD7E33"/>
    <w:rsid w:val="00AE7203"/>
    <w:rsid w:val="00AF370E"/>
    <w:rsid w:val="00AF6B5A"/>
    <w:rsid w:val="00AF7CE6"/>
    <w:rsid w:val="00B01F01"/>
    <w:rsid w:val="00B05006"/>
    <w:rsid w:val="00B100C0"/>
    <w:rsid w:val="00B17661"/>
    <w:rsid w:val="00B35847"/>
    <w:rsid w:val="00B4052B"/>
    <w:rsid w:val="00B43594"/>
    <w:rsid w:val="00B47CA0"/>
    <w:rsid w:val="00B54CB6"/>
    <w:rsid w:val="00B609A2"/>
    <w:rsid w:val="00B61631"/>
    <w:rsid w:val="00B64690"/>
    <w:rsid w:val="00B657BA"/>
    <w:rsid w:val="00B74C7B"/>
    <w:rsid w:val="00B85330"/>
    <w:rsid w:val="00B923D7"/>
    <w:rsid w:val="00BA3046"/>
    <w:rsid w:val="00BA4E71"/>
    <w:rsid w:val="00BA663C"/>
    <w:rsid w:val="00BB0C4A"/>
    <w:rsid w:val="00BB23E2"/>
    <w:rsid w:val="00BB3BED"/>
    <w:rsid w:val="00BB523E"/>
    <w:rsid w:val="00BC2EDE"/>
    <w:rsid w:val="00BC3E98"/>
    <w:rsid w:val="00BD74B1"/>
    <w:rsid w:val="00BE12D8"/>
    <w:rsid w:val="00BF356C"/>
    <w:rsid w:val="00C0158A"/>
    <w:rsid w:val="00C10CD6"/>
    <w:rsid w:val="00C31145"/>
    <w:rsid w:val="00C4573E"/>
    <w:rsid w:val="00C559BD"/>
    <w:rsid w:val="00C7735C"/>
    <w:rsid w:val="00C77EF0"/>
    <w:rsid w:val="00C80422"/>
    <w:rsid w:val="00C925E0"/>
    <w:rsid w:val="00C96EE4"/>
    <w:rsid w:val="00CA68E3"/>
    <w:rsid w:val="00CB10E9"/>
    <w:rsid w:val="00CB5498"/>
    <w:rsid w:val="00CB63CB"/>
    <w:rsid w:val="00CD2D0A"/>
    <w:rsid w:val="00CE4FA2"/>
    <w:rsid w:val="00CE4FE1"/>
    <w:rsid w:val="00D027B3"/>
    <w:rsid w:val="00D13B6B"/>
    <w:rsid w:val="00D16CCC"/>
    <w:rsid w:val="00D23C1D"/>
    <w:rsid w:val="00D31B41"/>
    <w:rsid w:val="00D415AF"/>
    <w:rsid w:val="00D418CD"/>
    <w:rsid w:val="00D4196F"/>
    <w:rsid w:val="00D459A1"/>
    <w:rsid w:val="00D73A20"/>
    <w:rsid w:val="00D77252"/>
    <w:rsid w:val="00D83FD0"/>
    <w:rsid w:val="00D90A85"/>
    <w:rsid w:val="00D9266B"/>
    <w:rsid w:val="00DA1CBE"/>
    <w:rsid w:val="00DA70CD"/>
    <w:rsid w:val="00DB79FC"/>
    <w:rsid w:val="00DF0C9C"/>
    <w:rsid w:val="00DF1536"/>
    <w:rsid w:val="00E07524"/>
    <w:rsid w:val="00E11BE7"/>
    <w:rsid w:val="00E14988"/>
    <w:rsid w:val="00E15D31"/>
    <w:rsid w:val="00E2635E"/>
    <w:rsid w:val="00E30033"/>
    <w:rsid w:val="00E30AC7"/>
    <w:rsid w:val="00E64D44"/>
    <w:rsid w:val="00E666C9"/>
    <w:rsid w:val="00E87207"/>
    <w:rsid w:val="00E9135B"/>
    <w:rsid w:val="00ED63B8"/>
    <w:rsid w:val="00F0427B"/>
    <w:rsid w:val="00F05FEC"/>
    <w:rsid w:val="00F06B4A"/>
    <w:rsid w:val="00F079FE"/>
    <w:rsid w:val="00F1442F"/>
    <w:rsid w:val="00F148D2"/>
    <w:rsid w:val="00F23F2B"/>
    <w:rsid w:val="00F27C34"/>
    <w:rsid w:val="00F30DD6"/>
    <w:rsid w:val="00F313B9"/>
    <w:rsid w:val="00F32A18"/>
    <w:rsid w:val="00F37A10"/>
    <w:rsid w:val="00F41069"/>
    <w:rsid w:val="00F45D77"/>
    <w:rsid w:val="00F532CF"/>
    <w:rsid w:val="00F65666"/>
    <w:rsid w:val="00F65F1D"/>
    <w:rsid w:val="00F739C0"/>
    <w:rsid w:val="00F7772A"/>
    <w:rsid w:val="00F77EDA"/>
    <w:rsid w:val="00F94AE0"/>
    <w:rsid w:val="00F96FA0"/>
    <w:rsid w:val="00FA09FE"/>
    <w:rsid w:val="00FA0F2F"/>
    <w:rsid w:val="00FB12EE"/>
    <w:rsid w:val="00FC1B05"/>
    <w:rsid w:val="00FD59C5"/>
    <w:rsid w:val="00FD7AA4"/>
    <w:rsid w:val="00FE533E"/>
    <w:rsid w:val="00FE59A0"/>
    <w:rsid w:val="00FE7324"/>
    <w:rsid w:val="00FE7AA2"/>
    <w:rsid w:val="00FF0FA1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5FEC"/>
    <w:pPr>
      <w:widowControl w:val="0"/>
      <w:suppressAutoHyphens/>
    </w:pPr>
    <w:rPr>
      <w:sz w:val="24"/>
      <w:lang w:eastAsia="nl-NL"/>
    </w:rPr>
  </w:style>
  <w:style w:type="paragraph" w:styleId="Nadpis1">
    <w:name w:val="heading 1"/>
    <w:basedOn w:val="Normln"/>
    <w:next w:val="Normln"/>
    <w:qFormat/>
    <w:rsid w:val="00D90A85"/>
    <w:pPr>
      <w:keepNext/>
      <w:spacing w:before="240" w:after="120"/>
      <w:ind w:left="1418" w:hanging="1418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D90A85"/>
    <w:pPr>
      <w:keepNext/>
      <w:spacing w:before="240" w:after="12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90A85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D90A85"/>
  </w:style>
  <w:style w:type="paragraph" w:styleId="Zhlav">
    <w:name w:val="header"/>
    <w:basedOn w:val="Normln"/>
    <w:link w:val="ZhlavChar"/>
    <w:uiPriority w:val="99"/>
    <w:rsid w:val="00D90A85"/>
    <w:pPr>
      <w:tabs>
        <w:tab w:val="center" w:pos="4703"/>
        <w:tab w:val="right" w:pos="9406"/>
      </w:tabs>
    </w:pPr>
  </w:style>
  <w:style w:type="paragraph" w:styleId="Zkladntext">
    <w:name w:val="Body Text"/>
    <w:basedOn w:val="Normln"/>
    <w:link w:val="ZkladntextChar"/>
    <w:rsid w:val="00D90A85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ind w:right="-143"/>
    </w:pPr>
    <w:rPr>
      <w:lang w:val="en-GB"/>
    </w:rPr>
  </w:style>
  <w:style w:type="paragraph" w:styleId="Zkladntextodsazen">
    <w:name w:val="Body Text Indent"/>
    <w:basedOn w:val="Normln"/>
    <w:rsid w:val="00D90A85"/>
    <w:pPr>
      <w:spacing w:after="120"/>
      <w:ind w:left="283"/>
    </w:pPr>
  </w:style>
  <w:style w:type="paragraph" w:customStyle="1" w:styleId="Standard">
    <w:name w:val="Standard"/>
    <w:basedOn w:val="Normln"/>
    <w:next w:val="Normln"/>
    <w:link w:val="StandardChar"/>
    <w:uiPriority w:val="99"/>
    <w:rsid w:val="00D90A85"/>
    <w:pPr>
      <w:widowControl/>
      <w:suppressAutoHyphens w:val="0"/>
      <w:autoSpaceDE w:val="0"/>
      <w:autoSpaceDN w:val="0"/>
      <w:adjustRightInd w:val="0"/>
    </w:pPr>
    <w:rPr>
      <w:rFonts w:ascii="Arial" w:hAnsi="Arial"/>
      <w:szCs w:val="24"/>
      <w:lang w:val="nl-NL"/>
    </w:rPr>
  </w:style>
  <w:style w:type="character" w:customStyle="1" w:styleId="Nadpis2Char">
    <w:name w:val="Nadpis 2 Char"/>
    <w:basedOn w:val="Standardnpsmoodstavce"/>
    <w:link w:val="Nadpis2"/>
    <w:rsid w:val="00D90A85"/>
    <w:rPr>
      <w:b/>
      <w:sz w:val="24"/>
      <w:lang w:val="en-US" w:eastAsia="nl-NL" w:bidi="ar-SA"/>
    </w:rPr>
  </w:style>
  <w:style w:type="character" w:styleId="Odkaznakoment">
    <w:name w:val="annotation reference"/>
    <w:basedOn w:val="Standardnpsmoodstavce"/>
    <w:semiHidden/>
    <w:rsid w:val="004E00C3"/>
    <w:rPr>
      <w:sz w:val="16"/>
      <w:szCs w:val="16"/>
    </w:rPr>
  </w:style>
  <w:style w:type="paragraph" w:styleId="Textkomente">
    <w:name w:val="annotation text"/>
    <w:basedOn w:val="Normln"/>
    <w:semiHidden/>
    <w:rsid w:val="004E00C3"/>
    <w:rPr>
      <w:sz w:val="20"/>
    </w:rPr>
  </w:style>
  <w:style w:type="paragraph" w:styleId="Pedmtkomente">
    <w:name w:val="annotation subject"/>
    <w:basedOn w:val="Textkomente"/>
    <w:next w:val="Textkomente"/>
    <w:semiHidden/>
    <w:rsid w:val="004E00C3"/>
    <w:rPr>
      <w:b/>
      <w:bCs/>
    </w:rPr>
  </w:style>
  <w:style w:type="paragraph" w:styleId="Textbubliny">
    <w:name w:val="Balloon Text"/>
    <w:basedOn w:val="Normln"/>
    <w:semiHidden/>
    <w:rsid w:val="004E00C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756846"/>
    <w:rPr>
      <w:sz w:val="24"/>
      <w:lang w:val="en-GB" w:eastAsia="nl-NL" w:bidi="ar-SA"/>
    </w:rPr>
  </w:style>
  <w:style w:type="paragraph" w:styleId="Textvysvtlivek">
    <w:name w:val="endnote text"/>
    <w:basedOn w:val="Normln"/>
    <w:link w:val="TextvysvtlivekChar"/>
    <w:uiPriority w:val="99"/>
    <w:rsid w:val="00D83FD0"/>
    <w:pPr>
      <w:widowControl/>
      <w:tabs>
        <w:tab w:val="left" w:pos="567"/>
      </w:tabs>
      <w:suppressAutoHyphens w:val="0"/>
    </w:pPr>
    <w:rPr>
      <w:sz w:val="22"/>
      <w:lang w:val="en-GB" w:eastAsia="en-US"/>
    </w:rPr>
  </w:style>
  <w:style w:type="character" w:styleId="Hypertextovodkaz">
    <w:name w:val="Hyperlink"/>
    <w:basedOn w:val="Standardnpsmoodstavce"/>
    <w:rsid w:val="00D83FD0"/>
    <w:rPr>
      <w:color w:val="0000FF"/>
      <w:u w:val="single"/>
    </w:rPr>
  </w:style>
  <w:style w:type="character" w:customStyle="1" w:styleId="StandardChar">
    <w:name w:val="Standard Char"/>
    <w:basedOn w:val="Standardnpsmoodstavce"/>
    <w:link w:val="Standard"/>
    <w:uiPriority w:val="99"/>
    <w:rsid w:val="00941A3B"/>
    <w:rPr>
      <w:rFonts w:ascii="Arial" w:hAnsi="Arial"/>
      <w:sz w:val="24"/>
      <w:szCs w:val="24"/>
      <w:lang w:val="nl-NL" w:eastAsia="nl-NL" w:bidi="ar-SA"/>
    </w:rPr>
  </w:style>
  <w:style w:type="paragraph" w:customStyle="1" w:styleId="TERE1">
    <w:name w:val="TERE1"/>
    <w:basedOn w:val="Normln"/>
    <w:rsid w:val="008A65C4"/>
    <w:pPr>
      <w:widowControl/>
      <w:tabs>
        <w:tab w:val="right" w:pos="8506"/>
      </w:tabs>
      <w:overflowPunct w:val="0"/>
      <w:autoSpaceDE w:val="0"/>
      <w:autoSpaceDN w:val="0"/>
      <w:adjustRightInd w:val="0"/>
      <w:spacing w:before="100" w:after="100" w:line="360" w:lineRule="auto"/>
      <w:jc w:val="center"/>
      <w:textAlignment w:val="baseline"/>
    </w:pPr>
    <w:rPr>
      <w:b/>
      <w:caps/>
      <w:sz w:val="64"/>
      <w:lang w:val="es-ES" w:eastAsia="es-ES"/>
    </w:rPr>
  </w:style>
  <w:style w:type="paragraph" w:customStyle="1" w:styleId="TERE2">
    <w:name w:val="TERE2"/>
    <w:basedOn w:val="Normln"/>
    <w:uiPriority w:val="99"/>
    <w:rsid w:val="00B17661"/>
    <w:pPr>
      <w:widowControl/>
      <w:overflowPunct w:val="0"/>
      <w:autoSpaceDE w:val="0"/>
      <w:autoSpaceDN w:val="0"/>
      <w:adjustRightInd w:val="0"/>
      <w:spacing w:before="360" w:after="240" w:line="360" w:lineRule="auto"/>
      <w:jc w:val="both"/>
      <w:textAlignment w:val="baseline"/>
    </w:pPr>
    <w:rPr>
      <w:b/>
      <w:spacing w:val="-3"/>
      <w:sz w:val="32"/>
      <w:lang w:val="es-ES" w:eastAsia="es-ES"/>
    </w:rPr>
  </w:style>
  <w:style w:type="paragraph" w:styleId="Seznam2">
    <w:name w:val="List 2"/>
    <w:basedOn w:val="Normln"/>
    <w:rsid w:val="00795D34"/>
    <w:pPr>
      <w:suppressAutoHyphens w:val="0"/>
      <w:ind w:left="566" w:hanging="283"/>
    </w:pPr>
    <w:rPr>
      <w:rFonts w:ascii="Courier" w:hAnsi="Courier"/>
      <w:szCs w:val="24"/>
      <w:lang w:val="es-ES_tradnl" w:eastAsia="es-ES"/>
    </w:rPr>
  </w:style>
  <w:style w:type="character" w:customStyle="1" w:styleId="hps">
    <w:name w:val="hps"/>
    <w:basedOn w:val="Standardnpsmoodstavce"/>
    <w:rsid w:val="00174F83"/>
  </w:style>
  <w:style w:type="character" w:customStyle="1" w:styleId="hpsatn">
    <w:name w:val="hps atn"/>
    <w:basedOn w:val="Standardnpsmoodstavce"/>
    <w:rsid w:val="00174F83"/>
  </w:style>
  <w:style w:type="character" w:customStyle="1" w:styleId="gt-icon-text1">
    <w:name w:val="gt-icon-text1"/>
    <w:basedOn w:val="Standardnpsmoodstavce"/>
    <w:rsid w:val="008D330A"/>
  </w:style>
  <w:style w:type="character" w:customStyle="1" w:styleId="atn">
    <w:name w:val="atn"/>
    <w:basedOn w:val="Standardnpsmoodstavce"/>
    <w:rsid w:val="002B4DE4"/>
  </w:style>
  <w:style w:type="paragraph" w:styleId="Normlnweb">
    <w:name w:val="Normal (Web)"/>
    <w:basedOn w:val="Normln"/>
    <w:uiPriority w:val="99"/>
    <w:rsid w:val="008D5DFF"/>
    <w:pPr>
      <w:widowControl/>
      <w:suppressAutoHyphens w:val="0"/>
      <w:spacing w:before="96" w:after="96"/>
    </w:pPr>
    <w:rPr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079FE"/>
    <w:rPr>
      <w:sz w:val="24"/>
      <w:lang w:eastAsia="nl-NL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F079FE"/>
    <w:rPr>
      <w:sz w:val="22"/>
      <w:lang w:val="en-GB"/>
    </w:rPr>
  </w:style>
  <w:style w:type="paragraph" w:styleId="Odstavecseseznamem">
    <w:name w:val="List Paragraph"/>
    <w:basedOn w:val="Normln"/>
    <w:uiPriority w:val="34"/>
    <w:qFormat/>
    <w:rsid w:val="007E6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5FEC"/>
    <w:pPr>
      <w:widowControl w:val="0"/>
      <w:suppressAutoHyphens/>
    </w:pPr>
    <w:rPr>
      <w:sz w:val="24"/>
      <w:lang w:eastAsia="nl-NL"/>
    </w:rPr>
  </w:style>
  <w:style w:type="paragraph" w:styleId="Nadpis1">
    <w:name w:val="heading 1"/>
    <w:basedOn w:val="Normln"/>
    <w:next w:val="Normln"/>
    <w:qFormat/>
    <w:rsid w:val="00D90A85"/>
    <w:pPr>
      <w:keepNext/>
      <w:spacing w:before="240" w:after="120"/>
      <w:ind w:left="1418" w:hanging="1418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D90A85"/>
    <w:pPr>
      <w:keepNext/>
      <w:spacing w:before="240" w:after="12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90A85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D90A85"/>
  </w:style>
  <w:style w:type="paragraph" w:styleId="Zhlav">
    <w:name w:val="header"/>
    <w:basedOn w:val="Normln"/>
    <w:link w:val="ZhlavChar"/>
    <w:uiPriority w:val="99"/>
    <w:rsid w:val="00D90A85"/>
    <w:pPr>
      <w:tabs>
        <w:tab w:val="center" w:pos="4703"/>
        <w:tab w:val="right" w:pos="9406"/>
      </w:tabs>
    </w:pPr>
  </w:style>
  <w:style w:type="paragraph" w:styleId="Zkladntext">
    <w:name w:val="Body Text"/>
    <w:basedOn w:val="Normln"/>
    <w:link w:val="ZkladntextChar"/>
    <w:rsid w:val="00D90A85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ind w:right="-143"/>
    </w:pPr>
    <w:rPr>
      <w:lang w:val="en-GB"/>
    </w:rPr>
  </w:style>
  <w:style w:type="paragraph" w:styleId="Zkladntextodsazen">
    <w:name w:val="Body Text Indent"/>
    <w:basedOn w:val="Normln"/>
    <w:rsid w:val="00D90A85"/>
    <w:pPr>
      <w:spacing w:after="120"/>
      <w:ind w:left="283"/>
    </w:pPr>
  </w:style>
  <w:style w:type="paragraph" w:customStyle="1" w:styleId="Standard">
    <w:name w:val="Standard"/>
    <w:basedOn w:val="Normln"/>
    <w:next w:val="Normln"/>
    <w:link w:val="StandardChar"/>
    <w:uiPriority w:val="99"/>
    <w:rsid w:val="00D90A85"/>
    <w:pPr>
      <w:widowControl/>
      <w:suppressAutoHyphens w:val="0"/>
      <w:autoSpaceDE w:val="0"/>
      <w:autoSpaceDN w:val="0"/>
      <w:adjustRightInd w:val="0"/>
    </w:pPr>
    <w:rPr>
      <w:rFonts w:ascii="Arial" w:hAnsi="Arial"/>
      <w:szCs w:val="24"/>
      <w:lang w:val="nl-NL"/>
    </w:rPr>
  </w:style>
  <w:style w:type="character" w:customStyle="1" w:styleId="Nadpis2Char">
    <w:name w:val="Nadpis 2 Char"/>
    <w:basedOn w:val="Standardnpsmoodstavce"/>
    <w:link w:val="Nadpis2"/>
    <w:rsid w:val="00D90A85"/>
    <w:rPr>
      <w:b/>
      <w:sz w:val="24"/>
      <w:lang w:val="en-US" w:eastAsia="nl-NL" w:bidi="ar-SA"/>
    </w:rPr>
  </w:style>
  <w:style w:type="character" w:styleId="Odkaznakoment">
    <w:name w:val="annotation reference"/>
    <w:basedOn w:val="Standardnpsmoodstavce"/>
    <w:semiHidden/>
    <w:rsid w:val="004E00C3"/>
    <w:rPr>
      <w:sz w:val="16"/>
      <w:szCs w:val="16"/>
    </w:rPr>
  </w:style>
  <w:style w:type="paragraph" w:styleId="Textkomente">
    <w:name w:val="annotation text"/>
    <w:basedOn w:val="Normln"/>
    <w:semiHidden/>
    <w:rsid w:val="004E00C3"/>
    <w:rPr>
      <w:sz w:val="20"/>
    </w:rPr>
  </w:style>
  <w:style w:type="paragraph" w:styleId="Pedmtkomente">
    <w:name w:val="annotation subject"/>
    <w:basedOn w:val="Textkomente"/>
    <w:next w:val="Textkomente"/>
    <w:semiHidden/>
    <w:rsid w:val="004E00C3"/>
    <w:rPr>
      <w:b/>
      <w:bCs/>
    </w:rPr>
  </w:style>
  <w:style w:type="paragraph" w:styleId="Textbubliny">
    <w:name w:val="Balloon Text"/>
    <w:basedOn w:val="Normln"/>
    <w:semiHidden/>
    <w:rsid w:val="004E00C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756846"/>
    <w:rPr>
      <w:sz w:val="24"/>
      <w:lang w:val="en-GB" w:eastAsia="nl-NL" w:bidi="ar-SA"/>
    </w:rPr>
  </w:style>
  <w:style w:type="paragraph" w:styleId="Textvysvtlivek">
    <w:name w:val="endnote text"/>
    <w:basedOn w:val="Normln"/>
    <w:link w:val="TextvysvtlivekChar"/>
    <w:uiPriority w:val="99"/>
    <w:rsid w:val="00D83FD0"/>
    <w:pPr>
      <w:widowControl/>
      <w:tabs>
        <w:tab w:val="left" w:pos="567"/>
      </w:tabs>
      <w:suppressAutoHyphens w:val="0"/>
    </w:pPr>
    <w:rPr>
      <w:sz w:val="22"/>
      <w:lang w:val="en-GB" w:eastAsia="en-US"/>
    </w:rPr>
  </w:style>
  <w:style w:type="character" w:styleId="Hypertextovodkaz">
    <w:name w:val="Hyperlink"/>
    <w:basedOn w:val="Standardnpsmoodstavce"/>
    <w:rsid w:val="00D83FD0"/>
    <w:rPr>
      <w:color w:val="0000FF"/>
      <w:u w:val="single"/>
    </w:rPr>
  </w:style>
  <w:style w:type="character" w:customStyle="1" w:styleId="StandardChar">
    <w:name w:val="Standard Char"/>
    <w:basedOn w:val="Standardnpsmoodstavce"/>
    <w:link w:val="Standard"/>
    <w:uiPriority w:val="99"/>
    <w:rsid w:val="00941A3B"/>
    <w:rPr>
      <w:rFonts w:ascii="Arial" w:hAnsi="Arial"/>
      <w:sz w:val="24"/>
      <w:szCs w:val="24"/>
      <w:lang w:val="nl-NL" w:eastAsia="nl-NL" w:bidi="ar-SA"/>
    </w:rPr>
  </w:style>
  <w:style w:type="paragraph" w:customStyle="1" w:styleId="TERE1">
    <w:name w:val="TERE1"/>
    <w:basedOn w:val="Normln"/>
    <w:rsid w:val="008A65C4"/>
    <w:pPr>
      <w:widowControl/>
      <w:tabs>
        <w:tab w:val="right" w:pos="8506"/>
      </w:tabs>
      <w:overflowPunct w:val="0"/>
      <w:autoSpaceDE w:val="0"/>
      <w:autoSpaceDN w:val="0"/>
      <w:adjustRightInd w:val="0"/>
      <w:spacing w:before="100" w:after="100" w:line="360" w:lineRule="auto"/>
      <w:jc w:val="center"/>
      <w:textAlignment w:val="baseline"/>
    </w:pPr>
    <w:rPr>
      <w:b/>
      <w:caps/>
      <w:sz w:val="64"/>
      <w:lang w:val="es-ES" w:eastAsia="es-ES"/>
    </w:rPr>
  </w:style>
  <w:style w:type="paragraph" w:customStyle="1" w:styleId="TERE2">
    <w:name w:val="TERE2"/>
    <w:basedOn w:val="Normln"/>
    <w:uiPriority w:val="99"/>
    <w:rsid w:val="00B17661"/>
    <w:pPr>
      <w:widowControl/>
      <w:overflowPunct w:val="0"/>
      <w:autoSpaceDE w:val="0"/>
      <w:autoSpaceDN w:val="0"/>
      <w:adjustRightInd w:val="0"/>
      <w:spacing w:before="360" w:after="240" w:line="360" w:lineRule="auto"/>
      <w:jc w:val="both"/>
      <w:textAlignment w:val="baseline"/>
    </w:pPr>
    <w:rPr>
      <w:b/>
      <w:spacing w:val="-3"/>
      <w:sz w:val="32"/>
      <w:lang w:val="es-ES" w:eastAsia="es-ES"/>
    </w:rPr>
  </w:style>
  <w:style w:type="paragraph" w:styleId="Seznam2">
    <w:name w:val="List 2"/>
    <w:basedOn w:val="Normln"/>
    <w:rsid w:val="00795D34"/>
    <w:pPr>
      <w:suppressAutoHyphens w:val="0"/>
      <w:ind w:left="566" w:hanging="283"/>
    </w:pPr>
    <w:rPr>
      <w:rFonts w:ascii="Courier" w:hAnsi="Courier"/>
      <w:szCs w:val="24"/>
      <w:lang w:val="es-ES_tradnl" w:eastAsia="es-ES"/>
    </w:rPr>
  </w:style>
  <w:style w:type="character" w:customStyle="1" w:styleId="hps">
    <w:name w:val="hps"/>
    <w:basedOn w:val="Standardnpsmoodstavce"/>
    <w:rsid w:val="00174F83"/>
  </w:style>
  <w:style w:type="character" w:customStyle="1" w:styleId="hpsatn">
    <w:name w:val="hps atn"/>
    <w:basedOn w:val="Standardnpsmoodstavce"/>
    <w:rsid w:val="00174F83"/>
  </w:style>
  <w:style w:type="character" w:customStyle="1" w:styleId="gt-icon-text1">
    <w:name w:val="gt-icon-text1"/>
    <w:basedOn w:val="Standardnpsmoodstavce"/>
    <w:rsid w:val="008D330A"/>
  </w:style>
  <w:style w:type="character" w:customStyle="1" w:styleId="atn">
    <w:name w:val="atn"/>
    <w:basedOn w:val="Standardnpsmoodstavce"/>
    <w:rsid w:val="002B4DE4"/>
  </w:style>
  <w:style w:type="paragraph" w:styleId="Normlnweb">
    <w:name w:val="Normal (Web)"/>
    <w:basedOn w:val="Normln"/>
    <w:uiPriority w:val="99"/>
    <w:rsid w:val="008D5DFF"/>
    <w:pPr>
      <w:widowControl/>
      <w:suppressAutoHyphens w:val="0"/>
      <w:spacing w:before="96" w:after="96"/>
    </w:pPr>
    <w:rPr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079FE"/>
    <w:rPr>
      <w:sz w:val="24"/>
      <w:lang w:eastAsia="nl-NL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F079FE"/>
    <w:rPr>
      <w:sz w:val="22"/>
      <w:lang w:val="en-GB"/>
    </w:rPr>
  </w:style>
  <w:style w:type="paragraph" w:styleId="Odstavecseseznamem">
    <w:name w:val="List Paragraph"/>
    <w:basedOn w:val="Normln"/>
    <w:uiPriority w:val="34"/>
    <w:qFormat/>
    <w:rsid w:val="007E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2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4723">
                              <w:marLeft w:val="0"/>
                              <w:marRight w:val="0"/>
                              <w:marTop w:val="2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41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6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1463</Words>
  <Characters>8632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Vetcare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Sanna Sainmaa</dc:creator>
  <cp:lastModifiedBy>Neugebauerová Kateřina</cp:lastModifiedBy>
  <cp:revision>20</cp:revision>
  <cp:lastPrinted>2016-06-07T08:03:00Z</cp:lastPrinted>
  <dcterms:created xsi:type="dcterms:W3CDTF">2015-04-23T10:44:00Z</dcterms:created>
  <dcterms:modified xsi:type="dcterms:W3CDTF">2016-06-07T08:03:00Z</dcterms:modified>
</cp:coreProperties>
</file>